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0ED8" w14:textId="77777777" w:rsidR="002E08FA" w:rsidRPr="004C43BA" w:rsidRDefault="002E08FA" w:rsidP="002E08FA">
      <w:pPr>
        <w:pStyle w:val="Heading1"/>
        <w:spacing w:before="0" w:afterLines="50" w:after="120" w:line="360" w:lineRule="auto"/>
        <w:rPr>
          <w:rFonts w:ascii="Times New Roman" w:eastAsiaTheme="minorEastAsia" w:hAnsi="Times New Roman" w:cs="Times New Roman"/>
          <w:b/>
          <w:color w:val="000000" w:themeColor="text1"/>
          <w:sz w:val="22"/>
          <w:szCs w:val="22"/>
        </w:rPr>
      </w:pPr>
      <w:r>
        <w:rPr>
          <w:rFonts w:ascii="Times New Roman" w:eastAsiaTheme="minorEastAsia" w:hAnsi="Times New Roman" w:cs="Times New Roman" w:hint="eastAsia"/>
          <w:b/>
          <w:color w:val="000000" w:themeColor="text1"/>
          <w:sz w:val="22"/>
          <w:szCs w:val="22"/>
        </w:rPr>
        <w:t>Extended data</w:t>
      </w:r>
      <w:r>
        <w:rPr>
          <w:noProof/>
        </w:rPr>
        <w:drawing>
          <wp:anchor distT="0" distB="0" distL="114300" distR="114300" simplePos="0" relativeHeight="251659264" behindDoc="0" locked="0" layoutInCell="1" allowOverlap="1" wp14:anchorId="3D444A05" wp14:editId="7FD871B0">
            <wp:simplePos x="0" y="0"/>
            <wp:positionH relativeFrom="column">
              <wp:posOffset>0</wp:posOffset>
            </wp:positionH>
            <wp:positionV relativeFrom="paragraph">
              <wp:posOffset>379730</wp:posOffset>
            </wp:positionV>
            <wp:extent cx="5731510" cy="3509010"/>
            <wp:effectExtent l="0" t="0" r="2540" b="0"/>
            <wp:wrapSquare wrapText="bothSides"/>
            <wp:docPr id="342292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92559" name="Picture 3422925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509010"/>
                    </a:xfrm>
                    <a:prstGeom prst="rect">
                      <a:avLst/>
                    </a:prstGeom>
                  </pic:spPr>
                </pic:pic>
              </a:graphicData>
            </a:graphic>
          </wp:anchor>
        </w:drawing>
      </w:r>
    </w:p>
    <w:p w14:paraId="10ED4FF6" w14:textId="77777777" w:rsidR="002E08FA" w:rsidRPr="003A5350" w:rsidRDefault="002E08FA" w:rsidP="002E08FA">
      <w:pPr>
        <w:spacing w:afterLines="50" w:after="120" w:line="360" w:lineRule="auto"/>
        <w:jc w:val="both"/>
        <w:rPr>
          <w:rFonts w:ascii="Times New Roman" w:hAnsi="Times New Roman" w:cs="Times New Roman"/>
          <w:sz w:val="20"/>
          <w:szCs w:val="20"/>
        </w:rPr>
      </w:pPr>
      <w:r w:rsidRPr="003A5350">
        <w:rPr>
          <w:rFonts w:ascii="Times New Roman" w:hAnsi="Times New Roman" w:cs="Times New Roman"/>
          <w:b/>
          <w:bCs/>
          <w:i/>
          <w:iCs/>
          <w:sz w:val="20"/>
          <w:szCs w:val="20"/>
        </w:rPr>
        <w:t xml:space="preserve">Extended Data Fig. </w:t>
      </w:r>
      <w:r w:rsidRPr="003A5350">
        <w:rPr>
          <w:rFonts w:ascii="Times New Roman" w:hAnsi="Times New Roman" w:cs="Times New Roman" w:hint="eastAsia"/>
          <w:b/>
          <w:bCs/>
          <w:i/>
          <w:iCs/>
          <w:sz w:val="20"/>
          <w:szCs w:val="20"/>
        </w:rPr>
        <w:t>1</w:t>
      </w:r>
      <w:r w:rsidRPr="003A5350">
        <w:rPr>
          <w:rFonts w:ascii="Times New Roman" w:hAnsi="Times New Roman" w:cs="Times New Roman"/>
          <w:b/>
          <w:bCs/>
          <w:i/>
          <w:iCs/>
          <w:sz w:val="20"/>
          <w:szCs w:val="20"/>
        </w:rPr>
        <w:t xml:space="preserve"> | Spatial patterns and landscape-scale relationships of light regimes across Europe</w:t>
      </w:r>
      <w:r w:rsidRPr="003A5350">
        <w:rPr>
          <w:rFonts w:ascii="Times New Roman" w:hAnsi="Times New Roman" w:cs="Times New Roman"/>
          <w:i/>
          <w:iCs/>
          <w:sz w:val="20"/>
          <w:szCs w:val="20"/>
        </w:rPr>
        <w:t xml:space="preserve">. </w:t>
      </w:r>
      <w:r w:rsidRPr="003A5350">
        <w:rPr>
          <w:rFonts w:ascii="Times New Roman" w:hAnsi="Times New Roman" w:cs="Times New Roman"/>
          <w:b/>
          <w:bCs/>
          <w:i/>
          <w:iCs/>
          <w:sz w:val="20"/>
          <w:szCs w:val="20"/>
        </w:rPr>
        <w:t>a</w:t>
      </w:r>
      <w:r w:rsidRPr="003A5350">
        <w:rPr>
          <w:rFonts w:ascii="Times New Roman" w:hAnsi="Times New Roman" w:cs="Times New Roman"/>
          <w:i/>
          <w:iCs/>
          <w:sz w:val="20"/>
          <w:szCs w:val="20"/>
        </w:rPr>
        <w:t>, Spatial distribution of mean light availability aggregated to 10</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 xml:space="preserve">km grid cells. </w:t>
      </w:r>
      <w:r w:rsidRPr="003A5350">
        <w:rPr>
          <w:rFonts w:ascii="Times New Roman" w:hAnsi="Times New Roman" w:cs="Times New Roman"/>
          <w:b/>
          <w:bCs/>
          <w:i/>
          <w:iCs/>
          <w:sz w:val="20"/>
          <w:szCs w:val="20"/>
        </w:rPr>
        <w:t>b</w:t>
      </w:r>
      <w:r w:rsidRPr="003A5350">
        <w:rPr>
          <w:rFonts w:ascii="Times New Roman" w:hAnsi="Times New Roman" w:cs="Times New Roman"/>
          <w:i/>
          <w:iCs/>
          <w:sz w:val="20"/>
          <w:szCs w:val="20"/>
        </w:rPr>
        <w:t>, Spatial distribution of light heterogeneity, computed as the standard deviation of 10</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m light availability within each 10</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 xml:space="preserve">km grid cell. </w:t>
      </w:r>
      <w:r w:rsidRPr="003A5350">
        <w:rPr>
          <w:rFonts w:ascii="Times New Roman" w:hAnsi="Times New Roman" w:cs="Times New Roman"/>
          <w:b/>
          <w:bCs/>
          <w:i/>
          <w:iCs/>
          <w:sz w:val="20"/>
          <w:szCs w:val="20"/>
        </w:rPr>
        <w:t>c</w:t>
      </w:r>
      <w:r w:rsidRPr="003A5350">
        <w:rPr>
          <w:rFonts w:ascii="Times New Roman" w:hAnsi="Times New Roman" w:cs="Times New Roman"/>
          <w:i/>
          <w:iCs/>
          <w:sz w:val="20"/>
          <w:szCs w:val="20"/>
        </w:rPr>
        <w:t>–</w:t>
      </w:r>
      <w:r w:rsidRPr="003A5350">
        <w:rPr>
          <w:rFonts w:ascii="Times New Roman" w:hAnsi="Times New Roman" w:cs="Times New Roman"/>
          <w:b/>
          <w:bCs/>
          <w:i/>
          <w:iCs/>
          <w:sz w:val="20"/>
          <w:szCs w:val="20"/>
        </w:rPr>
        <w:t>d</w:t>
      </w:r>
      <w:r w:rsidRPr="003A5350">
        <w:rPr>
          <w:rFonts w:ascii="Times New Roman" w:hAnsi="Times New Roman" w:cs="Times New Roman"/>
          <w:i/>
          <w:iCs/>
          <w:sz w:val="20"/>
          <w:szCs w:val="20"/>
        </w:rPr>
        <w:t>, Mean light availability (</w:t>
      </w:r>
      <w:r w:rsidRPr="003A5350">
        <w:rPr>
          <w:rFonts w:ascii="Times New Roman" w:hAnsi="Times New Roman" w:cs="Times New Roman"/>
          <w:b/>
          <w:bCs/>
          <w:i/>
          <w:iCs/>
          <w:sz w:val="20"/>
          <w:szCs w:val="20"/>
        </w:rPr>
        <w:t>c</w:t>
      </w:r>
      <w:r w:rsidRPr="003A5350">
        <w:rPr>
          <w:rFonts w:ascii="Times New Roman" w:hAnsi="Times New Roman" w:cs="Times New Roman"/>
          <w:i/>
          <w:iCs/>
          <w:sz w:val="20"/>
          <w:szCs w:val="20"/>
        </w:rPr>
        <w:t>) and heterogeneity (</w:t>
      </w:r>
      <w:r w:rsidRPr="003A5350">
        <w:rPr>
          <w:rFonts w:ascii="Times New Roman" w:hAnsi="Times New Roman" w:cs="Times New Roman"/>
          <w:b/>
          <w:bCs/>
          <w:i/>
          <w:iCs/>
          <w:sz w:val="20"/>
          <w:szCs w:val="20"/>
        </w:rPr>
        <w:t>d</w:t>
      </w:r>
      <w:r w:rsidRPr="003A5350">
        <w:rPr>
          <w:rFonts w:ascii="Times New Roman" w:hAnsi="Times New Roman" w:cs="Times New Roman"/>
          <w:i/>
          <w:iCs/>
          <w:sz w:val="20"/>
          <w:szCs w:val="20"/>
        </w:rPr>
        <w:t>) across climatological gradients of annual mean temperature and precipitation</w:t>
      </w:r>
      <w:r>
        <w:rPr>
          <w:rFonts w:ascii="Times New Roman" w:hAnsi="Times New Roman" w:cs="Times New Roman"/>
          <w:i/>
          <w:iCs/>
          <w:sz w:val="20"/>
          <w:szCs w:val="20"/>
        </w:rPr>
        <w:t>.</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Relationship between mean light availability and light heterogeneity across European landscapes.</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Hexagonal binning shows the density of observations in the two-dimensional light-regime space, with darker colours indicating higher point density. The solid line represents the fitted Generalized Additive Model (GAM) describing the smooth relationship between mean light availability and light heterogeneity. Shaded ribbons indicate the 95% confidence interval of the GAM smooth, reflecting uncertainty in the estimated mean relationship. Model fit statistics (R² and p value) are shown in the upper-right corner of the panel.</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Both metrics were derived from the 10</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m light-availability map after masking non-natural land-cover types using the ESA WorldCover 2020 dataset</w:t>
      </w:r>
      <w:r w:rsidRPr="003A5350">
        <w:rPr>
          <w:rFonts w:ascii="Times New Roman" w:hAnsi="Times New Roman" w:cs="Times New Roman"/>
          <w:i/>
          <w:iCs/>
          <w:sz w:val="20"/>
          <w:szCs w:val="20"/>
        </w:rPr>
        <w:fldChar w:fldCharType="begin"/>
      </w:r>
      <w:r>
        <w:rPr>
          <w:rFonts w:ascii="Times New Roman" w:hAnsi="Times New Roman" w:cs="Times New Roman"/>
          <w:i/>
          <w:iCs/>
          <w:sz w:val="20"/>
          <w:szCs w:val="20"/>
        </w:rPr>
        <w:instrText xml:space="preserve"> ADDIN EN.CITE &lt;EndNote&gt;&lt;Cite&gt;&lt;Author&gt;Zanaga&lt;/Author&gt;&lt;Year&gt;2022&lt;/Year&gt;&lt;RecNum&gt;69&lt;/RecNum&gt;&lt;DisplayText&gt;&lt;style face="superscript"&gt;26&lt;/style&gt;&lt;/DisplayText&gt;&lt;record&gt;&lt;rec-number&gt;69&lt;/rec-number&gt;&lt;foreign-keys&gt;&lt;key app="EN" db-id="p02frddarfse07edze6psea0vxd29axz9wxw" timestamp="1767364484"&gt;69&lt;/key&gt;&lt;/foreign-keys&gt;&lt;ref-type name="Journal Article"&gt;17&lt;/ref-type&gt;&lt;contributors&gt;&lt;authors&gt;&lt;author&gt;Zanaga, Daniele&lt;/author&gt;&lt;author&gt;Van De Kerchove, Ruben&lt;/author&gt;&lt;author&gt;Daems, Dirk&lt;/author&gt;&lt;author&gt;De Keersmaecker, Wanda&lt;/author&gt;&lt;author&gt;Brockmann, Carsten&lt;/author&gt;&lt;author&gt;Kirches, Grit&lt;/author&gt;&lt;author&gt;Wevers, Jan&lt;/author&gt;&lt;author&gt;Cartus, Oliver&lt;/author&gt;&lt;author&gt;Santoro, Maurizio&lt;/author&gt;&lt;author&gt;Fritz, Steffen&lt;/author&gt;&lt;/authors&gt;&lt;/contributors&gt;&lt;titles&gt;&lt;title&gt;ESA WorldCover 10 m 2021 v200&lt;/title&gt;&lt;/titles&gt;&lt;dates&gt;&lt;year&gt;2022&lt;/year&gt;&lt;/dates&gt;&lt;urls&gt;&lt;/urls&gt;&lt;/record&gt;&lt;/Cite&gt;&lt;/EndNote&gt;</w:instrText>
      </w:r>
      <w:r w:rsidRPr="003A5350">
        <w:rPr>
          <w:rFonts w:ascii="Times New Roman" w:hAnsi="Times New Roman" w:cs="Times New Roman"/>
          <w:i/>
          <w:iCs/>
          <w:sz w:val="20"/>
          <w:szCs w:val="20"/>
        </w:rPr>
        <w:fldChar w:fldCharType="separate"/>
      </w:r>
      <w:r w:rsidRPr="00DF740C">
        <w:rPr>
          <w:rFonts w:ascii="Times New Roman" w:hAnsi="Times New Roman" w:cs="Times New Roman"/>
          <w:i/>
          <w:iCs/>
          <w:noProof/>
          <w:sz w:val="20"/>
          <w:szCs w:val="20"/>
          <w:vertAlign w:val="superscript"/>
        </w:rPr>
        <w:t>26</w:t>
      </w:r>
      <w:r w:rsidRPr="003A5350">
        <w:rPr>
          <w:rFonts w:ascii="Times New Roman" w:hAnsi="Times New Roman" w:cs="Times New Roman"/>
          <w:i/>
          <w:iCs/>
          <w:sz w:val="20"/>
          <w:szCs w:val="20"/>
        </w:rPr>
        <w:fldChar w:fldCharType="end"/>
      </w:r>
      <w:r w:rsidRPr="003A5350">
        <w:rPr>
          <w:rFonts w:ascii="Times New Roman" w:hAnsi="Times New Roman" w:cs="Times New Roman"/>
          <w:i/>
          <w:iCs/>
          <w:sz w:val="20"/>
          <w:szCs w:val="20"/>
        </w:rPr>
        <w:t xml:space="preserve"> (excluding cropland [40], built-up areas [50], bare/sparse vegetation [60], snow and ice [70], and permanent water bodies [80]).</w:t>
      </w:r>
    </w:p>
    <w:p w14:paraId="7B213B86" w14:textId="77777777" w:rsidR="002E08FA" w:rsidRPr="00406C6B" w:rsidRDefault="002E08FA" w:rsidP="002E08FA">
      <w:pPr>
        <w:spacing w:afterLines="50" w:after="120"/>
      </w:pPr>
    </w:p>
    <w:p w14:paraId="44F5757F" w14:textId="77777777" w:rsidR="002E08FA" w:rsidRDefault="002E08FA" w:rsidP="002E08FA">
      <w:pPr>
        <w:spacing w:afterLines="50" w:after="120" w:line="360" w:lineRule="auto"/>
        <w:jc w:val="both"/>
        <w:rPr>
          <w:rFonts w:ascii="Times New Roman" w:hAnsi="Times New Roman" w:cs="Times New Roman"/>
          <w:b/>
          <w:i/>
          <w:sz w:val="20"/>
          <w:szCs w:val="20"/>
        </w:rPr>
      </w:pPr>
      <w:r>
        <w:rPr>
          <w:noProof/>
        </w:rPr>
        <w:lastRenderedPageBreak/>
        <w:drawing>
          <wp:inline distT="0" distB="0" distL="0" distR="0" wp14:anchorId="2D8E5EE8" wp14:editId="49DBA866">
            <wp:extent cx="5731192" cy="3820795"/>
            <wp:effectExtent l="0" t="0" r="3175" b="8255"/>
            <wp:docPr id="3105476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47625"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31192" cy="3820795"/>
                    </a:xfrm>
                    <a:prstGeom prst="rect">
                      <a:avLst/>
                    </a:prstGeom>
                    <a:noFill/>
                    <a:ln>
                      <a:noFill/>
                    </a:ln>
                  </pic:spPr>
                </pic:pic>
              </a:graphicData>
            </a:graphic>
          </wp:inline>
        </w:drawing>
      </w:r>
      <w:r w:rsidRPr="003A5350">
        <w:rPr>
          <w:rFonts w:ascii="Times New Roman" w:hAnsi="Times New Roman" w:cs="Times New Roman"/>
          <w:b/>
          <w:i/>
          <w:sz w:val="20"/>
          <w:szCs w:val="20"/>
        </w:rPr>
        <w:t xml:space="preserve">Extended Data Fig. </w:t>
      </w:r>
      <w:r w:rsidRPr="003A5350">
        <w:rPr>
          <w:rFonts w:ascii="Times New Roman" w:hAnsi="Times New Roman" w:cs="Times New Roman" w:hint="eastAsia"/>
          <w:b/>
          <w:bCs/>
          <w:i/>
          <w:iCs/>
          <w:sz w:val="20"/>
          <w:szCs w:val="20"/>
        </w:rPr>
        <w:t>2</w:t>
      </w:r>
      <w:r w:rsidRPr="003A5350">
        <w:rPr>
          <w:rFonts w:ascii="Times New Roman" w:hAnsi="Times New Roman" w:cs="Times New Roman"/>
          <w:b/>
          <w:i/>
          <w:sz w:val="20"/>
          <w:szCs w:val="20"/>
        </w:rPr>
        <w:t xml:space="preserve"> | Light</w:t>
      </w:r>
      <w:r w:rsidRPr="003A5350">
        <w:rPr>
          <w:rFonts w:ascii="Times New Roman" w:hAnsi="Times New Roman" w:cs="Times New Roman" w:hint="eastAsia"/>
          <w:b/>
          <w:i/>
          <w:sz w:val="20"/>
          <w:szCs w:val="20"/>
        </w:rPr>
        <w:t xml:space="preserve"> </w:t>
      </w:r>
      <w:r w:rsidRPr="003A5350">
        <w:rPr>
          <w:rFonts w:ascii="Times New Roman" w:hAnsi="Times New Roman" w:cs="Times New Roman"/>
          <w:b/>
          <w:i/>
          <w:sz w:val="20"/>
          <w:szCs w:val="20"/>
        </w:rPr>
        <w:t>regime patterns across European biogeographic regions.</w:t>
      </w:r>
    </w:p>
    <w:p w14:paraId="17A95FAF" w14:textId="77777777" w:rsidR="002E08FA" w:rsidRPr="003A5350" w:rsidRDefault="002E08FA" w:rsidP="002E08FA">
      <w:pPr>
        <w:spacing w:afterLines="50" w:after="120" w:line="360" w:lineRule="auto"/>
        <w:jc w:val="both"/>
        <w:rPr>
          <w:rFonts w:ascii="Times New Roman" w:hAnsi="Times New Roman" w:cs="Times New Roman"/>
          <w:i/>
          <w:sz w:val="20"/>
          <w:szCs w:val="20"/>
        </w:rPr>
      </w:pPr>
      <w:r w:rsidRPr="003A5350">
        <w:rPr>
          <w:rFonts w:ascii="Times New Roman" w:hAnsi="Times New Roman" w:cs="Times New Roman"/>
          <w:i/>
          <w:sz w:val="20"/>
          <w:szCs w:val="20"/>
        </w:rPr>
        <w:t>Distributions of light availability (green) and light heterogeneity (purple) across nine biogeographic regions, with vertical lines marking regional means. Light-regime metrics were derived from 10</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m light-availability maps; heterogeneity represents the standard deviation within a 50</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 xml:space="preserve">m radius moving window. The y-axis (Count) represents the number of </w:t>
      </w:r>
      <w:r w:rsidRPr="003A5350">
        <w:rPr>
          <w:rFonts w:ascii="Times New Roman" w:hAnsi="Times New Roman" w:cs="Times New Roman" w:hint="eastAsia"/>
          <w:i/>
          <w:sz w:val="20"/>
          <w:szCs w:val="20"/>
        </w:rPr>
        <w:t xml:space="preserve">10 m pixels </w:t>
      </w:r>
      <w:r w:rsidRPr="003A5350">
        <w:rPr>
          <w:rFonts w:ascii="Times New Roman" w:hAnsi="Times New Roman" w:cs="Times New Roman"/>
          <w:i/>
          <w:sz w:val="20"/>
          <w:szCs w:val="20"/>
        </w:rPr>
        <w:t>falling within each bin.</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 xml:space="preserve">Only natural and semi-natural </w:t>
      </w:r>
      <w:r w:rsidRPr="003A5350">
        <w:rPr>
          <w:rFonts w:ascii="Times New Roman" w:hAnsi="Times New Roman" w:cs="Times New Roman" w:hint="eastAsia"/>
          <w:i/>
          <w:sz w:val="20"/>
          <w:szCs w:val="20"/>
        </w:rPr>
        <w:t>areas</w:t>
      </w:r>
      <w:r w:rsidRPr="003A5350">
        <w:rPr>
          <w:rFonts w:ascii="Times New Roman" w:hAnsi="Times New Roman" w:cs="Times New Roman"/>
          <w:i/>
          <w:sz w:val="20"/>
          <w:szCs w:val="20"/>
        </w:rPr>
        <w:t xml:space="preserve"> were included. Sample sizes (n) denote the number of 10</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m pixels randomly selected within each region based on the European biogeographic map</w:t>
      </w:r>
      <w:r w:rsidRPr="003A5350">
        <w:rPr>
          <w:rFonts w:ascii="Times New Roman" w:hAnsi="Times New Roman" w:cs="Times New Roman"/>
          <w:i/>
          <w:sz w:val="20"/>
          <w:szCs w:val="20"/>
        </w:rPr>
        <w:fldChar w:fldCharType="begin"/>
      </w:r>
      <w:r>
        <w:rPr>
          <w:rFonts w:ascii="Times New Roman" w:hAnsi="Times New Roman" w:cs="Times New Roman"/>
          <w:i/>
          <w:sz w:val="20"/>
          <w:szCs w:val="20"/>
        </w:rPr>
        <w:instrText xml:space="preserve"> ADDIN EN.CITE &lt;EndNote&gt;&lt;Cite&gt;&lt;Author&gt;Roekaerts&lt;/Author&gt;&lt;Year&gt;EEA, 2002&lt;/Year&gt;&lt;RecNum&gt;81&lt;/RecNum&gt;&lt;DisplayText&gt;&lt;style face="superscript"&gt;73&lt;/style&gt;&lt;/DisplayText&gt;&lt;record&gt;&lt;rec-number&gt;81&lt;/rec-number&gt;&lt;foreign-keys&gt;&lt;key app="EN" db-id="p02frddarfse07edze6psea0vxd29axz9wxw" timestamp="1770122004"&gt;81&lt;/key&gt;&lt;/foreign-keys&gt;&lt;ref-type name="Journal Article"&gt;17&lt;/ref-type&gt;&lt;contributors&gt;&lt;authors&gt;&lt;author&gt;Roekaerts, Marc&lt;/author&gt;&lt;/authors&gt;&lt;/contributors&gt;&lt;titles&gt;&lt;title&gt;The biogeographical regions map of Europe&lt;/title&gt;&lt;secondary-title&gt;Basic Principles of its Creation and Overview of its Development&lt;/secondary-title&gt;&lt;/titles&gt;&lt;periodical&gt;&lt;full-title&gt;Basic principles of its creation and overview of its development&lt;/full-title&gt;&lt;/periodical&gt;&lt;volume&gt;17&lt;/volume&gt;&lt;dates&gt;&lt;year&gt;EEA, 2002&lt;/year&gt;&lt;/dates&gt;&lt;urls&gt;&lt;/urls&gt;&lt;/record&gt;&lt;/Cite&gt;&lt;/EndNote&gt;</w:instrText>
      </w:r>
      <w:r w:rsidRPr="003A5350">
        <w:rPr>
          <w:rFonts w:ascii="Times New Roman" w:hAnsi="Times New Roman" w:cs="Times New Roman"/>
          <w:i/>
          <w:sz w:val="20"/>
          <w:szCs w:val="20"/>
        </w:rPr>
        <w:fldChar w:fldCharType="separate"/>
      </w:r>
      <w:r w:rsidRPr="00DF740C">
        <w:rPr>
          <w:rFonts w:ascii="Times New Roman" w:hAnsi="Times New Roman" w:cs="Times New Roman"/>
          <w:i/>
          <w:noProof/>
          <w:sz w:val="20"/>
          <w:szCs w:val="20"/>
          <w:vertAlign w:val="superscript"/>
        </w:rPr>
        <w:t>73</w:t>
      </w:r>
      <w:r w:rsidRPr="003A5350">
        <w:rPr>
          <w:rFonts w:ascii="Times New Roman" w:hAnsi="Times New Roman" w:cs="Times New Roman"/>
          <w:i/>
          <w:sz w:val="20"/>
          <w:szCs w:val="20"/>
        </w:rPr>
        <w:fldChar w:fldCharType="end"/>
      </w:r>
      <w:r w:rsidRPr="003A5350">
        <w:rPr>
          <w:rFonts w:ascii="Times New Roman" w:hAnsi="Times New Roman" w:cs="Times New Roman"/>
          <w:i/>
          <w:sz w:val="20"/>
          <w:szCs w:val="20"/>
        </w:rPr>
        <w:t>.</w:t>
      </w:r>
    </w:p>
    <w:p w14:paraId="57C8682E" w14:textId="77777777" w:rsidR="002E08FA" w:rsidRPr="00A757C4" w:rsidRDefault="002E08FA" w:rsidP="002E08FA">
      <w:pPr>
        <w:spacing w:afterLines="50" w:after="120" w:line="360" w:lineRule="auto"/>
        <w:jc w:val="both"/>
        <w:rPr>
          <w:rFonts w:ascii="Times New Roman" w:hAnsi="Times New Roman" w:cs="Times New Roman"/>
          <w:sz w:val="22"/>
          <w:szCs w:val="22"/>
        </w:rPr>
      </w:pPr>
      <w:r>
        <w:rPr>
          <w:noProof/>
        </w:rPr>
        <w:lastRenderedPageBreak/>
        <w:drawing>
          <wp:inline distT="0" distB="0" distL="0" distR="0" wp14:anchorId="0AD81ACA" wp14:editId="1F8860AC">
            <wp:extent cx="5679242" cy="5721985"/>
            <wp:effectExtent l="0" t="0" r="0" b="0"/>
            <wp:docPr id="10623299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29915" name="Picture 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79242" cy="5721985"/>
                    </a:xfrm>
                    <a:prstGeom prst="rect">
                      <a:avLst/>
                    </a:prstGeom>
                  </pic:spPr>
                </pic:pic>
              </a:graphicData>
            </a:graphic>
          </wp:inline>
        </w:drawing>
      </w:r>
      <w:r>
        <w:br/>
      </w:r>
      <w:r w:rsidRPr="003A5350">
        <w:rPr>
          <w:rFonts w:ascii="Times New Roman" w:hAnsi="Times New Roman" w:cs="Times New Roman"/>
          <w:b/>
          <w:i/>
          <w:sz w:val="20"/>
          <w:szCs w:val="20"/>
        </w:rPr>
        <w:t xml:space="preserve">Extended Data Fig. </w:t>
      </w:r>
      <w:r w:rsidRPr="003A5350">
        <w:rPr>
          <w:rFonts w:ascii="Times New Roman" w:hAnsi="Times New Roman" w:cs="Times New Roman" w:hint="eastAsia"/>
          <w:b/>
          <w:bCs/>
          <w:i/>
          <w:iCs/>
          <w:sz w:val="20"/>
          <w:szCs w:val="20"/>
        </w:rPr>
        <w:t>3</w:t>
      </w:r>
      <w:r w:rsidRPr="003A5350">
        <w:rPr>
          <w:rFonts w:ascii="Times New Roman" w:hAnsi="Times New Roman" w:cs="Times New Roman"/>
          <w:b/>
          <w:i/>
          <w:sz w:val="20"/>
          <w:szCs w:val="20"/>
        </w:rPr>
        <w:t xml:space="preserve"> | Light</w:t>
      </w:r>
      <w:r w:rsidRPr="003A5350">
        <w:rPr>
          <w:rFonts w:ascii="Times New Roman" w:hAnsi="Times New Roman" w:cs="Times New Roman" w:hint="eastAsia"/>
          <w:b/>
          <w:i/>
          <w:sz w:val="20"/>
          <w:szCs w:val="20"/>
        </w:rPr>
        <w:t xml:space="preserve"> </w:t>
      </w:r>
      <w:r w:rsidRPr="003A5350">
        <w:rPr>
          <w:rFonts w:ascii="Times New Roman" w:hAnsi="Times New Roman" w:cs="Times New Roman"/>
          <w:b/>
          <w:i/>
          <w:sz w:val="20"/>
          <w:szCs w:val="20"/>
        </w:rPr>
        <w:t>regime patterns across forest (T) and grassland (R) habitat types</w:t>
      </w:r>
      <w:r w:rsidRPr="003A5350">
        <w:rPr>
          <w:rFonts w:ascii="Times New Roman" w:hAnsi="Times New Roman" w:cs="Times New Roman"/>
          <w:b/>
          <w:bCs/>
          <w:i/>
          <w:iCs/>
          <w:sz w:val="20"/>
          <w:szCs w:val="20"/>
        </w:rPr>
        <w:t xml:space="preserve"> (EUNIS level 3).</w:t>
      </w:r>
      <w:r w:rsidRPr="003A5350">
        <w:rPr>
          <w:rFonts w:ascii="Times New Roman" w:hAnsi="Times New Roman" w:cs="Times New Roman" w:hint="eastAsia"/>
          <w:b/>
          <w:i/>
          <w:sz w:val="20"/>
          <w:szCs w:val="20"/>
        </w:rPr>
        <w:t xml:space="preserve"> </w:t>
      </w:r>
      <w:r w:rsidRPr="003A5350">
        <w:rPr>
          <w:rFonts w:ascii="Times New Roman" w:hAnsi="Times New Roman" w:cs="Times New Roman"/>
          <w:i/>
          <w:sz w:val="20"/>
          <w:szCs w:val="20"/>
        </w:rPr>
        <w:t>Panels a–b show, respectively, light availability and light heterogeneity across forest habitat types, while c–d present the corresponding patterns for grassland habitats. White points indicate habitat-level averages. Light-regime variables were derived from 10</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m resolution light-availability maps; heterogeneity was quantified as the standard deviation within a 50</w:t>
      </w:r>
      <w:r w:rsidRPr="003A5350">
        <w:rPr>
          <w:rFonts w:ascii="Times New Roman" w:hAnsi="Times New Roman" w:cs="Times New Roman" w:hint="eastAsia"/>
          <w:i/>
          <w:sz w:val="20"/>
          <w:szCs w:val="20"/>
        </w:rPr>
        <w:t xml:space="preserve"> </w:t>
      </w:r>
      <w:r w:rsidRPr="003A5350">
        <w:rPr>
          <w:rFonts w:ascii="Times New Roman" w:hAnsi="Times New Roman" w:cs="Times New Roman"/>
          <w:i/>
          <w:sz w:val="20"/>
          <w:szCs w:val="20"/>
        </w:rPr>
        <w:t>m radius moving window. Analyses were restricted to natural and semi-natural land-cover classes. Random samples were drawn within each habitat type using the European EUNIS habitat map.</w:t>
      </w:r>
      <w:r w:rsidRPr="003A5350">
        <w:rPr>
          <w:rFonts w:ascii="Times New Roman" w:hAnsi="Times New Roman" w:cs="Times New Roman"/>
          <w:i/>
          <w:iCs/>
          <w:sz w:val="20"/>
          <w:szCs w:val="20"/>
        </w:rPr>
        <w:t xml:space="preserve"> Forest habitats (T) include </w:t>
      </w:r>
      <w:r w:rsidRPr="003A5350">
        <w:rPr>
          <w:rFonts w:ascii="Times New Roman" w:hAnsi="Times New Roman" w:cs="Times New Roman"/>
          <w:b/>
          <w:bCs/>
          <w:i/>
          <w:iCs/>
          <w:sz w:val="20"/>
          <w:szCs w:val="20"/>
        </w:rPr>
        <w:t>T1 – Broadleaved deciduous forests</w:t>
      </w:r>
      <w:r w:rsidRPr="003A5350">
        <w:rPr>
          <w:rFonts w:ascii="Times New Roman" w:hAnsi="Times New Roman" w:cs="Times New Roman"/>
          <w:i/>
          <w:iCs/>
          <w:sz w:val="20"/>
          <w:szCs w:val="20"/>
        </w:rPr>
        <w:t xml:space="preserve">, comprising T11 – Temperate Salix and Populus riparian forest, T12 – Alnus glutinosa–Alnus incana forest on riparian and mineral soils, T13 – Temperate hardwood riparian forest, T14 – Mediterranean and Macaronesian riparian forest, T15 – Broadleaved swamp forest on non-acid peat, T16 – Broadleaved mire forest on acid peat, T17 – Fagus forest on non-acid soils, T18 – Fagus forest on acid soils, T19 – Temperate and submediterranean thermophilous deciduous forest, T1A – Mediterranean thermophilous deciduous forest, T1B – Acidophilous Quercus forest, T1C – Temperate and boreal mountain Betula and Populus tremula forest on mineral soils, T1D – Southern European mountain Betula and Populus tremula forest on mineral soils, T1E – Carpinus and Quercus mesic deciduous forest, T1F – Ravine </w:t>
      </w:r>
      <w:r w:rsidRPr="003A5350">
        <w:rPr>
          <w:rFonts w:ascii="Times New Roman" w:hAnsi="Times New Roman" w:cs="Times New Roman"/>
          <w:i/>
          <w:iCs/>
          <w:sz w:val="20"/>
          <w:szCs w:val="20"/>
        </w:rPr>
        <w:lastRenderedPageBreak/>
        <w:t xml:space="preserve">forest, T1G – Alnus cordata forest, and T1H – Broadleaved deciduous plantation of non site-native trees. Forest habitats further include </w:t>
      </w:r>
      <w:r w:rsidRPr="003A5350">
        <w:rPr>
          <w:rFonts w:ascii="Times New Roman" w:hAnsi="Times New Roman" w:cs="Times New Roman"/>
          <w:b/>
          <w:bCs/>
          <w:i/>
          <w:iCs/>
          <w:sz w:val="20"/>
          <w:szCs w:val="20"/>
        </w:rPr>
        <w:t>T2 – Broadleaved evergreen forests</w:t>
      </w:r>
      <w:r w:rsidRPr="003A5350">
        <w:rPr>
          <w:rFonts w:ascii="Times New Roman" w:hAnsi="Times New Roman" w:cs="Times New Roman"/>
          <w:i/>
          <w:iCs/>
          <w:sz w:val="20"/>
          <w:szCs w:val="20"/>
        </w:rPr>
        <w:t xml:space="preserve">, consisting of T21 – Mediterranean evergreen Quercus forest, T22 – Mainland laurophyllous forest, T24 – Olea europaea–Ceratonia siliqua forest, T27 – Ilex aquifolium forest, and T2A – Broadleaved evergreen plantation of site-native trees; </w:t>
      </w:r>
      <w:r w:rsidRPr="003A5350">
        <w:rPr>
          <w:rFonts w:ascii="Times New Roman" w:hAnsi="Times New Roman" w:cs="Times New Roman"/>
          <w:b/>
          <w:bCs/>
          <w:i/>
          <w:iCs/>
          <w:sz w:val="20"/>
          <w:szCs w:val="20"/>
        </w:rPr>
        <w:t xml:space="preserve">T3 – Coniferous forests, </w:t>
      </w:r>
      <w:r w:rsidRPr="003A5350">
        <w:rPr>
          <w:rFonts w:ascii="Times New Roman" w:hAnsi="Times New Roman" w:cs="Times New Roman"/>
          <w:i/>
          <w:iCs/>
          <w:sz w:val="20"/>
          <w:szCs w:val="20"/>
        </w:rPr>
        <w:t xml:space="preserve">including T31 – Temperate mountain Picea forest, T32 – Temperate mountain Abies forest, T33 – Mediterranean mountain Abies forest, T34 – Temperate subalpine Larix, Pinus cembra and Pinus uncinata forest, T35 – Temperate continental Pinus sylvestris forest, T36 – Temperate and submediterranean montane Pinus sylvestris–Pinus nigra forest, T37 – Mediterranean montane Pinus sylvestris–Pinus nigra forest, T38 – Mediterranean montane Cedrus forest, T39 – Mediterranean and Balkan subalpine Pinus heldreichii–Pinus peuce forest, T3A – Mediterranean lowland to submontane Pinus forest, T3C – Taxus baccata forest, T3D – Mediterranean Cupressaceae forest, T3F – Dark taiga, T3G – Pinus sylvestris light taiga, T3J – Pinus and Larix mire forest, and T3K – Picea mire forest; and </w:t>
      </w:r>
      <w:r w:rsidRPr="003A5350">
        <w:rPr>
          <w:rFonts w:ascii="Times New Roman" w:hAnsi="Times New Roman" w:cs="Times New Roman"/>
          <w:b/>
          <w:bCs/>
          <w:i/>
          <w:iCs/>
          <w:sz w:val="20"/>
          <w:szCs w:val="20"/>
        </w:rPr>
        <w:t>T4 – Lines of trees, small anthropogenic forests, recently felled forest, early-stage forest and coppice</w:t>
      </w:r>
      <w:r w:rsidRPr="003A5350">
        <w:rPr>
          <w:rFonts w:ascii="Times New Roman" w:hAnsi="Times New Roman" w:cs="Times New Roman"/>
          <w:i/>
          <w:iCs/>
          <w:sz w:val="20"/>
          <w:szCs w:val="20"/>
        </w:rPr>
        <w:t xml:space="preserve">, including T41 – Early-stage natural and semi-natural forest and regrowth and T43 – Recently felled area. Grassland and open habitats (R) include </w:t>
      </w:r>
      <w:r w:rsidRPr="003A5350">
        <w:rPr>
          <w:rFonts w:ascii="Times New Roman" w:hAnsi="Times New Roman" w:cs="Times New Roman"/>
          <w:b/>
          <w:bCs/>
          <w:i/>
          <w:iCs/>
          <w:sz w:val="20"/>
          <w:szCs w:val="20"/>
        </w:rPr>
        <w:t>R1 – Dry grasslands,</w:t>
      </w:r>
      <w:r w:rsidRPr="003A5350">
        <w:rPr>
          <w:rFonts w:ascii="Times New Roman" w:hAnsi="Times New Roman" w:cs="Times New Roman"/>
          <w:i/>
          <w:iCs/>
          <w:sz w:val="20"/>
          <w:szCs w:val="20"/>
        </w:rPr>
        <w:t xml:space="preserve"> comprising R11 – Pannonian and Pontic sandy steppe, R12 – Cryptogam- and annual-dominated vegetation on siliceous rock outcrops, R13 – Cryptogam- and annual-dominated vegetation on calcareous and ultramafic rock outcrops, R14 – Perennial rocky grassland of the Italian Peninsula, R15 – Continental dry rocky steppic grassland and dwarf scrub on chalk outcrops, R16 – Perennial rocky grassland of Central and South-Eastern Europe, R18 – Perennial rocky calcareous grassland of subatlantic-submediterranean Europe, R19 – Dry steppic submediterranean pasture of the Amphi-Adriatic region, R1A – Semi-dry perennial calcareous grassland (meadow steppe), R1B – Continental dry grassland (true steppe), R1D – Mediterranean closely grazed dry grassland, R1E – Mediterranean tall perennial dry grassland, R1F – Mediterranean annual-rich dry grassland, R1G – Iberian oromediterranean siliceous dry grassland, R1H – Iberian oromediterranean basiphilous dry grassland, R1K – Balkan and Anatolian oromediterranean dry grassland, R1M – Lowland to montane, dry to mesic grassland usually dominated by Nardus stricta, R1P – Oceanic to subcontinental inland sand grassland on dry acid and neutral soils, R1Q – Inland sand</w:t>
      </w:r>
      <w:r w:rsidRPr="003A5350">
        <w:rPr>
          <w:rFonts w:ascii="Times New Roman" w:hAnsi="Times New Roman" w:cs="Times New Roman" w:hint="eastAsia"/>
          <w:i/>
          <w:iCs/>
          <w:sz w:val="20"/>
          <w:szCs w:val="20"/>
        </w:rPr>
        <w:t xml:space="preserve"> </w:t>
      </w:r>
      <w:r w:rsidRPr="003A5350">
        <w:rPr>
          <w:rFonts w:ascii="Times New Roman" w:hAnsi="Times New Roman" w:cs="Times New Roman"/>
          <w:i/>
          <w:iCs/>
          <w:sz w:val="20"/>
          <w:szCs w:val="20"/>
        </w:rPr>
        <w:t xml:space="preserve">drift and dune with siliceous grassland, and R1R – Mediterranean to Atlantic open, dry, acid and neutral grassland. Additional open habitats include </w:t>
      </w:r>
      <w:r w:rsidRPr="003A5350">
        <w:rPr>
          <w:rFonts w:ascii="Times New Roman" w:hAnsi="Times New Roman" w:cs="Times New Roman"/>
          <w:b/>
          <w:bCs/>
          <w:i/>
          <w:iCs/>
          <w:sz w:val="20"/>
          <w:szCs w:val="20"/>
        </w:rPr>
        <w:t>R2 – Mesic grasslands</w:t>
      </w:r>
      <w:r w:rsidRPr="003A5350">
        <w:rPr>
          <w:rFonts w:ascii="Times New Roman" w:hAnsi="Times New Roman" w:cs="Times New Roman"/>
          <w:i/>
          <w:iCs/>
          <w:sz w:val="20"/>
          <w:szCs w:val="20"/>
        </w:rPr>
        <w:t xml:space="preserve">, consisting of R21 – Mesic permanent pasture of lowlands and mountains, R22 – Low and medium altitude hay meadow, R23 – Mountain hay meadow, and R24 – Iberian summer pasture (vallicar); </w:t>
      </w:r>
      <w:r w:rsidRPr="003A5350">
        <w:rPr>
          <w:rFonts w:ascii="Times New Roman" w:hAnsi="Times New Roman" w:cs="Times New Roman"/>
          <w:b/>
          <w:bCs/>
          <w:i/>
          <w:iCs/>
          <w:sz w:val="20"/>
          <w:szCs w:val="20"/>
        </w:rPr>
        <w:t>R3 – Seasonally wet and wet grasslands</w:t>
      </w:r>
      <w:r w:rsidRPr="003A5350">
        <w:rPr>
          <w:rFonts w:ascii="Times New Roman" w:hAnsi="Times New Roman" w:cs="Times New Roman"/>
          <w:i/>
          <w:iCs/>
          <w:sz w:val="20"/>
          <w:szCs w:val="20"/>
        </w:rPr>
        <w:t xml:space="preserve">, including R31 – Mediterranean tall humid inland grassland, R33 – Mediterranean short moist grassland of mountains, R34 – Submediterranean moist meadow, R35 – Moist or wet mesotrophic to eutrophic hay meadow, R36 – Moist or wet mesotrophic to eutrophic pasture, and R37 – Temperate and boreal moist or wet oligotrophic grassland; </w:t>
      </w:r>
      <w:r w:rsidRPr="003A5350">
        <w:rPr>
          <w:rFonts w:ascii="Times New Roman" w:hAnsi="Times New Roman" w:cs="Times New Roman"/>
          <w:b/>
          <w:bCs/>
          <w:i/>
          <w:iCs/>
          <w:sz w:val="20"/>
          <w:szCs w:val="20"/>
        </w:rPr>
        <w:t>R4 – Alpine and subalpine grasslands</w:t>
      </w:r>
      <w:r w:rsidRPr="003A5350">
        <w:rPr>
          <w:rFonts w:ascii="Times New Roman" w:hAnsi="Times New Roman" w:cs="Times New Roman"/>
          <w:i/>
          <w:iCs/>
          <w:sz w:val="20"/>
          <w:szCs w:val="20"/>
        </w:rPr>
        <w:t xml:space="preserve">, including R42 – Boreal and Arctic acidophilous alpine grassland, R43 – Temperate acidophilous alpine grassland, R44 – Arctic-alpine calcareous grassland, and R45 – Alpine and subalpine calcareous grassland of the Balkans and Apennines; </w:t>
      </w:r>
      <w:r w:rsidRPr="003A5350">
        <w:rPr>
          <w:rFonts w:ascii="Times New Roman" w:hAnsi="Times New Roman" w:cs="Times New Roman"/>
          <w:b/>
          <w:bCs/>
          <w:i/>
          <w:iCs/>
          <w:sz w:val="20"/>
          <w:szCs w:val="20"/>
        </w:rPr>
        <w:t>R5 – Woodland fringes and clearings and tall forb stands</w:t>
      </w:r>
      <w:r w:rsidRPr="003A5350">
        <w:rPr>
          <w:rFonts w:ascii="Times New Roman" w:hAnsi="Times New Roman" w:cs="Times New Roman"/>
          <w:i/>
          <w:iCs/>
          <w:sz w:val="20"/>
          <w:szCs w:val="20"/>
        </w:rPr>
        <w:t xml:space="preserve">, including R51 – Thermophilous forest fringe of base-rich soils, R52 – Forest fringe of acidic nutrient-poor soils, R53 – Macaronesian thermophilous forest fringe, R54 – Pteridium aquilinum vegetation, R55 – Lowland moist or wet tall-herb and fern fringe, R56 – Montane to subalpine moist or wet tall-herb and fern fringe, and R57 – Herbaceous forest clearing vegetation; and </w:t>
      </w:r>
      <w:r w:rsidRPr="003A5350">
        <w:rPr>
          <w:rFonts w:ascii="Times New Roman" w:hAnsi="Times New Roman" w:cs="Times New Roman"/>
          <w:b/>
          <w:bCs/>
          <w:i/>
          <w:iCs/>
          <w:sz w:val="20"/>
          <w:szCs w:val="20"/>
        </w:rPr>
        <w:t>R6 – Inland salt steppes</w:t>
      </w:r>
      <w:r w:rsidRPr="003A5350">
        <w:rPr>
          <w:rFonts w:ascii="Times New Roman" w:hAnsi="Times New Roman" w:cs="Times New Roman"/>
          <w:i/>
          <w:iCs/>
          <w:sz w:val="20"/>
          <w:szCs w:val="20"/>
        </w:rPr>
        <w:t xml:space="preserve">, including R61 – Mediterranean </w:t>
      </w:r>
      <w:r w:rsidRPr="003A5350">
        <w:rPr>
          <w:rFonts w:ascii="Times New Roman" w:hAnsi="Times New Roman" w:cs="Times New Roman"/>
          <w:i/>
          <w:iCs/>
          <w:sz w:val="20"/>
          <w:szCs w:val="20"/>
        </w:rPr>
        <w:lastRenderedPageBreak/>
        <w:t>inland salt steppe, R62 – Continental inland salt steppe, and R65 – Continental subsaline alluvial pasture and meadow.</w:t>
      </w:r>
    </w:p>
    <w:p w14:paraId="3E51A1F9" w14:textId="77777777" w:rsidR="002E08FA" w:rsidRPr="00C223FE" w:rsidRDefault="002E08FA" w:rsidP="002E08FA">
      <w:pPr>
        <w:pStyle w:val="NormalWeb"/>
        <w:spacing w:afterLines="50" w:after="120" w:afterAutospacing="0"/>
        <w:jc w:val="both"/>
      </w:pPr>
      <w:r w:rsidRPr="00182A4B">
        <w:rPr>
          <w:rFonts w:eastAsiaTheme="minorEastAsia"/>
          <w:i/>
          <w:iCs/>
          <w:noProof/>
          <w:sz w:val="20"/>
          <w:szCs w:val="20"/>
        </w:rPr>
        <w:drawing>
          <wp:inline distT="0" distB="0" distL="0" distR="0" wp14:anchorId="4DF15D2E" wp14:editId="36218448">
            <wp:extent cx="5454650" cy="2486660"/>
            <wp:effectExtent l="0" t="0" r="0" b="8890"/>
            <wp:docPr id="3" name="Picture 2">
              <a:extLst xmlns:a="http://schemas.openxmlformats.org/drawingml/2006/main">
                <a:ext uri="{FF2B5EF4-FFF2-40B4-BE49-F238E27FC236}">
                  <a16:creationId xmlns:a16="http://schemas.microsoft.com/office/drawing/2014/main" id="{EFBDDBF0-D855-0346-1442-3B5ADE7C8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FBDDBF0-D855-0346-1442-3B5ADE7C8016}"/>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459" r="2132"/>
                    <a:stretch>
                      <a:fillRect/>
                    </a:stretch>
                  </pic:blipFill>
                  <pic:spPr bwMode="auto">
                    <a:xfrm>
                      <a:off x="0" y="0"/>
                      <a:ext cx="5459623" cy="2488927"/>
                    </a:xfrm>
                    <a:prstGeom prst="rect">
                      <a:avLst/>
                    </a:prstGeom>
                    <a:ln>
                      <a:noFill/>
                    </a:ln>
                    <a:extLst>
                      <a:ext uri="{53640926-AAD7-44D8-BBD7-CCE9431645EC}">
                        <a14:shadowObscured xmlns:a14="http://schemas.microsoft.com/office/drawing/2010/main"/>
                      </a:ext>
                    </a:extLst>
                  </pic:spPr>
                </pic:pic>
              </a:graphicData>
            </a:graphic>
          </wp:inline>
        </w:drawing>
      </w:r>
    </w:p>
    <w:p w14:paraId="5CBFB18F" w14:textId="77777777" w:rsidR="002E08FA" w:rsidRDefault="002E08FA" w:rsidP="002E08FA">
      <w:pPr>
        <w:pStyle w:val="NormalWeb"/>
        <w:spacing w:afterLines="50" w:after="120" w:afterAutospacing="0" w:line="360" w:lineRule="auto"/>
        <w:jc w:val="both"/>
        <w:rPr>
          <w:rFonts w:eastAsiaTheme="minorEastAsia"/>
          <w:b/>
          <w:bCs/>
          <w:i/>
          <w:iCs/>
          <w:sz w:val="20"/>
          <w:szCs w:val="20"/>
        </w:rPr>
      </w:pPr>
      <w:r w:rsidRPr="1DD21838">
        <w:rPr>
          <w:b/>
          <w:bCs/>
          <w:i/>
          <w:iCs/>
          <w:color w:val="000000" w:themeColor="text1"/>
          <w:sz w:val="20"/>
          <w:szCs w:val="20"/>
        </w:rPr>
        <w:t xml:space="preserve">Extended Data Fig. </w:t>
      </w:r>
      <w:r>
        <w:rPr>
          <w:rFonts w:eastAsiaTheme="minorEastAsia" w:hint="eastAsia"/>
          <w:b/>
          <w:bCs/>
          <w:i/>
          <w:iCs/>
          <w:color w:val="000000" w:themeColor="text1"/>
          <w:sz w:val="20"/>
          <w:szCs w:val="20"/>
        </w:rPr>
        <w:t>4</w:t>
      </w:r>
      <w:r w:rsidRPr="1DD21838">
        <w:rPr>
          <w:b/>
          <w:bCs/>
          <w:i/>
          <w:iCs/>
          <w:color w:val="000000" w:themeColor="text1"/>
          <w:sz w:val="20"/>
          <w:szCs w:val="20"/>
        </w:rPr>
        <w:t xml:space="preserve"> |</w:t>
      </w:r>
      <w:r w:rsidRPr="1DD21838">
        <w:rPr>
          <w:i/>
          <w:iCs/>
          <w:color w:val="000000" w:themeColor="text1"/>
          <w:sz w:val="20"/>
          <w:szCs w:val="20"/>
        </w:rPr>
        <w:t xml:space="preserve"> </w:t>
      </w:r>
      <w:r w:rsidRPr="0054048C">
        <w:rPr>
          <w:rFonts w:eastAsiaTheme="minorEastAsia"/>
          <w:b/>
          <w:bCs/>
          <w:i/>
          <w:iCs/>
          <w:sz w:val="20"/>
          <w:szCs w:val="20"/>
        </w:rPr>
        <w:t>Correlation matrix of predictor variables included in the plant diversity models.</w:t>
      </w:r>
    </w:p>
    <w:p w14:paraId="410BAE90" w14:textId="77777777" w:rsidR="002E08FA" w:rsidRDefault="002E08FA" w:rsidP="002E08FA">
      <w:pPr>
        <w:pStyle w:val="NormalWeb"/>
        <w:spacing w:afterLines="50" w:after="120" w:afterAutospacing="0" w:line="360" w:lineRule="auto"/>
        <w:jc w:val="both"/>
        <w:rPr>
          <w:rFonts w:eastAsiaTheme="minorEastAsia"/>
          <w:i/>
          <w:iCs/>
          <w:sz w:val="20"/>
          <w:szCs w:val="20"/>
        </w:rPr>
      </w:pPr>
      <w:r w:rsidRPr="0054048C">
        <w:rPr>
          <w:rFonts w:eastAsiaTheme="minorEastAsia"/>
          <w:i/>
          <w:iCs/>
          <w:sz w:val="20"/>
          <w:szCs w:val="20"/>
        </w:rPr>
        <w:t xml:space="preserve">Pearson correlation coefficients among environmental predictors used in the final plant diversity models at the </w:t>
      </w:r>
      <w:r>
        <w:rPr>
          <w:rFonts w:eastAsiaTheme="minorEastAsia" w:hint="eastAsia"/>
          <w:i/>
          <w:iCs/>
          <w:sz w:val="20"/>
          <w:szCs w:val="20"/>
        </w:rPr>
        <w:t>local</w:t>
      </w:r>
      <w:r w:rsidRPr="0054048C">
        <w:rPr>
          <w:rFonts w:eastAsiaTheme="minorEastAsia"/>
          <w:i/>
          <w:iCs/>
          <w:sz w:val="20"/>
          <w:szCs w:val="20"/>
        </w:rPr>
        <w:t xml:space="preserve"> scale (a) and landscape scale (b). Numbers within cells indicate pairwise correlation coefficients (r), with red and blue colours representing positive and negative correlations, respectively. Overall, correlations among predictors were moderate (|r| &lt; 0.6), indicating low risk of severe multicollinearity. Variable abbreviations are as follows: bio01, annual mean temperature; bio04, temperature seasonality; bio12, annual precipitation; CEC, soil cation exchange capacity; nitrogen, soil nitrogen content; pH, soil pH; and Plot area, vegetation plot area.</w:t>
      </w:r>
    </w:p>
    <w:p w14:paraId="7834AE90" w14:textId="77777777" w:rsidR="002E08FA" w:rsidRDefault="002E08FA" w:rsidP="002E08FA">
      <w:pPr>
        <w:pStyle w:val="NormalWeb"/>
        <w:spacing w:afterLines="50" w:after="120" w:afterAutospacing="0" w:line="360" w:lineRule="auto"/>
        <w:jc w:val="both"/>
        <w:rPr>
          <w:rFonts w:eastAsiaTheme="minorEastAsia"/>
          <w:i/>
          <w:iCs/>
          <w:sz w:val="20"/>
          <w:szCs w:val="20"/>
        </w:rPr>
      </w:pPr>
      <w:r w:rsidRPr="00F23AC0">
        <w:rPr>
          <w:rFonts w:eastAsiaTheme="minorEastAsia"/>
          <w:i/>
          <w:iCs/>
          <w:noProof/>
          <w:sz w:val="20"/>
          <w:szCs w:val="20"/>
        </w:rPr>
        <w:lastRenderedPageBreak/>
        <w:drawing>
          <wp:inline distT="0" distB="0" distL="0" distR="0" wp14:anchorId="2A1C9653" wp14:editId="25BFA620">
            <wp:extent cx="5731510" cy="4887595"/>
            <wp:effectExtent l="0" t="0" r="2540" b="8255"/>
            <wp:docPr id="4" name="Picture 3">
              <a:extLst xmlns:a="http://schemas.openxmlformats.org/drawingml/2006/main">
                <a:ext uri="{FF2B5EF4-FFF2-40B4-BE49-F238E27FC236}">
                  <a16:creationId xmlns:a16="http://schemas.microsoft.com/office/drawing/2014/main" id="{111E3AE5-E221-13BD-8D1E-4B2C08B68D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11E3AE5-E221-13BD-8D1E-4B2C08B68D6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887595"/>
                    </a:xfrm>
                    <a:prstGeom prst="rect">
                      <a:avLst/>
                    </a:prstGeom>
                  </pic:spPr>
                </pic:pic>
              </a:graphicData>
            </a:graphic>
          </wp:inline>
        </w:drawing>
      </w:r>
    </w:p>
    <w:p w14:paraId="1819CBDE" w14:textId="77777777" w:rsidR="002E08FA" w:rsidRDefault="002E08FA" w:rsidP="002E08FA">
      <w:pPr>
        <w:pStyle w:val="NormalWeb"/>
        <w:spacing w:afterLines="50" w:after="120" w:afterAutospacing="0" w:line="360" w:lineRule="auto"/>
        <w:jc w:val="both"/>
        <w:rPr>
          <w:rFonts w:eastAsiaTheme="minorEastAsia"/>
          <w:b/>
          <w:bCs/>
          <w:i/>
          <w:iCs/>
          <w:sz w:val="20"/>
          <w:szCs w:val="20"/>
        </w:rPr>
      </w:pPr>
      <w:r w:rsidRPr="1DD21838">
        <w:rPr>
          <w:b/>
          <w:bCs/>
          <w:i/>
          <w:iCs/>
          <w:color w:val="000000" w:themeColor="text1"/>
          <w:sz w:val="20"/>
          <w:szCs w:val="20"/>
        </w:rPr>
        <w:t xml:space="preserve">Extended Data Fig. </w:t>
      </w:r>
      <w:r>
        <w:rPr>
          <w:rFonts w:eastAsiaTheme="minorEastAsia" w:hint="eastAsia"/>
          <w:b/>
          <w:bCs/>
          <w:i/>
          <w:iCs/>
          <w:color w:val="000000" w:themeColor="text1"/>
          <w:sz w:val="20"/>
          <w:szCs w:val="20"/>
        </w:rPr>
        <w:t>5</w:t>
      </w:r>
      <w:r w:rsidRPr="1DD21838">
        <w:rPr>
          <w:b/>
          <w:bCs/>
          <w:i/>
          <w:iCs/>
          <w:color w:val="000000" w:themeColor="text1"/>
          <w:sz w:val="20"/>
          <w:szCs w:val="20"/>
        </w:rPr>
        <w:t xml:space="preserve"> |</w:t>
      </w:r>
      <w:r w:rsidRPr="1DD21838">
        <w:rPr>
          <w:i/>
          <w:iCs/>
          <w:color w:val="000000" w:themeColor="text1"/>
          <w:sz w:val="20"/>
          <w:szCs w:val="20"/>
        </w:rPr>
        <w:t xml:space="preserve"> </w:t>
      </w:r>
      <w:r w:rsidRPr="00685FDA">
        <w:rPr>
          <w:rFonts w:eastAsiaTheme="minorEastAsia"/>
          <w:b/>
          <w:bCs/>
          <w:i/>
          <w:iCs/>
          <w:sz w:val="20"/>
          <w:szCs w:val="20"/>
        </w:rPr>
        <w:t>Cross-validated observed versus predicted plant diversity across spatial scales</w:t>
      </w:r>
      <w:r w:rsidRPr="0054048C">
        <w:rPr>
          <w:rFonts w:eastAsiaTheme="minorEastAsia"/>
          <w:b/>
          <w:bCs/>
          <w:i/>
          <w:iCs/>
          <w:sz w:val="20"/>
          <w:szCs w:val="20"/>
        </w:rPr>
        <w:t>.</w:t>
      </w:r>
    </w:p>
    <w:p w14:paraId="30AEB960" w14:textId="77777777" w:rsidR="002E08FA" w:rsidRDefault="002E08FA" w:rsidP="002E08FA">
      <w:pPr>
        <w:pStyle w:val="NormalWeb"/>
        <w:spacing w:afterLines="50" w:after="120" w:afterAutospacing="0" w:line="360" w:lineRule="auto"/>
        <w:jc w:val="both"/>
        <w:rPr>
          <w:rFonts w:eastAsiaTheme="minorEastAsia"/>
          <w:i/>
          <w:iCs/>
          <w:sz w:val="20"/>
          <w:szCs w:val="20"/>
        </w:rPr>
      </w:pPr>
      <w:r w:rsidRPr="00955371">
        <w:rPr>
          <w:rFonts w:eastAsiaTheme="minorEastAsia"/>
          <w:i/>
          <w:iCs/>
          <w:sz w:val="20"/>
          <w:szCs w:val="20"/>
        </w:rPr>
        <w:t xml:space="preserve">Hexbin plots show the relationship between observed and predicted diversity values from five-fold spatial cross-validation. Colours indicate the number of observations per hexagonal bin on a logarithmic scale. The blue dashed line represents the 1:1 relationship, and the red solid line shows the fitted linear regression. Panel </w:t>
      </w:r>
      <w:r w:rsidRPr="005B566C">
        <w:rPr>
          <w:rFonts w:eastAsiaTheme="minorEastAsia"/>
          <w:b/>
          <w:bCs/>
          <w:i/>
          <w:iCs/>
          <w:sz w:val="20"/>
          <w:szCs w:val="20"/>
        </w:rPr>
        <w:t>a</w:t>
      </w:r>
      <w:r w:rsidRPr="00955371">
        <w:rPr>
          <w:rFonts w:eastAsiaTheme="minorEastAsia"/>
          <w:i/>
          <w:iCs/>
          <w:sz w:val="20"/>
          <w:szCs w:val="20"/>
        </w:rPr>
        <w:t xml:space="preserve"> shows </w:t>
      </w:r>
      <w:r>
        <w:rPr>
          <w:rFonts w:eastAsiaTheme="minorEastAsia" w:hint="eastAsia"/>
          <w:i/>
          <w:iCs/>
          <w:sz w:val="20"/>
          <w:szCs w:val="20"/>
        </w:rPr>
        <w:t>local</w:t>
      </w:r>
      <w:r w:rsidRPr="00955371">
        <w:rPr>
          <w:rFonts w:eastAsiaTheme="minorEastAsia"/>
          <w:i/>
          <w:iCs/>
          <w:sz w:val="20"/>
          <w:szCs w:val="20"/>
        </w:rPr>
        <w:t xml:space="preserve">-scale species richness (N₀), whereas panels </w:t>
      </w:r>
      <w:r w:rsidRPr="005B566C">
        <w:rPr>
          <w:rFonts w:eastAsiaTheme="minorEastAsia"/>
          <w:b/>
          <w:bCs/>
          <w:i/>
          <w:iCs/>
          <w:sz w:val="20"/>
          <w:szCs w:val="20"/>
        </w:rPr>
        <w:t>b</w:t>
      </w:r>
      <w:r w:rsidRPr="00955371">
        <w:rPr>
          <w:rFonts w:eastAsiaTheme="minorEastAsia"/>
          <w:i/>
          <w:iCs/>
          <w:sz w:val="20"/>
          <w:szCs w:val="20"/>
        </w:rPr>
        <w:t>–</w:t>
      </w:r>
      <w:r w:rsidRPr="005B566C">
        <w:rPr>
          <w:rFonts w:eastAsiaTheme="minorEastAsia"/>
          <w:b/>
          <w:bCs/>
          <w:i/>
          <w:iCs/>
          <w:sz w:val="20"/>
          <w:szCs w:val="20"/>
        </w:rPr>
        <w:t>d</w:t>
      </w:r>
      <w:r w:rsidRPr="00955371">
        <w:rPr>
          <w:rFonts w:eastAsiaTheme="minorEastAsia"/>
          <w:i/>
          <w:iCs/>
          <w:sz w:val="20"/>
          <w:szCs w:val="20"/>
        </w:rPr>
        <w:t xml:space="preserve"> show landscape-scale diversity metrics, including species richness (N₀; </w:t>
      </w:r>
      <w:r w:rsidRPr="005B566C">
        <w:rPr>
          <w:rFonts w:eastAsiaTheme="minorEastAsia"/>
          <w:b/>
          <w:bCs/>
          <w:i/>
          <w:iCs/>
          <w:sz w:val="20"/>
          <w:szCs w:val="20"/>
        </w:rPr>
        <w:t>b</w:t>
      </w:r>
      <w:r w:rsidRPr="00955371">
        <w:rPr>
          <w:rFonts w:eastAsiaTheme="minorEastAsia"/>
          <w:i/>
          <w:iCs/>
          <w:sz w:val="20"/>
          <w:szCs w:val="20"/>
        </w:rPr>
        <w:t xml:space="preserve">), the exponential of Shannon entropy (N₁; </w:t>
      </w:r>
      <w:r w:rsidRPr="005B566C">
        <w:rPr>
          <w:rFonts w:eastAsiaTheme="minorEastAsia"/>
          <w:b/>
          <w:bCs/>
          <w:i/>
          <w:iCs/>
          <w:sz w:val="20"/>
          <w:szCs w:val="20"/>
        </w:rPr>
        <w:t>c</w:t>
      </w:r>
      <w:r w:rsidRPr="00955371">
        <w:rPr>
          <w:rFonts w:eastAsiaTheme="minorEastAsia"/>
          <w:i/>
          <w:iCs/>
          <w:sz w:val="20"/>
          <w:szCs w:val="20"/>
        </w:rPr>
        <w:t xml:space="preserve">), and the inverse Simpson index (N₂; </w:t>
      </w:r>
      <w:r w:rsidRPr="005B566C">
        <w:rPr>
          <w:rFonts w:eastAsiaTheme="minorEastAsia"/>
          <w:b/>
          <w:bCs/>
          <w:i/>
          <w:iCs/>
          <w:sz w:val="20"/>
          <w:szCs w:val="20"/>
        </w:rPr>
        <w:t>d</w:t>
      </w:r>
      <w:r w:rsidRPr="00955371">
        <w:rPr>
          <w:rFonts w:eastAsiaTheme="minorEastAsia"/>
          <w:i/>
          <w:iCs/>
          <w:sz w:val="20"/>
          <w:szCs w:val="20"/>
        </w:rPr>
        <w:t>). Model performance statistics (sample size, coefficient of determination, and mean absolute error) are reported in each panel.</w:t>
      </w:r>
    </w:p>
    <w:p w14:paraId="3A0A546B" w14:textId="77777777" w:rsidR="002E08FA" w:rsidRPr="00D87AF4" w:rsidRDefault="002E08FA" w:rsidP="002E08FA">
      <w:pPr>
        <w:pStyle w:val="NormalWeb"/>
        <w:spacing w:afterLines="50" w:after="120" w:afterAutospacing="0" w:line="360" w:lineRule="auto"/>
        <w:jc w:val="both"/>
        <w:rPr>
          <w:rFonts w:eastAsiaTheme="minorEastAsia"/>
          <w:i/>
          <w:iCs/>
          <w:sz w:val="20"/>
          <w:szCs w:val="20"/>
        </w:rPr>
      </w:pPr>
    </w:p>
    <w:p w14:paraId="39555DB8" w14:textId="77777777" w:rsidR="002E08FA" w:rsidRPr="00865983" w:rsidRDefault="002E08FA" w:rsidP="002E08FA">
      <w:pPr>
        <w:spacing w:afterLines="50" w:after="120" w:line="360" w:lineRule="auto"/>
        <w:jc w:val="both"/>
        <w:rPr>
          <w:rFonts w:ascii="Times New Roman" w:hAnsi="Times New Roman" w:cs="Times New Roman"/>
          <w:b/>
          <w:bCs/>
          <w:i/>
          <w:iCs/>
          <w:color w:val="000000" w:themeColor="text1"/>
          <w:sz w:val="22"/>
          <w:szCs w:val="22"/>
        </w:rPr>
      </w:pPr>
      <w:r>
        <w:rPr>
          <w:noProof/>
        </w:rPr>
        <w:lastRenderedPageBreak/>
        <w:drawing>
          <wp:inline distT="0" distB="0" distL="0" distR="0" wp14:anchorId="4454E767" wp14:editId="083E22BA">
            <wp:extent cx="5737225" cy="2583200"/>
            <wp:effectExtent l="0" t="0" r="0" b="7620"/>
            <wp:docPr id="1267709238" name="image10.png"/>
            <wp:cNvGraphicFramePr/>
            <a:graphic xmlns:a="http://schemas.openxmlformats.org/drawingml/2006/main">
              <a:graphicData uri="http://schemas.openxmlformats.org/drawingml/2006/picture">
                <pic:pic xmlns:pic="http://schemas.openxmlformats.org/drawingml/2006/picture">
                  <pic:nvPicPr>
                    <pic:cNvPr id="1267709238" name="image10.png"/>
                    <pic:cNvPicPr preferRelativeResize="0"/>
                  </pic:nvPicPr>
                  <pic:blipFill rotWithShape="1">
                    <a:blip r:embed="rId9" cstate="print">
                      <a:extLst>
                        <a:ext uri="{28A0092B-C50C-407E-A947-70E740481C1C}">
                          <a14:useLocalDpi xmlns:a14="http://schemas.microsoft.com/office/drawing/2010/main" val="0"/>
                        </a:ext>
                      </a:extLst>
                    </a:blip>
                    <a:srcRect l="476" t="50946" r="476"/>
                    <a:stretch>
                      <a:fillRect/>
                    </a:stretch>
                  </pic:blipFill>
                  <pic:spPr bwMode="auto">
                    <a:xfrm>
                      <a:off x="0" y="0"/>
                      <a:ext cx="5737661" cy="2583396"/>
                    </a:xfrm>
                    <a:prstGeom prst="rect">
                      <a:avLst/>
                    </a:prstGeom>
                    <a:ln>
                      <a:noFill/>
                    </a:ln>
                    <a:extLst>
                      <a:ext uri="{53640926-AAD7-44D8-BBD7-CCE9431645EC}">
                        <a14:shadowObscured xmlns:a14="http://schemas.microsoft.com/office/drawing/2010/main"/>
                      </a:ext>
                    </a:extLst>
                  </pic:spPr>
                </pic:pic>
              </a:graphicData>
            </a:graphic>
          </wp:inline>
        </w:drawing>
      </w:r>
      <w:r w:rsidRPr="1DD21838">
        <w:rPr>
          <w:rFonts w:ascii="Times New Roman" w:hAnsi="Times New Roman" w:cs="Times New Roman"/>
          <w:color w:val="000000" w:themeColor="text1"/>
          <w:sz w:val="22"/>
          <w:szCs w:val="22"/>
        </w:rPr>
        <w:t xml:space="preserve"> </w:t>
      </w:r>
      <w:r w:rsidRPr="00F01788">
        <w:rPr>
          <w:rFonts w:ascii="Times New Roman" w:hAnsi="Times New Roman" w:cs="Times New Roman"/>
          <w:b/>
          <w:bCs/>
          <w:i/>
          <w:iCs/>
          <w:color w:val="000000" w:themeColor="text1"/>
          <w:sz w:val="20"/>
          <w:szCs w:val="20"/>
        </w:rPr>
        <w:t xml:space="preserve">Extended Data Fig. </w:t>
      </w:r>
      <w:r>
        <w:rPr>
          <w:rFonts w:ascii="Times New Roman" w:hAnsi="Times New Roman" w:cs="Times New Roman" w:hint="eastAsia"/>
          <w:b/>
          <w:bCs/>
          <w:i/>
          <w:iCs/>
          <w:color w:val="000000" w:themeColor="text1"/>
          <w:sz w:val="20"/>
          <w:szCs w:val="20"/>
        </w:rPr>
        <w:t>6</w:t>
      </w:r>
      <w:r w:rsidRPr="00F01788">
        <w:rPr>
          <w:rFonts w:ascii="Times New Roman" w:hAnsi="Times New Roman" w:cs="Times New Roman"/>
          <w:b/>
          <w:bCs/>
          <w:i/>
          <w:iCs/>
          <w:color w:val="000000" w:themeColor="text1"/>
          <w:sz w:val="20"/>
          <w:szCs w:val="20"/>
        </w:rPr>
        <w:t xml:space="preserve"> | Spatial coverage of satellite data used.</w:t>
      </w:r>
      <w:r w:rsidRPr="00F01788">
        <w:rPr>
          <w:rFonts w:ascii="Times New Roman" w:hAnsi="Times New Roman" w:cs="Times New Roman"/>
          <w:i/>
          <w:iCs/>
          <w:color w:val="000000" w:themeColor="text1"/>
          <w:sz w:val="20"/>
          <w:szCs w:val="20"/>
        </w:rPr>
        <w:t xml:space="preserve"> </w:t>
      </w:r>
      <w:r w:rsidRPr="00F01788">
        <w:rPr>
          <w:rFonts w:ascii="Times New Roman" w:hAnsi="Times New Roman" w:cs="Times New Roman" w:hint="eastAsia"/>
          <w:b/>
          <w:bCs/>
          <w:i/>
          <w:iCs/>
          <w:color w:val="000000" w:themeColor="text1"/>
          <w:sz w:val="20"/>
          <w:szCs w:val="20"/>
        </w:rPr>
        <w:t>a</w:t>
      </w:r>
      <w:r w:rsidRPr="00F01788">
        <w:rPr>
          <w:rFonts w:ascii="Times New Roman" w:hAnsi="Times New Roman" w:cs="Times New Roman"/>
          <w:i/>
          <w:iCs/>
          <w:color w:val="000000" w:themeColor="text1"/>
          <w:sz w:val="20"/>
          <w:szCs w:val="20"/>
        </w:rPr>
        <w:t xml:space="preserve">, Number of Sentinel-1 observations acquired between 2019 and 2021 and used as inputs in the light-availability modelling framework. </w:t>
      </w:r>
      <w:r w:rsidRPr="00F01788">
        <w:rPr>
          <w:rFonts w:ascii="Times New Roman" w:hAnsi="Times New Roman" w:cs="Times New Roman" w:hint="eastAsia"/>
          <w:b/>
          <w:bCs/>
          <w:i/>
          <w:iCs/>
          <w:color w:val="000000" w:themeColor="text1"/>
          <w:sz w:val="20"/>
          <w:szCs w:val="20"/>
        </w:rPr>
        <w:t>b</w:t>
      </w:r>
      <w:r w:rsidRPr="00F01788">
        <w:rPr>
          <w:rFonts w:ascii="Times New Roman" w:hAnsi="Times New Roman" w:cs="Times New Roman"/>
          <w:i/>
          <w:iCs/>
          <w:color w:val="000000" w:themeColor="text1"/>
          <w:sz w:val="20"/>
          <w:szCs w:val="20"/>
        </w:rPr>
        <w:t>, Number of clear-sky Sentinel-2 observations from 2019 to 2021 contributing spectral information for light-availability estimation.</w:t>
      </w:r>
    </w:p>
    <w:p w14:paraId="1AF93550" w14:textId="77777777" w:rsidR="002E08FA" w:rsidRDefault="002E08FA" w:rsidP="002E08FA">
      <w:pPr>
        <w:spacing w:afterLines="50" w:after="120"/>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br w:type="page"/>
      </w:r>
    </w:p>
    <w:p w14:paraId="657EECE4" w14:textId="77777777" w:rsidR="002E08FA" w:rsidRDefault="002E08FA" w:rsidP="002E08FA">
      <w:pPr>
        <w:spacing w:afterLines="50" w:after="120" w:line="360" w:lineRule="auto"/>
        <w:rPr>
          <w:rFonts w:ascii="Times New Roman" w:hAnsi="Times New Roman" w:cs="Times New Roman"/>
          <w:b/>
          <w:bCs/>
          <w:i/>
          <w:iCs/>
          <w:color w:val="000000" w:themeColor="text1"/>
          <w:sz w:val="20"/>
          <w:szCs w:val="20"/>
        </w:rPr>
      </w:pPr>
      <w:r w:rsidRPr="00251D68">
        <w:rPr>
          <w:rFonts w:ascii="Times New Roman" w:hAnsi="Times New Roman" w:cs="Times New Roman"/>
          <w:b/>
          <w:bCs/>
          <w:i/>
          <w:iCs/>
          <w:color w:val="000000" w:themeColor="text1"/>
          <w:sz w:val="20"/>
          <w:szCs w:val="20"/>
        </w:rPr>
        <w:lastRenderedPageBreak/>
        <w:t xml:space="preserve">Extended Data </w:t>
      </w:r>
      <w:r w:rsidRPr="00251D68">
        <w:rPr>
          <w:rFonts w:ascii="Times New Roman" w:hAnsi="Times New Roman" w:cs="Times New Roman" w:hint="eastAsia"/>
          <w:b/>
          <w:bCs/>
          <w:i/>
          <w:iCs/>
          <w:color w:val="000000" w:themeColor="text1"/>
          <w:sz w:val="20"/>
          <w:szCs w:val="20"/>
        </w:rPr>
        <w:t>Table 1</w:t>
      </w:r>
      <w:r w:rsidRPr="00251D68">
        <w:rPr>
          <w:rFonts w:ascii="Times New Roman" w:hAnsi="Times New Roman" w:cs="Times New Roman"/>
          <w:b/>
          <w:bCs/>
          <w:i/>
          <w:iCs/>
          <w:color w:val="000000" w:themeColor="text1"/>
          <w:sz w:val="20"/>
          <w:szCs w:val="20"/>
        </w:rPr>
        <w:t xml:space="preserve"> | </w:t>
      </w:r>
      <w:r w:rsidRPr="001C3F7B">
        <w:rPr>
          <w:rFonts w:ascii="Times New Roman" w:hAnsi="Times New Roman" w:cs="Times New Roman"/>
          <w:b/>
          <w:bCs/>
          <w:i/>
          <w:iCs/>
          <w:color w:val="000000" w:themeColor="text1"/>
          <w:sz w:val="20"/>
          <w:szCs w:val="20"/>
        </w:rPr>
        <w:t>Earth observation predictors used to reconstruct continental-scale light availability across Europe.</w:t>
      </w:r>
    </w:p>
    <w:p w14:paraId="5152D4D2" w14:textId="77777777" w:rsidR="002E08FA" w:rsidRPr="008B5162" w:rsidRDefault="002E08FA" w:rsidP="002E08FA">
      <w:pPr>
        <w:spacing w:afterLines="50" w:after="120" w:line="360" w:lineRule="auto"/>
        <w:jc w:val="both"/>
        <w:rPr>
          <w:rFonts w:ascii="Times New Roman" w:hAnsi="Times New Roman" w:cs="Times New Roman"/>
          <w:i/>
          <w:iCs/>
          <w:color w:val="000000" w:themeColor="text1"/>
          <w:sz w:val="20"/>
          <w:szCs w:val="20"/>
        </w:rPr>
      </w:pPr>
      <w:r w:rsidRPr="008B5162">
        <w:rPr>
          <w:rFonts w:ascii="Times New Roman" w:hAnsi="Times New Roman" w:cs="Times New Roman"/>
          <w:i/>
          <w:iCs/>
          <w:color w:val="000000" w:themeColor="text1"/>
          <w:sz w:val="20"/>
          <w:szCs w:val="20"/>
        </w:rPr>
        <w:t>Predictor variables included radar backscatter metrics from Sentinel-1 and PALSAR, spectral bands and vegetation indices derived from Sentinel-2 imagery, topographic variables, and geographic coordinates. Sentinel-1 and Sentinel-2 metrics were derived from observations acquired between 2019 and 2021. Abbreviations: VV and VH, vertical transmit–vertical receive and vertical transmit–horizontal receive polarization; HH and HV, horizontal transmit–horizontal receive and horizontal transmit–vertical receive polarization; NDVI, Normalized Difference Vegetation Index; EVI, Enhanced Vegetation Index; kNDVI, kernel Normalized Difference Vegetation Index; LSWI, Land Surface Water Index; MNDWI, Modified Normalized Difference Water Index; GCVI, Green Chlorophyll Vegetation Index; NMDI, Normalized Multi-band Drought Index; CSI, Combinational Shadow Index; BI, Brightness Index; BSI, Bare Soil Index; SATVI, Soil-Adjusted Total Vegetation Index; TPI, Topographic Position Index. Resolution refers to the native spatial resolution of each dataset.</w:t>
      </w:r>
    </w:p>
    <w:tbl>
      <w:tblPr>
        <w:tblStyle w:val="ListTable1Light"/>
        <w:tblW w:w="9066" w:type="dxa"/>
        <w:tblLayout w:type="fixed"/>
        <w:tblLook w:val="04A0" w:firstRow="1" w:lastRow="0" w:firstColumn="1" w:lastColumn="0" w:noHBand="0" w:noVBand="1"/>
      </w:tblPr>
      <w:tblGrid>
        <w:gridCol w:w="863"/>
        <w:gridCol w:w="1405"/>
        <w:gridCol w:w="1701"/>
        <w:gridCol w:w="1418"/>
        <w:gridCol w:w="1559"/>
        <w:gridCol w:w="2120"/>
      </w:tblGrid>
      <w:tr w:rsidR="002E08FA" w:rsidRPr="00251D68" w14:paraId="3469237D" w14:textId="77777777" w:rsidTr="004F1B38">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863" w:type="dxa"/>
            <w:tcBorders>
              <w:top w:val="single" w:sz="4" w:space="0" w:color="auto"/>
              <w:bottom w:val="single" w:sz="4" w:space="0" w:color="auto"/>
            </w:tcBorders>
            <w:shd w:val="clear" w:color="auto" w:fill="D1D1D1" w:themeFill="background2" w:themeFillShade="E6"/>
            <w:vAlign w:val="center"/>
          </w:tcPr>
          <w:p w14:paraId="71BB6F00" w14:textId="77777777" w:rsidR="002E08FA" w:rsidRPr="00251D68" w:rsidRDefault="002E08FA" w:rsidP="004F1B38">
            <w:pPr>
              <w:spacing w:afterLines="50" w:after="120"/>
              <w:jc w:val="center"/>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Code</w:t>
            </w:r>
          </w:p>
        </w:tc>
        <w:tc>
          <w:tcPr>
            <w:tcW w:w="1405" w:type="dxa"/>
            <w:tcBorders>
              <w:top w:val="single" w:sz="4" w:space="0" w:color="auto"/>
              <w:bottom w:val="single" w:sz="4" w:space="0" w:color="auto"/>
            </w:tcBorders>
            <w:shd w:val="clear" w:color="auto" w:fill="D1D1D1" w:themeFill="background2" w:themeFillShade="E6"/>
            <w:vAlign w:val="center"/>
          </w:tcPr>
          <w:p w14:paraId="3E9E56B9" w14:textId="77777777" w:rsidR="002E08FA" w:rsidRPr="00251D68" w:rsidRDefault="002E08FA" w:rsidP="004F1B38">
            <w:pPr>
              <w:spacing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Products</w:t>
            </w:r>
          </w:p>
        </w:tc>
        <w:tc>
          <w:tcPr>
            <w:tcW w:w="1701" w:type="dxa"/>
            <w:tcBorders>
              <w:top w:val="single" w:sz="4" w:space="0" w:color="auto"/>
              <w:bottom w:val="single" w:sz="4" w:space="0" w:color="auto"/>
            </w:tcBorders>
            <w:shd w:val="clear" w:color="auto" w:fill="D1D1D1" w:themeFill="background2" w:themeFillShade="E6"/>
            <w:vAlign w:val="center"/>
          </w:tcPr>
          <w:p w14:paraId="5B71DDA2" w14:textId="77777777" w:rsidR="002E08FA" w:rsidRPr="00251D68" w:rsidRDefault="002E08FA" w:rsidP="004F1B38">
            <w:pPr>
              <w:spacing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Variables</w:t>
            </w:r>
          </w:p>
        </w:tc>
        <w:tc>
          <w:tcPr>
            <w:tcW w:w="1418" w:type="dxa"/>
            <w:tcBorders>
              <w:top w:val="single" w:sz="4" w:space="0" w:color="auto"/>
              <w:bottom w:val="single" w:sz="4" w:space="0" w:color="auto"/>
            </w:tcBorders>
            <w:shd w:val="clear" w:color="auto" w:fill="D1D1D1" w:themeFill="background2" w:themeFillShade="E6"/>
            <w:vAlign w:val="center"/>
          </w:tcPr>
          <w:p w14:paraId="3A50754E" w14:textId="77777777" w:rsidR="002E08FA" w:rsidRPr="00251D68" w:rsidRDefault="002E08FA" w:rsidP="004F1B38">
            <w:pPr>
              <w:spacing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Acquisition time</w:t>
            </w:r>
          </w:p>
        </w:tc>
        <w:tc>
          <w:tcPr>
            <w:tcW w:w="1559" w:type="dxa"/>
            <w:tcBorders>
              <w:top w:val="single" w:sz="4" w:space="0" w:color="auto"/>
              <w:bottom w:val="single" w:sz="4" w:space="0" w:color="auto"/>
            </w:tcBorders>
            <w:shd w:val="clear" w:color="auto" w:fill="D1D1D1" w:themeFill="background2" w:themeFillShade="E6"/>
            <w:vAlign w:val="center"/>
          </w:tcPr>
          <w:p w14:paraId="3BB108ED" w14:textId="77777777" w:rsidR="002E08FA" w:rsidRPr="00251D68" w:rsidRDefault="002E08FA" w:rsidP="004F1B38">
            <w:pPr>
              <w:spacing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Resolution</w:t>
            </w:r>
          </w:p>
        </w:tc>
        <w:tc>
          <w:tcPr>
            <w:tcW w:w="2120" w:type="dxa"/>
            <w:tcBorders>
              <w:top w:val="single" w:sz="4" w:space="0" w:color="auto"/>
              <w:bottom w:val="single" w:sz="4" w:space="0" w:color="auto"/>
            </w:tcBorders>
            <w:shd w:val="clear" w:color="auto" w:fill="D1D1D1" w:themeFill="background2" w:themeFillShade="E6"/>
            <w:vAlign w:val="center"/>
          </w:tcPr>
          <w:p w14:paraId="11B052E7" w14:textId="77777777" w:rsidR="002E08FA" w:rsidRPr="00251D68" w:rsidRDefault="002E08FA" w:rsidP="004F1B38">
            <w:pPr>
              <w:spacing w:afterLines="5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Data Source</w:t>
            </w:r>
          </w:p>
        </w:tc>
      </w:tr>
      <w:tr w:rsidR="002E08FA" w:rsidRPr="00251D68" w14:paraId="20208B63" w14:textId="77777777" w:rsidTr="004F1B38">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863" w:type="dxa"/>
            <w:tcBorders>
              <w:top w:val="single" w:sz="4" w:space="0" w:color="auto"/>
            </w:tcBorders>
            <w:shd w:val="clear" w:color="auto" w:fill="FFFFFF" w:themeFill="background1"/>
            <w:vAlign w:val="center"/>
          </w:tcPr>
          <w:p w14:paraId="40833565" w14:textId="77777777" w:rsidR="002E08FA" w:rsidRPr="00251D68" w:rsidRDefault="002E08FA" w:rsidP="004F1B38">
            <w:pPr>
              <w:spacing w:afterLines="50" w:after="120"/>
              <w:jc w:val="center"/>
              <w:rPr>
                <w:rFonts w:ascii="Times New Roman" w:hAnsi="Times New Roman" w:cs="Times New Roman"/>
                <w:b w:val="0"/>
                <w:bCs w:val="0"/>
                <w:color w:val="000000" w:themeColor="text1"/>
                <w:sz w:val="20"/>
                <w:szCs w:val="20"/>
              </w:rPr>
            </w:pPr>
            <w:r w:rsidRPr="00251D68">
              <w:rPr>
                <w:rFonts w:ascii="Times New Roman" w:hAnsi="Times New Roman" w:cs="Times New Roman" w:hint="eastAsia"/>
                <w:b w:val="0"/>
                <w:bCs w:val="0"/>
                <w:color w:val="000000" w:themeColor="text1"/>
                <w:sz w:val="20"/>
                <w:szCs w:val="20"/>
              </w:rPr>
              <w:t>1-3</w:t>
            </w:r>
          </w:p>
        </w:tc>
        <w:tc>
          <w:tcPr>
            <w:tcW w:w="1405" w:type="dxa"/>
            <w:tcBorders>
              <w:top w:val="single" w:sz="4" w:space="0" w:color="auto"/>
            </w:tcBorders>
            <w:shd w:val="clear" w:color="auto" w:fill="FFFFFF" w:themeFill="background1"/>
            <w:vAlign w:val="center"/>
          </w:tcPr>
          <w:p w14:paraId="04A44C5F"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Sentinel-1</w:t>
            </w:r>
          </w:p>
        </w:tc>
        <w:tc>
          <w:tcPr>
            <w:tcW w:w="1701" w:type="dxa"/>
            <w:tcBorders>
              <w:top w:val="single" w:sz="4" w:space="0" w:color="auto"/>
            </w:tcBorders>
            <w:shd w:val="clear" w:color="auto" w:fill="FFFFFF" w:themeFill="background1"/>
            <w:vAlign w:val="center"/>
          </w:tcPr>
          <w:p w14:paraId="2E128279"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VV; VH; VVH</w:t>
            </w:r>
          </w:p>
        </w:tc>
        <w:tc>
          <w:tcPr>
            <w:tcW w:w="1418" w:type="dxa"/>
            <w:tcBorders>
              <w:top w:val="single" w:sz="4" w:space="0" w:color="auto"/>
            </w:tcBorders>
            <w:shd w:val="clear" w:color="auto" w:fill="FFFFFF" w:themeFill="background1"/>
            <w:vAlign w:val="center"/>
          </w:tcPr>
          <w:p w14:paraId="17242B02"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2019-2021</w:t>
            </w:r>
          </w:p>
        </w:tc>
        <w:tc>
          <w:tcPr>
            <w:tcW w:w="1559" w:type="dxa"/>
            <w:tcBorders>
              <w:top w:val="single" w:sz="4" w:space="0" w:color="auto"/>
            </w:tcBorders>
            <w:shd w:val="clear" w:color="auto" w:fill="FFFFFF" w:themeFill="background1"/>
            <w:vAlign w:val="center"/>
          </w:tcPr>
          <w:p w14:paraId="6192B767"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10 m</w:t>
            </w:r>
          </w:p>
        </w:tc>
        <w:tc>
          <w:tcPr>
            <w:tcW w:w="2120" w:type="dxa"/>
            <w:tcBorders>
              <w:top w:val="single" w:sz="4" w:space="0" w:color="auto"/>
            </w:tcBorders>
            <w:shd w:val="clear" w:color="auto" w:fill="FFFFFF" w:themeFill="background1"/>
            <w:vAlign w:val="center"/>
          </w:tcPr>
          <w:p w14:paraId="5492D5CA"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COPERNICUS/S1_GRD</w:t>
            </w:r>
          </w:p>
        </w:tc>
      </w:tr>
      <w:tr w:rsidR="002E08FA" w:rsidRPr="00251D68" w14:paraId="71CBEE9F" w14:textId="77777777" w:rsidTr="004F1B38">
        <w:trPr>
          <w:trHeight w:val="485"/>
        </w:trPr>
        <w:tc>
          <w:tcPr>
            <w:cnfStyle w:val="001000000000" w:firstRow="0" w:lastRow="0" w:firstColumn="1" w:lastColumn="0" w:oddVBand="0" w:evenVBand="0" w:oddHBand="0" w:evenHBand="0" w:firstRowFirstColumn="0" w:firstRowLastColumn="0" w:lastRowFirstColumn="0" w:lastRowLastColumn="0"/>
            <w:tcW w:w="863" w:type="dxa"/>
            <w:shd w:val="clear" w:color="auto" w:fill="F2F2F2" w:themeFill="background1" w:themeFillShade="F2"/>
            <w:vAlign w:val="center"/>
          </w:tcPr>
          <w:p w14:paraId="1B90291D" w14:textId="77777777" w:rsidR="002E08FA" w:rsidRPr="00251D68" w:rsidRDefault="002E08FA" w:rsidP="004F1B38">
            <w:pPr>
              <w:spacing w:afterLines="50" w:after="120"/>
              <w:jc w:val="center"/>
              <w:rPr>
                <w:rFonts w:ascii="Times New Roman" w:hAnsi="Times New Roman" w:cs="Times New Roman"/>
                <w:b w:val="0"/>
                <w:bCs w:val="0"/>
                <w:color w:val="000000" w:themeColor="text1"/>
                <w:sz w:val="20"/>
                <w:szCs w:val="20"/>
              </w:rPr>
            </w:pPr>
            <w:r w:rsidRPr="00251D68">
              <w:rPr>
                <w:rFonts w:ascii="Times New Roman" w:hAnsi="Times New Roman" w:cs="Times New Roman" w:hint="eastAsia"/>
                <w:b w:val="0"/>
                <w:bCs w:val="0"/>
                <w:color w:val="000000" w:themeColor="text1"/>
                <w:sz w:val="20"/>
                <w:szCs w:val="20"/>
              </w:rPr>
              <w:t>4-5</w:t>
            </w:r>
          </w:p>
        </w:tc>
        <w:tc>
          <w:tcPr>
            <w:tcW w:w="1405" w:type="dxa"/>
            <w:shd w:val="clear" w:color="auto" w:fill="F2F2F2" w:themeFill="background1" w:themeFillShade="F2"/>
            <w:vAlign w:val="center"/>
          </w:tcPr>
          <w:p w14:paraId="0485F057"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PALSAR</w:t>
            </w:r>
          </w:p>
        </w:tc>
        <w:tc>
          <w:tcPr>
            <w:tcW w:w="1701" w:type="dxa"/>
            <w:shd w:val="clear" w:color="auto" w:fill="F2F2F2" w:themeFill="background1" w:themeFillShade="F2"/>
            <w:vAlign w:val="center"/>
          </w:tcPr>
          <w:p w14:paraId="2161F2EE"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HH; HV</w:t>
            </w:r>
          </w:p>
        </w:tc>
        <w:tc>
          <w:tcPr>
            <w:tcW w:w="1418" w:type="dxa"/>
            <w:shd w:val="clear" w:color="auto" w:fill="F2F2F2" w:themeFill="background1" w:themeFillShade="F2"/>
            <w:vAlign w:val="center"/>
          </w:tcPr>
          <w:p w14:paraId="45B14637"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2019-2021</w:t>
            </w:r>
          </w:p>
        </w:tc>
        <w:tc>
          <w:tcPr>
            <w:tcW w:w="1559" w:type="dxa"/>
            <w:shd w:val="clear" w:color="auto" w:fill="F2F2F2" w:themeFill="background1" w:themeFillShade="F2"/>
            <w:vAlign w:val="center"/>
          </w:tcPr>
          <w:p w14:paraId="3CDF76D6"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25 m</w:t>
            </w:r>
          </w:p>
        </w:tc>
        <w:tc>
          <w:tcPr>
            <w:tcW w:w="2120" w:type="dxa"/>
            <w:shd w:val="clear" w:color="auto" w:fill="F2F2F2" w:themeFill="background1" w:themeFillShade="F2"/>
            <w:vAlign w:val="center"/>
          </w:tcPr>
          <w:p w14:paraId="63DEB4D3"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JAXA/ALOS/PALSAR/YEARLY/SAR</w:t>
            </w:r>
          </w:p>
        </w:tc>
      </w:tr>
      <w:tr w:rsidR="002E08FA" w:rsidRPr="00251D68" w14:paraId="7A859D21" w14:textId="77777777" w:rsidTr="004F1B38">
        <w:trPr>
          <w:cnfStyle w:val="000000100000" w:firstRow="0" w:lastRow="0" w:firstColumn="0" w:lastColumn="0" w:oddVBand="0" w:evenVBand="0" w:oddHBand="1" w:evenHBand="0" w:firstRowFirstColumn="0" w:firstRowLastColumn="0" w:lastRowFirstColumn="0" w:lastRowLastColumn="0"/>
          <w:trHeight w:val="2016"/>
        </w:trPr>
        <w:tc>
          <w:tcPr>
            <w:cnfStyle w:val="001000000000" w:firstRow="0" w:lastRow="0" w:firstColumn="1" w:lastColumn="0" w:oddVBand="0" w:evenVBand="0" w:oddHBand="0" w:evenHBand="0" w:firstRowFirstColumn="0" w:firstRowLastColumn="0" w:lastRowFirstColumn="0" w:lastRowLastColumn="0"/>
            <w:tcW w:w="863" w:type="dxa"/>
            <w:shd w:val="clear" w:color="auto" w:fill="FFFFFF" w:themeFill="background1"/>
            <w:vAlign w:val="center"/>
          </w:tcPr>
          <w:p w14:paraId="378E4026" w14:textId="77777777" w:rsidR="002E08FA" w:rsidRPr="00251D68" w:rsidRDefault="002E08FA" w:rsidP="004F1B38">
            <w:pPr>
              <w:spacing w:afterLines="50" w:after="120"/>
              <w:jc w:val="center"/>
              <w:rPr>
                <w:rFonts w:ascii="Times New Roman" w:hAnsi="Times New Roman" w:cs="Times New Roman"/>
                <w:b w:val="0"/>
                <w:bCs w:val="0"/>
                <w:color w:val="000000" w:themeColor="text1"/>
                <w:sz w:val="20"/>
                <w:szCs w:val="20"/>
              </w:rPr>
            </w:pPr>
            <w:r w:rsidRPr="00251D68">
              <w:rPr>
                <w:rFonts w:ascii="Times New Roman" w:hAnsi="Times New Roman" w:cs="Times New Roman" w:hint="eastAsia"/>
                <w:b w:val="0"/>
                <w:bCs w:val="0"/>
                <w:color w:val="000000" w:themeColor="text1"/>
                <w:sz w:val="20"/>
                <w:szCs w:val="20"/>
              </w:rPr>
              <w:t>6-27</w:t>
            </w:r>
          </w:p>
        </w:tc>
        <w:tc>
          <w:tcPr>
            <w:tcW w:w="1405" w:type="dxa"/>
            <w:shd w:val="clear" w:color="auto" w:fill="FFFFFF" w:themeFill="background1"/>
            <w:vAlign w:val="center"/>
          </w:tcPr>
          <w:p w14:paraId="673FCB58"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Sentinel-2</w:t>
            </w:r>
          </w:p>
        </w:tc>
        <w:tc>
          <w:tcPr>
            <w:tcW w:w="1701" w:type="dxa"/>
            <w:shd w:val="clear" w:color="auto" w:fill="FFFFFF" w:themeFill="background1"/>
            <w:vAlign w:val="center"/>
          </w:tcPr>
          <w:p w14:paraId="1568CB22" w14:textId="77777777" w:rsidR="002E08FA" w:rsidRPr="00251D68" w:rsidRDefault="002E08FA" w:rsidP="004F1B38">
            <w:pPr>
              <w:spacing w:afterLines="5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Aerosols;</w:t>
            </w:r>
            <w:r w:rsidRPr="00251D68">
              <w:rPr>
                <w:rFonts w:ascii="Times New Roman" w:hAnsi="Times New Roman" w:cs="Times New Roman" w:hint="eastAsia"/>
                <w:color w:val="000000" w:themeColor="text1"/>
                <w:sz w:val="20"/>
                <w:szCs w:val="20"/>
              </w:rPr>
              <w:t xml:space="preserve"> </w:t>
            </w:r>
            <w:r w:rsidRPr="00251D68">
              <w:rPr>
                <w:rFonts w:ascii="Times New Roman" w:hAnsi="Times New Roman" w:cs="Times New Roman"/>
                <w:color w:val="000000" w:themeColor="text1"/>
                <w:sz w:val="20"/>
                <w:szCs w:val="20"/>
              </w:rPr>
              <w:t xml:space="preserve">Blue; Green; Red; NIR; Red Edge 1–4; SWIR 1; SWIR 2; NDVI; EVI; </w:t>
            </w:r>
            <w:r w:rsidRPr="00251D68">
              <w:rPr>
                <w:rFonts w:ascii="Times New Roman" w:hAnsi="Times New Roman" w:cs="Times New Roman" w:hint="eastAsia"/>
                <w:color w:val="000000" w:themeColor="text1"/>
                <w:sz w:val="20"/>
                <w:szCs w:val="20"/>
              </w:rPr>
              <w:t xml:space="preserve">kNDVI; </w:t>
            </w:r>
            <w:r w:rsidRPr="00251D68">
              <w:rPr>
                <w:rFonts w:ascii="Times New Roman" w:hAnsi="Times New Roman" w:cs="Times New Roman"/>
                <w:color w:val="000000" w:themeColor="text1"/>
                <w:sz w:val="20"/>
                <w:szCs w:val="20"/>
              </w:rPr>
              <w:t xml:space="preserve">LSWI; MNDWI; </w:t>
            </w:r>
            <w:r w:rsidRPr="00251D68">
              <w:rPr>
                <w:rFonts w:ascii="Times New Roman" w:eastAsia="Times New Roman" w:hAnsi="Times New Roman" w:cs="Times New Roman"/>
                <w:color w:val="000000" w:themeColor="text1"/>
                <w:sz w:val="20"/>
                <w:szCs w:val="20"/>
              </w:rPr>
              <w:t>GCVI</w:t>
            </w:r>
            <w:r w:rsidRPr="00251D68">
              <w:rPr>
                <w:rFonts w:ascii="Times New Roman" w:hAnsi="Times New Roman" w:cs="Times New Roman" w:hint="eastAsia"/>
                <w:color w:val="000000" w:themeColor="text1"/>
                <w:sz w:val="20"/>
                <w:szCs w:val="20"/>
              </w:rPr>
              <w:t>;</w:t>
            </w:r>
            <w:r w:rsidRPr="00251D68">
              <w:rPr>
                <w:rFonts w:ascii="Times New Roman" w:hAnsi="Times New Roman" w:cs="Times New Roman"/>
                <w:color w:val="000000" w:themeColor="text1"/>
                <w:sz w:val="20"/>
                <w:szCs w:val="20"/>
              </w:rPr>
              <w:t xml:space="preserve"> </w:t>
            </w:r>
            <w:r w:rsidRPr="00251D68">
              <w:rPr>
                <w:rFonts w:ascii="Times New Roman" w:eastAsia="Times New Roman" w:hAnsi="Times New Roman" w:cs="Times New Roman"/>
                <w:color w:val="000000" w:themeColor="text1"/>
                <w:sz w:val="20"/>
                <w:szCs w:val="20"/>
              </w:rPr>
              <w:t>NMDI</w:t>
            </w:r>
            <w:r w:rsidRPr="00251D68">
              <w:rPr>
                <w:rFonts w:ascii="Times New Roman" w:hAnsi="Times New Roman" w:cs="Times New Roman"/>
                <w:color w:val="000000" w:themeColor="text1"/>
                <w:sz w:val="20"/>
                <w:szCs w:val="20"/>
              </w:rPr>
              <w:t>; CSI</w:t>
            </w:r>
            <w:r w:rsidRPr="00251D68">
              <w:rPr>
                <w:rFonts w:ascii="Times New Roman" w:hAnsi="Times New Roman" w:cs="Times New Roman" w:hint="eastAsia"/>
                <w:color w:val="000000" w:themeColor="text1"/>
                <w:sz w:val="20"/>
                <w:szCs w:val="20"/>
              </w:rPr>
              <w:t xml:space="preserve">; </w:t>
            </w:r>
            <w:r w:rsidRPr="00251D68">
              <w:rPr>
                <w:rFonts w:ascii="Times New Roman" w:eastAsia="Times New Roman" w:hAnsi="Times New Roman" w:cs="Times New Roman"/>
                <w:color w:val="000000" w:themeColor="text1"/>
                <w:sz w:val="20"/>
                <w:szCs w:val="20"/>
              </w:rPr>
              <w:t>BI</w:t>
            </w:r>
            <w:r w:rsidRPr="00251D68">
              <w:rPr>
                <w:rFonts w:ascii="Times New Roman" w:hAnsi="Times New Roman" w:cs="Times New Roman" w:hint="eastAsia"/>
                <w:color w:val="000000" w:themeColor="text1"/>
                <w:sz w:val="20"/>
                <w:szCs w:val="20"/>
              </w:rPr>
              <w:t>; BSI; SATVI</w:t>
            </w:r>
          </w:p>
        </w:tc>
        <w:tc>
          <w:tcPr>
            <w:tcW w:w="1418" w:type="dxa"/>
            <w:shd w:val="clear" w:color="auto" w:fill="FFFFFF" w:themeFill="background1"/>
            <w:vAlign w:val="center"/>
          </w:tcPr>
          <w:p w14:paraId="70459ADC"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2019-2021</w:t>
            </w:r>
          </w:p>
        </w:tc>
        <w:tc>
          <w:tcPr>
            <w:tcW w:w="1559" w:type="dxa"/>
            <w:shd w:val="clear" w:color="auto" w:fill="FFFFFF" w:themeFill="background1"/>
            <w:vAlign w:val="center"/>
          </w:tcPr>
          <w:p w14:paraId="3952DD03"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10/20/60 m</w:t>
            </w:r>
          </w:p>
        </w:tc>
        <w:tc>
          <w:tcPr>
            <w:tcW w:w="2120" w:type="dxa"/>
            <w:shd w:val="clear" w:color="auto" w:fill="FFFFFF" w:themeFill="background1"/>
            <w:vAlign w:val="center"/>
          </w:tcPr>
          <w:p w14:paraId="3AF595EE"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COPERNICUS/S2_SR_HARMONIZED</w:t>
            </w:r>
          </w:p>
        </w:tc>
      </w:tr>
      <w:tr w:rsidR="002E08FA" w:rsidRPr="00251D68" w14:paraId="79C3F987" w14:textId="77777777" w:rsidTr="004F1B38">
        <w:trPr>
          <w:trHeight w:val="868"/>
        </w:trPr>
        <w:tc>
          <w:tcPr>
            <w:cnfStyle w:val="001000000000" w:firstRow="0" w:lastRow="0" w:firstColumn="1" w:lastColumn="0" w:oddVBand="0" w:evenVBand="0" w:oddHBand="0" w:evenHBand="0" w:firstRowFirstColumn="0" w:firstRowLastColumn="0" w:lastRowFirstColumn="0" w:lastRowLastColumn="0"/>
            <w:tcW w:w="863" w:type="dxa"/>
            <w:shd w:val="clear" w:color="auto" w:fill="F2F2F2" w:themeFill="background1" w:themeFillShade="F2"/>
            <w:vAlign w:val="center"/>
          </w:tcPr>
          <w:p w14:paraId="72E9FABD" w14:textId="77777777" w:rsidR="002E08FA" w:rsidRPr="00251D68" w:rsidRDefault="002E08FA" w:rsidP="004F1B38">
            <w:pPr>
              <w:spacing w:afterLines="50" w:after="120"/>
              <w:jc w:val="center"/>
              <w:rPr>
                <w:rFonts w:ascii="Times New Roman" w:hAnsi="Times New Roman" w:cs="Times New Roman"/>
                <w:b w:val="0"/>
                <w:bCs w:val="0"/>
                <w:color w:val="000000" w:themeColor="text1"/>
                <w:sz w:val="20"/>
                <w:szCs w:val="20"/>
              </w:rPr>
            </w:pPr>
            <w:r w:rsidRPr="00251D68">
              <w:rPr>
                <w:rFonts w:ascii="Times New Roman" w:hAnsi="Times New Roman" w:cs="Times New Roman" w:hint="eastAsia"/>
                <w:b w:val="0"/>
                <w:bCs w:val="0"/>
                <w:color w:val="000000" w:themeColor="text1"/>
                <w:sz w:val="20"/>
                <w:szCs w:val="20"/>
              </w:rPr>
              <w:t>28-33</w:t>
            </w:r>
          </w:p>
        </w:tc>
        <w:tc>
          <w:tcPr>
            <w:tcW w:w="1405" w:type="dxa"/>
            <w:shd w:val="clear" w:color="auto" w:fill="F2F2F2" w:themeFill="background1" w:themeFillShade="F2"/>
            <w:vAlign w:val="center"/>
          </w:tcPr>
          <w:p w14:paraId="15451954"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Topography</w:t>
            </w:r>
          </w:p>
        </w:tc>
        <w:tc>
          <w:tcPr>
            <w:tcW w:w="1701" w:type="dxa"/>
            <w:shd w:val="clear" w:color="auto" w:fill="F2F2F2" w:themeFill="background1" w:themeFillShade="F2"/>
            <w:vAlign w:val="center"/>
          </w:tcPr>
          <w:p w14:paraId="16E957F3" w14:textId="77777777" w:rsidR="002E08FA" w:rsidRPr="00251D68" w:rsidRDefault="002E08FA" w:rsidP="004F1B38">
            <w:pPr>
              <w:spacing w:afterLines="5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Elevation; Slope; Aspect; TPI</w:t>
            </w:r>
            <w:r w:rsidRPr="00251D68">
              <w:rPr>
                <w:rFonts w:ascii="Times New Roman" w:hAnsi="Times New Roman" w:cs="Times New Roman" w:hint="eastAsia"/>
                <w:color w:val="000000" w:themeColor="text1"/>
                <w:sz w:val="20"/>
                <w:szCs w:val="20"/>
                <w:vertAlign w:val="subscript"/>
              </w:rPr>
              <w:t>150m</w:t>
            </w:r>
            <w:r w:rsidRPr="00251D68">
              <w:rPr>
                <w:rFonts w:ascii="Times New Roman" w:hAnsi="Times New Roman" w:cs="Times New Roman" w:hint="eastAsia"/>
                <w:color w:val="000000" w:themeColor="text1"/>
                <w:sz w:val="20"/>
                <w:szCs w:val="20"/>
              </w:rPr>
              <w:t>; TPI</w:t>
            </w:r>
            <w:r w:rsidRPr="00251D68">
              <w:rPr>
                <w:rFonts w:ascii="Times New Roman" w:hAnsi="Times New Roman" w:cs="Times New Roman" w:hint="eastAsia"/>
                <w:color w:val="000000" w:themeColor="text1"/>
                <w:sz w:val="20"/>
                <w:szCs w:val="20"/>
                <w:vertAlign w:val="subscript"/>
              </w:rPr>
              <w:t>300m</w:t>
            </w:r>
            <w:r w:rsidRPr="00251D68">
              <w:rPr>
                <w:rFonts w:ascii="Times New Roman" w:hAnsi="Times New Roman" w:cs="Times New Roman" w:hint="eastAsia"/>
                <w:color w:val="000000" w:themeColor="text1"/>
                <w:sz w:val="20"/>
                <w:szCs w:val="20"/>
              </w:rPr>
              <w:t>; TPI</w:t>
            </w:r>
            <w:r w:rsidRPr="00251D68">
              <w:rPr>
                <w:rFonts w:ascii="Times New Roman" w:hAnsi="Times New Roman" w:cs="Times New Roman" w:hint="eastAsia"/>
                <w:color w:val="000000" w:themeColor="text1"/>
                <w:sz w:val="20"/>
                <w:szCs w:val="20"/>
                <w:vertAlign w:val="subscript"/>
              </w:rPr>
              <w:t>1500m</w:t>
            </w:r>
          </w:p>
        </w:tc>
        <w:tc>
          <w:tcPr>
            <w:tcW w:w="1418" w:type="dxa"/>
            <w:shd w:val="clear" w:color="auto" w:fill="F2F2F2" w:themeFill="background1" w:themeFillShade="F2"/>
            <w:vAlign w:val="center"/>
          </w:tcPr>
          <w:p w14:paraId="10DFD41B"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w:t>
            </w:r>
          </w:p>
        </w:tc>
        <w:tc>
          <w:tcPr>
            <w:tcW w:w="1559" w:type="dxa"/>
            <w:shd w:val="clear" w:color="auto" w:fill="F2F2F2" w:themeFill="background1" w:themeFillShade="F2"/>
            <w:vAlign w:val="center"/>
          </w:tcPr>
          <w:p w14:paraId="75D8C694"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30 m</w:t>
            </w:r>
          </w:p>
        </w:tc>
        <w:tc>
          <w:tcPr>
            <w:tcW w:w="2120" w:type="dxa"/>
            <w:shd w:val="clear" w:color="auto" w:fill="F2F2F2" w:themeFill="background1" w:themeFillShade="F2"/>
            <w:vAlign w:val="center"/>
          </w:tcPr>
          <w:p w14:paraId="18471381" w14:textId="77777777" w:rsidR="002E08FA" w:rsidRPr="00251D68" w:rsidRDefault="002E08FA" w:rsidP="004F1B38">
            <w:pPr>
              <w:spacing w:afterLines="5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projects/sat-io/open-datasets/GLO-30</w:t>
            </w:r>
          </w:p>
        </w:tc>
      </w:tr>
      <w:tr w:rsidR="002E08FA" w:rsidRPr="00251D68" w14:paraId="6371F335" w14:textId="77777777" w:rsidTr="004F1B38">
        <w:trPr>
          <w:cnfStyle w:val="000000100000" w:firstRow="0" w:lastRow="0" w:firstColumn="0" w:lastColumn="0" w:oddVBand="0" w:evenVBand="0" w:oddHBand="1"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863" w:type="dxa"/>
            <w:tcBorders>
              <w:bottom w:val="single" w:sz="4" w:space="0" w:color="auto"/>
            </w:tcBorders>
            <w:shd w:val="clear" w:color="auto" w:fill="FFFFFF" w:themeFill="background1"/>
            <w:vAlign w:val="center"/>
          </w:tcPr>
          <w:p w14:paraId="6E489CB0" w14:textId="77777777" w:rsidR="002E08FA" w:rsidRPr="00251D68" w:rsidRDefault="002E08FA" w:rsidP="004F1B38">
            <w:pPr>
              <w:spacing w:afterLines="50" w:after="120"/>
              <w:jc w:val="center"/>
              <w:rPr>
                <w:rFonts w:ascii="Times New Roman" w:hAnsi="Times New Roman" w:cs="Times New Roman"/>
                <w:b w:val="0"/>
                <w:bCs w:val="0"/>
                <w:color w:val="000000" w:themeColor="text1"/>
                <w:sz w:val="20"/>
                <w:szCs w:val="20"/>
              </w:rPr>
            </w:pPr>
            <w:r w:rsidRPr="00251D68">
              <w:rPr>
                <w:rFonts w:ascii="Times New Roman" w:hAnsi="Times New Roman" w:cs="Times New Roman" w:hint="eastAsia"/>
                <w:b w:val="0"/>
                <w:bCs w:val="0"/>
                <w:color w:val="000000" w:themeColor="text1"/>
                <w:sz w:val="20"/>
                <w:szCs w:val="20"/>
              </w:rPr>
              <w:t>33-35</w:t>
            </w:r>
          </w:p>
        </w:tc>
        <w:tc>
          <w:tcPr>
            <w:tcW w:w="1405" w:type="dxa"/>
            <w:tcBorders>
              <w:bottom w:val="single" w:sz="4" w:space="0" w:color="auto"/>
            </w:tcBorders>
            <w:shd w:val="clear" w:color="auto" w:fill="FFFFFF" w:themeFill="background1"/>
            <w:vAlign w:val="center"/>
          </w:tcPr>
          <w:p w14:paraId="72AFF476"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Location</w:t>
            </w:r>
          </w:p>
        </w:tc>
        <w:tc>
          <w:tcPr>
            <w:tcW w:w="1701" w:type="dxa"/>
            <w:tcBorders>
              <w:bottom w:val="single" w:sz="4" w:space="0" w:color="auto"/>
            </w:tcBorders>
            <w:shd w:val="clear" w:color="auto" w:fill="FFFFFF" w:themeFill="background1"/>
            <w:vAlign w:val="center"/>
          </w:tcPr>
          <w:p w14:paraId="63423BB1"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Latitude; Longitude</w:t>
            </w:r>
          </w:p>
        </w:tc>
        <w:tc>
          <w:tcPr>
            <w:tcW w:w="1418" w:type="dxa"/>
            <w:tcBorders>
              <w:bottom w:val="single" w:sz="4" w:space="0" w:color="auto"/>
            </w:tcBorders>
            <w:shd w:val="clear" w:color="auto" w:fill="FFFFFF" w:themeFill="background1"/>
            <w:vAlign w:val="center"/>
          </w:tcPr>
          <w:p w14:paraId="7EF8D3A2"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w:t>
            </w:r>
          </w:p>
        </w:tc>
        <w:tc>
          <w:tcPr>
            <w:tcW w:w="1559" w:type="dxa"/>
            <w:tcBorders>
              <w:bottom w:val="single" w:sz="4" w:space="0" w:color="auto"/>
            </w:tcBorders>
            <w:shd w:val="clear" w:color="auto" w:fill="FFFFFF" w:themeFill="background1"/>
            <w:vAlign w:val="center"/>
          </w:tcPr>
          <w:p w14:paraId="2ADBE1FE"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hint="eastAsia"/>
                <w:color w:val="000000" w:themeColor="text1"/>
                <w:sz w:val="20"/>
                <w:szCs w:val="20"/>
              </w:rPr>
              <w:t>10 m</w:t>
            </w:r>
          </w:p>
        </w:tc>
        <w:tc>
          <w:tcPr>
            <w:tcW w:w="2120" w:type="dxa"/>
            <w:tcBorders>
              <w:bottom w:val="single" w:sz="4" w:space="0" w:color="auto"/>
            </w:tcBorders>
            <w:shd w:val="clear" w:color="auto" w:fill="FFFFFF" w:themeFill="background1"/>
            <w:vAlign w:val="center"/>
          </w:tcPr>
          <w:p w14:paraId="507995BA" w14:textId="77777777" w:rsidR="002E08FA" w:rsidRPr="00251D68" w:rsidRDefault="002E08FA" w:rsidP="004F1B38">
            <w:pPr>
              <w:spacing w:afterLines="5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251D68">
              <w:rPr>
                <w:rFonts w:ascii="Times New Roman" w:hAnsi="Times New Roman" w:cs="Times New Roman"/>
                <w:color w:val="000000" w:themeColor="text1"/>
                <w:sz w:val="20"/>
                <w:szCs w:val="20"/>
              </w:rPr>
              <w:t>/</w:t>
            </w:r>
          </w:p>
        </w:tc>
      </w:tr>
    </w:tbl>
    <w:p w14:paraId="258C3503" w14:textId="77777777" w:rsidR="002E08FA" w:rsidRDefault="002E08FA" w:rsidP="002E08FA">
      <w:pPr>
        <w:spacing w:afterLines="50" w:after="120" w:line="360" w:lineRule="auto"/>
        <w:rPr>
          <w:rFonts w:ascii="Times New Roman" w:hAnsi="Times New Roman" w:cs="Times New Roman"/>
          <w:b/>
          <w:bCs/>
          <w:i/>
          <w:iCs/>
          <w:color w:val="000000" w:themeColor="text1"/>
          <w:sz w:val="20"/>
          <w:szCs w:val="20"/>
        </w:rPr>
      </w:pPr>
    </w:p>
    <w:p w14:paraId="0EDA7821" w14:textId="77777777" w:rsidR="002E08FA" w:rsidRDefault="002E08FA" w:rsidP="002E08FA">
      <w:pPr>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br w:type="page"/>
      </w:r>
    </w:p>
    <w:p w14:paraId="6E3F3AC4" w14:textId="77777777" w:rsidR="002E08FA" w:rsidRPr="00251D68" w:rsidRDefault="002E08FA" w:rsidP="002E08FA">
      <w:pPr>
        <w:spacing w:afterLines="50" w:after="120" w:line="360" w:lineRule="auto"/>
        <w:rPr>
          <w:rFonts w:ascii="Times New Roman" w:hAnsi="Times New Roman" w:cs="Times New Roman"/>
          <w:b/>
          <w:bCs/>
          <w:i/>
          <w:iCs/>
          <w:color w:val="000000" w:themeColor="text1"/>
          <w:sz w:val="20"/>
          <w:szCs w:val="20"/>
        </w:rPr>
      </w:pPr>
      <w:r w:rsidRPr="00251D68">
        <w:rPr>
          <w:rFonts w:ascii="Times New Roman" w:hAnsi="Times New Roman" w:cs="Times New Roman"/>
          <w:b/>
          <w:bCs/>
          <w:i/>
          <w:iCs/>
          <w:color w:val="000000" w:themeColor="text1"/>
          <w:sz w:val="20"/>
          <w:szCs w:val="20"/>
        </w:rPr>
        <w:lastRenderedPageBreak/>
        <w:t xml:space="preserve">Extended Data </w:t>
      </w:r>
      <w:r w:rsidRPr="00251D68">
        <w:rPr>
          <w:rFonts w:ascii="Times New Roman" w:hAnsi="Times New Roman" w:cs="Times New Roman" w:hint="eastAsia"/>
          <w:b/>
          <w:bCs/>
          <w:i/>
          <w:iCs/>
          <w:color w:val="000000" w:themeColor="text1"/>
          <w:sz w:val="20"/>
          <w:szCs w:val="20"/>
        </w:rPr>
        <w:t>Table 2</w:t>
      </w:r>
      <w:r w:rsidRPr="00251D68">
        <w:rPr>
          <w:rFonts w:ascii="Times New Roman" w:hAnsi="Times New Roman" w:cs="Times New Roman"/>
          <w:b/>
          <w:bCs/>
          <w:i/>
          <w:iCs/>
          <w:color w:val="000000" w:themeColor="text1"/>
          <w:sz w:val="20"/>
          <w:szCs w:val="20"/>
        </w:rPr>
        <w:t xml:space="preserve"> | Moran’s I statistics for residual spatial autocorrelation in the final interaction models.</w:t>
      </w:r>
    </w:p>
    <w:p w14:paraId="0ABE5490" w14:textId="77777777" w:rsidR="002E08FA" w:rsidRPr="00251D68" w:rsidRDefault="002E08FA" w:rsidP="002E08FA">
      <w:pPr>
        <w:spacing w:after="0" w:line="360" w:lineRule="auto"/>
        <w:jc w:val="both"/>
        <w:rPr>
          <w:rFonts w:ascii="Times New Roman" w:hAnsi="Times New Roman" w:cs="Times New Roman"/>
          <w:i/>
          <w:iCs/>
          <w:color w:val="000000" w:themeColor="text1"/>
          <w:sz w:val="20"/>
          <w:szCs w:val="20"/>
        </w:rPr>
      </w:pPr>
      <w:r w:rsidRPr="00251D68">
        <w:rPr>
          <w:rFonts w:ascii="Times New Roman" w:hAnsi="Times New Roman" w:cs="Times New Roman"/>
          <w:i/>
          <w:iCs/>
          <w:color w:val="000000" w:themeColor="text1"/>
          <w:sz w:val="20"/>
          <w:szCs w:val="20"/>
        </w:rPr>
        <w:t xml:space="preserve">Residual spatial autocorrelation was evaluated using Moran’s I calculated from Pearson residuals of the final interaction models for </w:t>
      </w:r>
      <w:r>
        <w:rPr>
          <w:rFonts w:ascii="Times New Roman" w:hAnsi="Times New Roman" w:cs="Times New Roman" w:hint="eastAsia"/>
          <w:i/>
          <w:iCs/>
          <w:color w:val="000000" w:themeColor="text1"/>
          <w:sz w:val="20"/>
          <w:szCs w:val="20"/>
        </w:rPr>
        <w:t>local</w:t>
      </w:r>
      <w:r w:rsidRPr="00251D68">
        <w:rPr>
          <w:rFonts w:ascii="Times New Roman" w:hAnsi="Times New Roman" w:cs="Times New Roman"/>
          <w:i/>
          <w:iCs/>
          <w:color w:val="000000" w:themeColor="text1"/>
          <w:sz w:val="20"/>
          <w:szCs w:val="20"/>
        </w:rPr>
        <w:t>-scale species richness (N₀) and landscape-scale diversity metrics (N₀, N₁ and N₂). Spatial neighbourhoods were defined using an 8-nearest-neighbour graph with row-standardized spatial weights. Moran’s I values close to zero indicate that most spatial dependence was accounted for by the fitted spatial random field.</w:t>
      </w:r>
    </w:p>
    <w:tbl>
      <w:tblPr>
        <w:tblStyle w:val="ListTable1Light"/>
        <w:tblW w:w="9078" w:type="dxa"/>
        <w:jc w:val="center"/>
        <w:tblLayout w:type="fixed"/>
        <w:tblLook w:val="04A0" w:firstRow="1" w:lastRow="0" w:firstColumn="1" w:lastColumn="0" w:noHBand="0" w:noVBand="1"/>
      </w:tblPr>
      <w:tblGrid>
        <w:gridCol w:w="1689"/>
        <w:gridCol w:w="2537"/>
        <w:gridCol w:w="1900"/>
        <w:gridCol w:w="2952"/>
      </w:tblGrid>
      <w:tr w:rsidR="002E08FA" w:rsidRPr="00E4439E" w14:paraId="531A620B" w14:textId="77777777" w:rsidTr="004F1B38">
        <w:trPr>
          <w:cnfStyle w:val="100000000000" w:firstRow="1" w:lastRow="0" w:firstColumn="0" w:lastColumn="0" w:oddVBand="0" w:evenVBand="0" w:oddHBand="0"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1689" w:type="dxa"/>
            <w:tcBorders>
              <w:top w:val="single" w:sz="4" w:space="0" w:color="auto"/>
              <w:bottom w:val="single" w:sz="4" w:space="0" w:color="auto"/>
            </w:tcBorders>
            <w:shd w:val="clear" w:color="auto" w:fill="D1D1D1" w:themeFill="background2" w:themeFillShade="E6"/>
            <w:vAlign w:val="center"/>
          </w:tcPr>
          <w:p w14:paraId="42BEC665" w14:textId="77777777" w:rsidR="002E08FA" w:rsidRPr="00E4439E" w:rsidRDefault="002E08FA" w:rsidP="004F1B38">
            <w:pPr>
              <w:jc w:val="center"/>
              <w:rPr>
                <w:rFonts w:ascii="Times New Roman" w:hAnsi="Times New Roman" w:cs="Times New Roman"/>
                <w:color w:val="000000" w:themeColor="text1"/>
                <w:sz w:val="20"/>
                <w:szCs w:val="20"/>
              </w:rPr>
            </w:pPr>
            <w:r w:rsidRPr="00E4439E">
              <w:rPr>
                <w:rFonts w:ascii="Times New Roman" w:hAnsi="Times New Roman" w:cs="Times New Roman"/>
                <w:color w:val="000000" w:themeColor="text1"/>
                <w:sz w:val="20"/>
                <w:szCs w:val="20"/>
              </w:rPr>
              <w:t>Scale</w:t>
            </w:r>
          </w:p>
        </w:tc>
        <w:tc>
          <w:tcPr>
            <w:tcW w:w="2537" w:type="dxa"/>
            <w:tcBorders>
              <w:top w:val="single" w:sz="4" w:space="0" w:color="auto"/>
              <w:bottom w:val="single" w:sz="4" w:space="0" w:color="auto"/>
            </w:tcBorders>
            <w:shd w:val="clear" w:color="auto" w:fill="D1D1D1" w:themeFill="background2" w:themeFillShade="E6"/>
            <w:vAlign w:val="center"/>
          </w:tcPr>
          <w:p w14:paraId="2BCDDF5E" w14:textId="77777777" w:rsidR="002E08FA" w:rsidRPr="00E4439E" w:rsidRDefault="002E08FA" w:rsidP="004F1B3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4439E">
              <w:rPr>
                <w:rFonts w:ascii="Times New Roman" w:hAnsi="Times New Roman" w:cs="Times New Roman"/>
                <w:color w:val="000000" w:themeColor="text1"/>
                <w:sz w:val="20"/>
                <w:szCs w:val="20"/>
              </w:rPr>
              <w:t>Diversity metric</w:t>
            </w:r>
          </w:p>
        </w:tc>
        <w:tc>
          <w:tcPr>
            <w:tcW w:w="1900" w:type="dxa"/>
            <w:tcBorders>
              <w:top w:val="single" w:sz="4" w:space="0" w:color="auto"/>
              <w:bottom w:val="single" w:sz="4" w:space="0" w:color="auto"/>
            </w:tcBorders>
            <w:shd w:val="clear" w:color="auto" w:fill="D1D1D1" w:themeFill="background2" w:themeFillShade="E6"/>
            <w:vAlign w:val="center"/>
          </w:tcPr>
          <w:p w14:paraId="13FEE85A" w14:textId="77777777" w:rsidR="002E08FA" w:rsidRPr="00E4439E" w:rsidRDefault="002E08FA" w:rsidP="004F1B3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4439E">
              <w:rPr>
                <w:rFonts w:ascii="Times New Roman" w:hAnsi="Times New Roman" w:cs="Times New Roman"/>
                <w:color w:val="000000" w:themeColor="text1"/>
                <w:sz w:val="20"/>
                <w:szCs w:val="20"/>
              </w:rPr>
              <w:t>Moran's I</w:t>
            </w:r>
          </w:p>
        </w:tc>
        <w:tc>
          <w:tcPr>
            <w:tcW w:w="2952" w:type="dxa"/>
            <w:tcBorders>
              <w:top w:val="single" w:sz="4" w:space="0" w:color="auto"/>
              <w:bottom w:val="single" w:sz="4" w:space="0" w:color="auto"/>
            </w:tcBorders>
            <w:shd w:val="clear" w:color="auto" w:fill="D1D1D1" w:themeFill="background2" w:themeFillShade="E6"/>
            <w:vAlign w:val="center"/>
          </w:tcPr>
          <w:p w14:paraId="352477F2" w14:textId="77777777" w:rsidR="002E08FA" w:rsidRPr="00E4439E" w:rsidRDefault="002E08FA" w:rsidP="004F1B3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4439E">
              <w:rPr>
                <w:rFonts w:ascii="Times New Roman" w:hAnsi="Times New Roman" w:cs="Times New Roman"/>
                <w:color w:val="000000" w:themeColor="text1"/>
                <w:sz w:val="20"/>
                <w:szCs w:val="20"/>
              </w:rPr>
              <w:t>P-value</w:t>
            </w:r>
          </w:p>
        </w:tc>
      </w:tr>
      <w:tr w:rsidR="002E08FA" w:rsidRPr="00E4439E" w14:paraId="0BA44415" w14:textId="77777777" w:rsidTr="004F1B38">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1689" w:type="dxa"/>
            <w:tcBorders>
              <w:top w:val="single" w:sz="4" w:space="0" w:color="auto"/>
            </w:tcBorders>
            <w:shd w:val="clear" w:color="auto" w:fill="FFFFFF" w:themeFill="background1"/>
            <w:vAlign w:val="center"/>
          </w:tcPr>
          <w:p w14:paraId="363025C0" w14:textId="77777777" w:rsidR="002E08FA" w:rsidRPr="00E4439E" w:rsidRDefault="002E08FA" w:rsidP="004F1B38">
            <w:pPr>
              <w:jc w:val="center"/>
              <w:rPr>
                <w:rFonts w:ascii="Times New Roman" w:hAnsi="Times New Roman" w:cs="Times New Roman"/>
                <w:b w:val="0"/>
                <w:bCs w:val="0"/>
                <w:color w:val="000000" w:themeColor="text1"/>
                <w:sz w:val="20"/>
                <w:szCs w:val="20"/>
              </w:rPr>
            </w:pPr>
            <w:r w:rsidRPr="00E4439E">
              <w:rPr>
                <w:rFonts w:ascii="Times New Roman" w:hAnsi="Times New Roman" w:cs="Times New Roman"/>
                <w:b w:val="0"/>
                <w:bCs w:val="0"/>
                <w:color w:val="000000" w:themeColor="text1"/>
                <w:sz w:val="20"/>
                <w:szCs w:val="20"/>
              </w:rPr>
              <w:t>Local</w:t>
            </w:r>
          </w:p>
        </w:tc>
        <w:tc>
          <w:tcPr>
            <w:tcW w:w="2537" w:type="dxa"/>
            <w:tcBorders>
              <w:top w:val="single" w:sz="4" w:space="0" w:color="auto"/>
            </w:tcBorders>
            <w:shd w:val="clear" w:color="auto" w:fill="FFFFFF" w:themeFill="background1"/>
            <w:vAlign w:val="center"/>
          </w:tcPr>
          <w:p w14:paraId="702503D9" w14:textId="77777777" w:rsidR="002E08FA" w:rsidRPr="00D237EF" w:rsidRDefault="002E08FA" w:rsidP="004F1B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rPr>
            </w:pPr>
            <w:r w:rsidRPr="00D237EF">
              <w:rPr>
                <w:rFonts w:ascii="Times New Roman" w:hAnsi="Times New Roman" w:cs="Times New Roman"/>
                <w:i/>
                <w:iCs/>
                <w:color w:val="000000" w:themeColor="text1"/>
                <w:sz w:val="20"/>
                <w:szCs w:val="20"/>
              </w:rPr>
              <w:t>N</w:t>
            </w:r>
            <w:r w:rsidRPr="00D237EF">
              <w:rPr>
                <w:rFonts w:ascii="Times New Roman" w:hAnsi="Times New Roman" w:cs="Times New Roman"/>
                <w:i/>
                <w:iCs/>
                <w:color w:val="000000" w:themeColor="text1"/>
                <w:sz w:val="20"/>
                <w:szCs w:val="20"/>
                <w:vertAlign w:val="subscript"/>
              </w:rPr>
              <w:t>0</w:t>
            </w:r>
          </w:p>
        </w:tc>
        <w:tc>
          <w:tcPr>
            <w:tcW w:w="1900" w:type="dxa"/>
            <w:tcBorders>
              <w:top w:val="single" w:sz="4" w:space="0" w:color="auto"/>
            </w:tcBorders>
            <w:shd w:val="clear" w:color="auto" w:fill="FFFFFF" w:themeFill="background1"/>
            <w:vAlign w:val="center"/>
          </w:tcPr>
          <w:p w14:paraId="57119883" w14:textId="77777777" w:rsidR="002E08FA" w:rsidRPr="00E4439E" w:rsidRDefault="002E08FA" w:rsidP="004F1B38">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-0.04</w:t>
            </w:r>
          </w:p>
        </w:tc>
        <w:tc>
          <w:tcPr>
            <w:tcW w:w="2952" w:type="dxa"/>
            <w:tcBorders>
              <w:top w:val="single" w:sz="4" w:space="0" w:color="auto"/>
            </w:tcBorders>
            <w:shd w:val="clear" w:color="auto" w:fill="FFFFFF" w:themeFill="background1"/>
            <w:vAlign w:val="center"/>
          </w:tcPr>
          <w:p w14:paraId="5914BD05" w14:textId="77777777" w:rsidR="002E08FA" w:rsidRPr="00E4439E" w:rsidRDefault="002E08FA" w:rsidP="004F1B38">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1</w:t>
            </w:r>
          </w:p>
        </w:tc>
      </w:tr>
      <w:tr w:rsidR="002E08FA" w:rsidRPr="00E4439E" w14:paraId="1B2AE1B5" w14:textId="77777777" w:rsidTr="004F1B38">
        <w:trPr>
          <w:trHeight w:val="486"/>
          <w:jc w:val="center"/>
        </w:trPr>
        <w:tc>
          <w:tcPr>
            <w:cnfStyle w:val="001000000000" w:firstRow="0" w:lastRow="0" w:firstColumn="1" w:lastColumn="0" w:oddVBand="0" w:evenVBand="0" w:oddHBand="0" w:evenHBand="0" w:firstRowFirstColumn="0" w:firstRowLastColumn="0" w:lastRowFirstColumn="0" w:lastRowLastColumn="0"/>
            <w:tcW w:w="1689" w:type="dxa"/>
            <w:vMerge w:val="restart"/>
            <w:shd w:val="clear" w:color="auto" w:fill="FFFFFF" w:themeFill="background1"/>
            <w:vAlign w:val="center"/>
          </w:tcPr>
          <w:p w14:paraId="37D4963F" w14:textId="77777777" w:rsidR="002E08FA" w:rsidRPr="00E4439E" w:rsidRDefault="002E08FA" w:rsidP="004F1B38">
            <w:pPr>
              <w:jc w:val="center"/>
              <w:rPr>
                <w:rFonts w:ascii="Times New Roman" w:hAnsi="Times New Roman" w:cs="Times New Roman"/>
                <w:b w:val="0"/>
                <w:bCs w:val="0"/>
                <w:color w:val="000000" w:themeColor="text1"/>
                <w:sz w:val="20"/>
                <w:szCs w:val="20"/>
              </w:rPr>
            </w:pPr>
            <w:r w:rsidRPr="00E4439E">
              <w:rPr>
                <w:rFonts w:ascii="Times New Roman" w:hAnsi="Times New Roman" w:cs="Times New Roman"/>
                <w:b w:val="0"/>
                <w:bCs w:val="0"/>
                <w:color w:val="000000" w:themeColor="text1"/>
                <w:sz w:val="20"/>
                <w:szCs w:val="20"/>
              </w:rPr>
              <w:t>Landscape</w:t>
            </w:r>
          </w:p>
        </w:tc>
        <w:tc>
          <w:tcPr>
            <w:tcW w:w="2537" w:type="dxa"/>
            <w:shd w:val="clear" w:color="auto" w:fill="FFFFFF" w:themeFill="background1"/>
            <w:vAlign w:val="center"/>
          </w:tcPr>
          <w:p w14:paraId="7194C6B3" w14:textId="77777777" w:rsidR="002E08FA" w:rsidRPr="00D237EF" w:rsidRDefault="002E08FA" w:rsidP="004F1B3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0"/>
                <w:szCs w:val="20"/>
              </w:rPr>
            </w:pPr>
            <w:r w:rsidRPr="00D237EF">
              <w:rPr>
                <w:rFonts w:ascii="Times New Roman" w:hAnsi="Times New Roman" w:cs="Times New Roman"/>
                <w:i/>
                <w:iCs/>
                <w:color w:val="000000" w:themeColor="text1"/>
                <w:sz w:val="20"/>
                <w:szCs w:val="20"/>
              </w:rPr>
              <w:t>N</w:t>
            </w:r>
            <w:r w:rsidRPr="00D237EF">
              <w:rPr>
                <w:rFonts w:ascii="Times New Roman" w:hAnsi="Times New Roman" w:cs="Times New Roman"/>
                <w:i/>
                <w:iCs/>
                <w:color w:val="000000" w:themeColor="text1"/>
                <w:sz w:val="20"/>
                <w:szCs w:val="20"/>
                <w:vertAlign w:val="subscript"/>
              </w:rPr>
              <w:t>0</w:t>
            </w:r>
          </w:p>
        </w:tc>
        <w:tc>
          <w:tcPr>
            <w:tcW w:w="1900" w:type="dxa"/>
            <w:shd w:val="clear" w:color="auto" w:fill="FFFFFF" w:themeFill="background1"/>
            <w:vAlign w:val="center"/>
          </w:tcPr>
          <w:p w14:paraId="7397BCBB" w14:textId="77777777" w:rsidR="002E08FA" w:rsidRPr="00E4439E" w:rsidRDefault="002E08FA" w:rsidP="004F1B38">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0.009</w:t>
            </w:r>
          </w:p>
        </w:tc>
        <w:tc>
          <w:tcPr>
            <w:tcW w:w="2952" w:type="dxa"/>
            <w:shd w:val="clear" w:color="auto" w:fill="FFFFFF" w:themeFill="background1"/>
            <w:vAlign w:val="center"/>
          </w:tcPr>
          <w:p w14:paraId="1F304DF1" w14:textId="77777777" w:rsidR="002E08FA" w:rsidRPr="00E4439E" w:rsidRDefault="002E08FA" w:rsidP="004F1B38">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0.052</w:t>
            </w:r>
          </w:p>
        </w:tc>
      </w:tr>
      <w:tr w:rsidR="002E08FA" w:rsidRPr="00E4439E" w14:paraId="6652B7EB" w14:textId="77777777" w:rsidTr="004F1B38">
        <w:trPr>
          <w:cnfStyle w:val="000000100000" w:firstRow="0" w:lastRow="0" w:firstColumn="0" w:lastColumn="0" w:oddVBand="0" w:evenVBand="0" w:oddHBand="1" w:evenHBand="0" w:firstRowFirstColumn="0" w:firstRowLastColumn="0" w:lastRowFirstColumn="0" w:lastRowLastColumn="0"/>
          <w:trHeight w:val="486"/>
          <w:jc w:val="center"/>
        </w:trPr>
        <w:tc>
          <w:tcPr>
            <w:cnfStyle w:val="001000000000" w:firstRow="0" w:lastRow="0" w:firstColumn="1" w:lastColumn="0" w:oddVBand="0" w:evenVBand="0" w:oddHBand="0" w:evenHBand="0" w:firstRowFirstColumn="0" w:firstRowLastColumn="0" w:lastRowFirstColumn="0" w:lastRowLastColumn="0"/>
            <w:tcW w:w="1689" w:type="dxa"/>
            <w:vMerge/>
            <w:shd w:val="clear" w:color="auto" w:fill="FFFFFF" w:themeFill="background1"/>
            <w:vAlign w:val="center"/>
          </w:tcPr>
          <w:p w14:paraId="57219759" w14:textId="77777777" w:rsidR="002E08FA" w:rsidRPr="00E4439E" w:rsidRDefault="002E08FA" w:rsidP="004F1B38">
            <w:pPr>
              <w:jc w:val="center"/>
              <w:rPr>
                <w:rFonts w:ascii="Times New Roman" w:hAnsi="Times New Roman" w:cs="Times New Roman"/>
                <w:b w:val="0"/>
                <w:bCs w:val="0"/>
                <w:color w:val="000000" w:themeColor="text1"/>
                <w:sz w:val="20"/>
                <w:szCs w:val="20"/>
              </w:rPr>
            </w:pPr>
          </w:p>
        </w:tc>
        <w:tc>
          <w:tcPr>
            <w:tcW w:w="2537" w:type="dxa"/>
            <w:shd w:val="clear" w:color="auto" w:fill="FFFFFF" w:themeFill="background1"/>
            <w:vAlign w:val="center"/>
          </w:tcPr>
          <w:p w14:paraId="3EB80CD2" w14:textId="77777777" w:rsidR="002E08FA" w:rsidRPr="00D237EF" w:rsidRDefault="002E08FA" w:rsidP="004F1B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rPr>
            </w:pPr>
            <w:r w:rsidRPr="00D237EF">
              <w:rPr>
                <w:rFonts w:ascii="Times New Roman" w:hAnsi="Times New Roman" w:cs="Times New Roman"/>
                <w:i/>
                <w:iCs/>
                <w:color w:val="000000" w:themeColor="text1"/>
                <w:sz w:val="20"/>
                <w:szCs w:val="20"/>
              </w:rPr>
              <w:t>N</w:t>
            </w:r>
            <w:r w:rsidRPr="00D237EF">
              <w:rPr>
                <w:rFonts w:ascii="Times New Roman" w:hAnsi="Times New Roman" w:cs="Times New Roman"/>
                <w:i/>
                <w:iCs/>
                <w:color w:val="000000" w:themeColor="text1"/>
                <w:sz w:val="20"/>
                <w:szCs w:val="20"/>
                <w:vertAlign w:val="subscript"/>
              </w:rPr>
              <w:t>1</w:t>
            </w:r>
          </w:p>
        </w:tc>
        <w:tc>
          <w:tcPr>
            <w:tcW w:w="1900" w:type="dxa"/>
            <w:shd w:val="clear" w:color="auto" w:fill="FFFFFF" w:themeFill="background1"/>
            <w:vAlign w:val="center"/>
          </w:tcPr>
          <w:p w14:paraId="35D0A5D0" w14:textId="77777777" w:rsidR="002E08FA" w:rsidRPr="000E00E6" w:rsidRDefault="002E08FA" w:rsidP="004F1B3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0.0079</w:t>
            </w:r>
          </w:p>
        </w:tc>
        <w:tc>
          <w:tcPr>
            <w:tcW w:w="2952" w:type="dxa"/>
            <w:shd w:val="clear" w:color="auto" w:fill="FFFFFF" w:themeFill="background1"/>
            <w:vAlign w:val="center"/>
          </w:tcPr>
          <w:p w14:paraId="2075E804" w14:textId="77777777" w:rsidR="002E08FA" w:rsidRPr="00E4439E" w:rsidRDefault="002E08FA" w:rsidP="004F1B38">
            <w:pPr>
              <w:spacing w:line="27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0.084</w:t>
            </w:r>
          </w:p>
        </w:tc>
      </w:tr>
      <w:tr w:rsidR="002E08FA" w:rsidRPr="00E4439E" w14:paraId="777EAAA5" w14:textId="77777777" w:rsidTr="004F1B38">
        <w:trPr>
          <w:trHeight w:val="486"/>
          <w:jc w:val="center"/>
        </w:trPr>
        <w:tc>
          <w:tcPr>
            <w:cnfStyle w:val="001000000000" w:firstRow="0" w:lastRow="0" w:firstColumn="1" w:lastColumn="0" w:oddVBand="0" w:evenVBand="0" w:oddHBand="0" w:evenHBand="0" w:firstRowFirstColumn="0" w:firstRowLastColumn="0" w:lastRowFirstColumn="0" w:lastRowLastColumn="0"/>
            <w:tcW w:w="1689" w:type="dxa"/>
            <w:vMerge/>
            <w:tcBorders>
              <w:bottom w:val="single" w:sz="4" w:space="0" w:color="auto"/>
            </w:tcBorders>
            <w:shd w:val="clear" w:color="auto" w:fill="FFFFFF" w:themeFill="background1"/>
            <w:vAlign w:val="center"/>
          </w:tcPr>
          <w:p w14:paraId="0E66A3BE" w14:textId="77777777" w:rsidR="002E08FA" w:rsidRPr="00E4439E" w:rsidRDefault="002E08FA" w:rsidP="004F1B38">
            <w:pPr>
              <w:jc w:val="center"/>
              <w:rPr>
                <w:rFonts w:ascii="Times New Roman" w:hAnsi="Times New Roman" w:cs="Times New Roman"/>
                <w:b w:val="0"/>
                <w:bCs w:val="0"/>
                <w:color w:val="000000" w:themeColor="text1"/>
                <w:sz w:val="20"/>
                <w:szCs w:val="20"/>
              </w:rPr>
            </w:pPr>
          </w:p>
        </w:tc>
        <w:tc>
          <w:tcPr>
            <w:tcW w:w="2537" w:type="dxa"/>
            <w:tcBorders>
              <w:bottom w:val="single" w:sz="4" w:space="0" w:color="auto"/>
            </w:tcBorders>
            <w:shd w:val="clear" w:color="auto" w:fill="FFFFFF" w:themeFill="background1"/>
            <w:vAlign w:val="center"/>
          </w:tcPr>
          <w:p w14:paraId="12A45CAF" w14:textId="77777777" w:rsidR="002E08FA" w:rsidRPr="00D237EF" w:rsidRDefault="002E08FA" w:rsidP="004F1B3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20"/>
                <w:szCs w:val="20"/>
              </w:rPr>
            </w:pPr>
            <w:r w:rsidRPr="00D237EF">
              <w:rPr>
                <w:rFonts w:ascii="Times New Roman" w:hAnsi="Times New Roman" w:cs="Times New Roman"/>
                <w:i/>
                <w:iCs/>
                <w:color w:val="000000" w:themeColor="text1"/>
                <w:sz w:val="20"/>
                <w:szCs w:val="20"/>
              </w:rPr>
              <w:t>N</w:t>
            </w:r>
            <w:r w:rsidRPr="00D237EF">
              <w:rPr>
                <w:rFonts w:ascii="Times New Roman" w:hAnsi="Times New Roman" w:cs="Times New Roman"/>
                <w:i/>
                <w:iCs/>
                <w:color w:val="000000" w:themeColor="text1"/>
                <w:sz w:val="20"/>
                <w:szCs w:val="20"/>
                <w:vertAlign w:val="subscript"/>
              </w:rPr>
              <w:t>2</w:t>
            </w:r>
          </w:p>
        </w:tc>
        <w:tc>
          <w:tcPr>
            <w:tcW w:w="1900" w:type="dxa"/>
            <w:tcBorders>
              <w:bottom w:val="single" w:sz="4" w:space="0" w:color="auto"/>
            </w:tcBorders>
            <w:shd w:val="clear" w:color="auto" w:fill="FFFFFF" w:themeFill="background1"/>
            <w:vAlign w:val="center"/>
          </w:tcPr>
          <w:p w14:paraId="468462F1" w14:textId="77777777" w:rsidR="002E08FA" w:rsidRPr="00E4439E" w:rsidRDefault="002E08FA" w:rsidP="004F1B38">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0.0095</w:t>
            </w:r>
          </w:p>
        </w:tc>
        <w:tc>
          <w:tcPr>
            <w:tcW w:w="2952" w:type="dxa"/>
            <w:tcBorders>
              <w:bottom w:val="single" w:sz="4" w:space="0" w:color="auto"/>
            </w:tcBorders>
            <w:shd w:val="clear" w:color="auto" w:fill="FFFFFF" w:themeFill="background1"/>
            <w:vAlign w:val="center"/>
          </w:tcPr>
          <w:p w14:paraId="5FD48852" w14:textId="77777777" w:rsidR="002E08FA" w:rsidRPr="00E4439E" w:rsidRDefault="002E08FA" w:rsidP="004F1B38">
            <w:pPr>
              <w:spacing w:line="27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4439E">
              <w:rPr>
                <w:rFonts w:ascii="Times New Roman" w:hAnsi="Times New Roman" w:cs="Times New Roman"/>
                <w:color w:val="000000"/>
                <w:sz w:val="20"/>
                <w:szCs w:val="20"/>
              </w:rPr>
              <w:t>0.0504</w:t>
            </w:r>
          </w:p>
        </w:tc>
      </w:tr>
    </w:tbl>
    <w:p w14:paraId="51657B9E" w14:textId="77777777" w:rsidR="002E08FA" w:rsidRPr="00C35D1D" w:rsidRDefault="002E08FA" w:rsidP="002E08FA">
      <w:pPr>
        <w:spacing w:after="0"/>
        <w:rPr>
          <w:rFonts w:ascii="Times New Roman" w:hAnsi="Times New Roman" w:cs="Times New Roman"/>
          <w:b/>
          <w:bCs/>
          <w:i/>
          <w:iCs/>
          <w:color w:val="000000" w:themeColor="text1"/>
          <w:sz w:val="22"/>
          <w:szCs w:val="22"/>
        </w:rPr>
      </w:pPr>
      <w:r>
        <w:rPr>
          <w:rFonts w:ascii="Times New Roman" w:hAnsi="Times New Roman" w:cs="Times New Roman"/>
          <w:b/>
          <w:bCs/>
          <w:i/>
          <w:iCs/>
          <w:color w:val="000000" w:themeColor="text1"/>
          <w:sz w:val="22"/>
          <w:szCs w:val="22"/>
        </w:rPr>
        <w:br w:type="page"/>
      </w:r>
    </w:p>
    <w:p w14:paraId="22294EA8"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FA"/>
    <w:rsid w:val="002E08FA"/>
    <w:rsid w:val="005B6877"/>
    <w:rsid w:val="00AA0C39"/>
    <w:rsid w:val="00DC2479"/>
    <w:rsid w:val="00DF48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B7419"/>
  <w15:chartTrackingRefBased/>
  <w15:docId w15:val="{9118AC13-8027-4ADF-90BA-DEB8FABB5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8FA"/>
    <w:rPr>
      <w:rFonts w:ascii="Aptos" w:eastAsiaTheme="minorEastAsia" w:hAnsi="Aptos" w:cs="Aptos"/>
      <w:kern w:val="0"/>
      <w:lang w:val="en-US" w:eastAsia="zh-CN"/>
      <w14:ligatures w14:val="none"/>
    </w:rPr>
  </w:style>
  <w:style w:type="paragraph" w:styleId="Heading1">
    <w:name w:val="heading 1"/>
    <w:basedOn w:val="Normal"/>
    <w:next w:val="Normal"/>
    <w:link w:val="Heading1Char"/>
    <w:uiPriority w:val="9"/>
    <w:qFormat/>
    <w:rsid w:val="002E08F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2E08F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2E08F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E08FA"/>
    <w:pPr>
      <w:keepNext/>
      <w:keepLines/>
      <w:spacing w:before="80" w:after="40"/>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2E08FA"/>
    <w:pPr>
      <w:keepNext/>
      <w:keepLines/>
      <w:spacing w:before="80" w:after="40"/>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2E08FA"/>
    <w:pPr>
      <w:keepNext/>
      <w:keepLines/>
      <w:spacing w:before="40" w:after="0"/>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2E08FA"/>
    <w:pPr>
      <w:keepNext/>
      <w:keepLines/>
      <w:spacing w:before="40" w:after="0"/>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2E08FA"/>
    <w:pPr>
      <w:keepNext/>
      <w:keepLines/>
      <w:spacing w:after="0"/>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2E08FA"/>
    <w:pPr>
      <w:keepNext/>
      <w:keepLines/>
      <w:spacing w:after="0"/>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0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0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0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0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0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0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0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0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08FA"/>
    <w:rPr>
      <w:rFonts w:eastAsiaTheme="majorEastAsia" w:cstheme="majorBidi"/>
      <w:color w:val="272727" w:themeColor="text1" w:themeTint="D8"/>
    </w:rPr>
  </w:style>
  <w:style w:type="paragraph" w:styleId="Title">
    <w:name w:val="Title"/>
    <w:basedOn w:val="Normal"/>
    <w:next w:val="Normal"/>
    <w:link w:val="TitleChar"/>
    <w:uiPriority w:val="10"/>
    <w:qFormat/>
    <w:rsid w:val="002E08FA"/>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E0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08FA"/>
    <w:pPr>
      <w:numPr>
        <w:ilvl w:val="1"/>
      </w:numPr>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E0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08FA"/>
    <w:pPr>
      <w:spacing w:before="160"/>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2E08FA"/>
    <w:rPr>
      <w:i/>
      <w:iCs/>
      <w:color w:val="404040" w:themeColor="text1" w:themeTint="BF"/>
    </w:rPr>
  </w:style>
  <w:style w:type="paragraph" w:styleId="ListParagraph">
    <w:name w:val="List Paragraph"/>
    <w:basedOn w:val="Normal"/>
    <w:uiPriority w:val="34"/>
    <w:qFormat/>
    <w:rsid w:val="002E08FA"/>
    <w:pPr>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2E08FA"/>
    <w:rPr>
      <w:i/>
      <w:iCs/>
      <w:color w:val="0F4761" w:themeColor="accent1" w:themeShade="BF"/>
    </w:rPr>
  </w:style>
  <w:style w:type="paragraph" w:styleId="IntenseQuote">
    <w:name w:val="Intense Quote"/>
    <w:basedOn w:val="Normal"/>
    <w:next w:val="Normal"/>
    <w:link w:val="IntenseQuoteChar"/>
    <w:uiPriority w:val="30"/>
    <w:qFormat/>
    <w:rsid w:val="002E08F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2E08FA"/>
    <w:rPr>
      <w:i/>
      <w:iCs/>
      <w:color w:val="0F4761" w:themeColor="accent1" w:themeShade="BF"/>
    </w:rPr>
  </w:style>
  <w:style w:type="character" w:styleId="IntenseReference">
    <w:name w:val="Intense Reference"/>
    <w:basedOn w:val="DefaultParagraphFont"/>
    <w:uiPriority w:val="32"/>
    <w:qFormat/>
    <w:rsid w:val="002E08FA"/>
    <w:rPr>
      <w:b/>
      <w:bCs/>
      <w:smallCaps/>
      <w:color w:val="0F4761" w:themeColor="accent1" w:themeShade="BF"/>
      <w:spacing w:val="5"/>
    </w:rPr>
  </w:style>
  <w:style w:type="paragraph" w:styleId="NormalWeb">
    <w:name w:val="Normal (Web)"/>
    <w:basedOn w:val="Normal"/>
    <w:uiPriority w:val="99"/>
    <w:unhideWhenUsed/>
    <w:rsid w:val="002E08FA"/>
    <w:pPr>
      <w:spacing w:before="100" w:beforeAutospacing="1" w:after="100" w:afterAutospacing="1" w:line="240" w:lineRule="auto"/>
    </w:pPr>
    <w:rPr>
      <w:rFonts w:ascii="Times New Roman" w:eastAsia="Times New Roman" w:hAnsi="Times New Roman" w:cs="Times New Roman"/>
    </w:rPr>
  </w:style>
  <w:style w:type="table" w:styleId="ListTable1Light">
    <w:name w:val="List Table 1 Light"/>
    <w:basedOn w:val="TableNormal"/>
    <w:uiPriority w:val="46"/>
    <w:rsid w:val="002E08FA"/>
    <w:pPr>
      <w:spacing w:after="0" w:line="240" w:lineRule="auto"/>
    </w:pPr>
    <w:rPr>
      <w:rFonts w:ascii="Aptos" w:eastAsiaTheme="minorEastAsia" w:hAnsi="Aptos" w:cs="Aptos"/>
      <w:kern w:val="0"/>
      <w:lang w:val="en-US" w:eastAsia="zh-CN"/>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2066</Words>
  <Characters>11780</Characters>
  <Application>Microsoft Office Word</Application>
  <DocSecurity>0</DocSecurity>
  <Lines>98</Lines>
  <Paragraphs>27</Paragraphs>
  <ScaleCrop>false</ScaleCrop>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2026-09-09T06:30:00Z</dcterms:created>
  <dcterms:modified xsi:type="dcterms:W3CDTF">2026-09-09T06:31:00Z</dcterms:modified>
</cp:coreProperties>
</file>