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645ED">
      <w:pPr>
        <w:suppressLineNumbers/>
        <w:spacing w:line="240" w:lineRule="auto"/>
        <w:jc w:val="left"/>
        <w:rPr>
          <w:rFonts w:hint="default" w:ascii="Times New Roman" w:hAnsi="Times New Roman" w:cs="Times New Roman"/>
          <w:b/>
          <w:bCs/>
          <w:color w:val="000000"/>
          <w:kern w:val="0"/>
          <w:sz w:val="24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color w:val="000000"/>
          <w:kern w:val="0"/>
          <w:sz w:val="24"/>
          <w:lang w:val="en-US" w:eastAsia="zh-CN"/>
        </w:rPr>
        <w:t>Table 2</w:t>
      </w:r>
      <w:bookmarkEnd w:id="0"/>
      <w:r>
        <w:rPr>
          <w:rFonts w:hint="default" w:ascii="Times New Roman" w:hAnsi="Times New Roman" w:cs="Times New Roman"/>
          <w:b/>
          <w:bCs/>
          <w:color w:val="000000"/>
          <w:kern w:val="0"/>
          <w:sz w:val="24"/>
          <w:lang w:val="en-US" w:eastAsia="zh-CN"/>
        </w:rPr>
        <w:t xml:space="preserve"> Univariate analysis of characteristics of 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H. pylori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noBreakHyphen/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infection </w:t>
      </w:r>
      <w:r>
        <w:rPr>
          <w:rFonts w:hint="default" w:ascii="Times New Roman" w:hAnsi="Times New Roman" w:cs="Times New Roman"/>
          <w:b/>
          <w:bCs/>
          <w:color w:val="000000"/>
          <w:kern w:val="0"/>
          <w:sz w:val="24"/>
          <w:lang w:val="en-US" w:eastAsia="zh-CN"/>
        </w:rPr>
        <w:t>[n(%)]</w:t>
      </w:r>
    </w:p>
    <w:tbl>
      <w:tblPr>
        <w:tblStyle w:val="2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56"/>
        <w:gridCol w:w="1763"/>
        <w:gridCol w:w="1872"/>
        <w:gridCol w:w="641"/>
        <w:gridCol w:w="714"/>
      </w:tblGrid>
      <w:tr w14:paraId="0A3C7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080" w:type="pct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37F1D6">
            <w:pPr>
              <w:suppressLineNumbers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br w:type="page"/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Item</w:t>
            </w:r>
          </w:p>
        </w:tc>
        <w:tc>
          <w:tcPr>
            <w:tcW w:w="1031" w:type="pct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F526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</w:rPr>
              <w:t>egative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</w:rPr>
              <w:t>group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1"/>
                <w:lang w:val="en-US" w:eastAsia="zh-CN" w:bidi="ar"/>
              </w:rPr>
              <w:t>(n=411)</w:t>
            </w:r>
          </w:p>
        </w:tc>
        <w:tc>
          <w:tcPr>
            <w:tcW w:w="1095" w:type="pct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9003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</w:rPr>
              <w:t>ositive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</w:rPr>
              <w:t>group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1"/>
                <w:lang w:val="en-US" w:eastAsia="zh-CN" w:bidi="ar"/>
              </w:rPr>
              <w:t>(n=172)</w:t>
            </w:r>
          </w:p>
        </w:tc>
        <w:tc>
          <w:tcPr>
            <w:tcW w:w="375" w:type="pct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24DB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4"/>
                <w:szCs w:val="21"/>
                <w:lang w:val="en-US" w:eastAsia="zh-CN" w:bidi="ar"/>
              </w:rPr>
              <w:t>χ²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1"/>
                <w:lang w:val="en-US" w:eastAsia="zh-CN" w:bidi="ar"/>
              </w:rPr>
              <w:t xml:space="preserve"> </w:t>
            </w:r>
          </w:p>
        </w:tc>
        <w:tc>
          <w:tcPr>
            <w:tcW w:w="417" w:type="pct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12E6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/>
                <w:iCs/>
                <w:color w:val="000000"/>
                <w:kern w:val="0"/>
                <w:sz w:val="24"/>
              </w:rPr>
              <w:t>P</w:t>
            </w:r>
          </w:p>
        </w:tc>
      </w:tr>
      <w:tr w14:paraId="466A6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6586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Sex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1AD91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13827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4C05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0.10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BBA7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0.075</w:t>
            </w:r>
          </w:p>
        </w:tc>
      </w:tr>
      <w:tr w14:paraId="588D7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100F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Male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4115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266 (70.4)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8F0F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112 (29.6)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9AAD7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7DF0A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257B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082D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Female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5B02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324 (71.4)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97F7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130 (28.6)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84F01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11488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D558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EBDE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Ethnicity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EC39C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D5A13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6978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2.79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D798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0.095</w:t>
            </w:r>
          </w:p>
        </w:tc>
      </w:tr>
      <w:tr w14:paraId="3D27F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C2F7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Han nationality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9E08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535 (71.8)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C52E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210 (28.2)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E94F2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652BB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91A3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EC25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Ethnic minorities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3249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55 (63.2)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7F6B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32 (36.8)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A937F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DDE57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F57A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47B1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Family size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7E9B3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96DD4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FCCD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8.50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50A9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0.004</w:t>
            </w:r>
          </w:p>
        </w:tc>
      </w:tr>
      <w:tr w14:paraId="0F6A5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39C5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≤3 family members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E731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141 (78.8)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6312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38 (21.2)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3F0A2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BA8AD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AF6D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83F3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&gt;3 family members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FC95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270 (66.8)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A9FC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134 (33.2)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1068F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1B8C1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B5EE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978C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Annual household income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DF54E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073CB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4F44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2.21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7F66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0.027</w:t>
            </w:r>
          </w:p>
        </w:tc>
      </w:tr>
      <w:tr w14:paraId="70BB9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B6E3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&lt;100,000 RMB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2B75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250 (67.4)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B221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121 (32.6)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C2FEF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5911F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3EEE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408B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100,000–300,000 RMB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1AE7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145 (75.5)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20A5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47 (24.5)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C482D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99BA4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E9C3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3A1D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&gt;300,000 RMB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9490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16 (80.0)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DC5E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 (20.0)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838A2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E6AEE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3D3A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7EE7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Presence of gastrointestinal symptoms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FFBF3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72311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A504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2.18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06E4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0.140</w:t>
            </w:r>
          </w:p>
        </w:tc>
      </w:tr>
      <w:tr w14:paraId="42FD6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AC4C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No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EDB3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185 (73.7)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F261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66 (26.3)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F95E1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18C2C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92E8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D8D8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Yes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9F44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226 (68.1)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A57F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106 (31.9)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69413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9F8EE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733D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5DD6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History of gastroscopy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BF1E4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68D54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13D5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2.93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8118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0.087</w:t>
            </w:r>
          </w:p>
        </w:tc>
      </w:tr>
      <w:tr w14:paraId="36583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8768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No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4599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375 (69.6)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4FCD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164 (30.4)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410F3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E8F97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747A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D1CE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Yes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31BB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36 (81.8)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DE14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8 (18.2)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9BE18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DE151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F925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83D2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Prior Helicobacter pylori testing history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EC159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732D8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43BD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7.39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FA9B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0.007</w:t>
            </w:r>
          </w:p>
        </w:tc>
      </w:tr>
      <w:tr w14:paraId="6EC13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3EC3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No prior test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4B76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339 (68.3)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7011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157 (31.7)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E1DB1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A6DAE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F08E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0060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Received H. pylori test before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57B5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72 (82.8)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D9F9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15 (17.2)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ACC15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0EFF9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2BEA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F18B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History of gastroduodenal surgery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4A3A6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6D8DC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6F2E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–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A371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0.079</w:t>
            </w:r>
          </w:p>
        </w:tc>
      </w:tr>
      <w:tr w14:paraId="49EBF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E70E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No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CBD5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410 (70.8)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B967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169 (29.2)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AE256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AB086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7EFE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80" w:type="pct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3BC3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Yes</w:t>
            </w:r>
          </w:p>
        </w:tc>
        <w:tc>
          <w:tcPr>
            <w:tcW w:w="1031" w:type="pct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64D3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 (25.0)</w:t>
            </w:r>
          </w:p>
        </w:tc>
        <w:tc>
          <w:tcPr>
            <w:tcW w:w="1095" w:type="pct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1FB4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 (75.0)</w:t>
            </w:r>
          </w:p>
        </w:tc>
        <w:tc>
          <w:tcPr>
            <w:tcW w:w="375" w:type="pct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5631C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8EF6E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</w:tbl>
    <w:p w14:paraId="4FF44FC7">
      <w:r>
        <w:rPr>
          <w:rFonts w:hint="default" w:ascii="Times New Roman" w:hAnsi="Times New Roman" w:cs="Times New Roman"/>
          <w:sz w:val="24"/>
          <w:szCs w:val="24"/>
        </w:rPr>
        <w:t>Notes: The reference group was the H. pylori‑negative group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86FB3"/>
    <w:rsid w:val="29E8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2026-09-05T06:14:00Z</dcterms:created>
  <dc:creator>执著，向前</dc:creator>
  <cp:lastModifiedBy>执著，向前</cp:lastModifiedBy>
  <dcterms:modified xsi:type="dcterms:W3CDTF">2026-09-05T06:14:48Z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C13C940B1DA84036A868D7E6BD07B433_11</vt:lpwstr>
  </property>
  <property fmtid="{D5CDD505-2E9C-101B-9397-08002B2CF9AE}" pid="4" name="KSOTemplateDocerSaveRecord">
    <vt:lpwstr>eyJoZGlkIjoiMzEwNTM5NzYwMDRjMzkwZTVkZjY2ODkwMGIxNGU0OTUiLCJ1c2VySWQiOiI0MTI5NTc4MjcifQ==</vt:lpwstr>
  </property>
</Properties>
</file>