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7EAE"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b/>
          <w:bCs/>
          <w:sz w:val="24"/>
          <w:szCs w:val="24"/>
        </w:rPr>
        <w:t>Supplemental Methods: MRI Acquisition and ADC Processing</w:t>
      </w:r>
      <w:r w:rsidRPr="00B16EAF">
        <w:rPr>
          <w:rFonts w:asciiTheme="minorBidi" w:hAnsiTheme="minorBidi"/>
          <w:sz w:val="24"/>
          <w:szCs w:val="24"/>
        </w:rPr>
        <w:t xml:space="preserve">  </w:t>
      </w:r>
    </w:p>
    <w:p w14:paraId="06F2A737"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 xml:space="preserve">All MRI examinations were performed on a 1.5-T Siemens Aera scanner running </w:t>
      </w:r>
      <w:proofErr w:type="spellStart"/>
      <w:r w:rsidRPr="00B16EAF">
        <w:rPr>
          <w:rFonts w:asciiTheme="minorBidi" w:hAnsiTheme="minorBidi"/>
          <w:sz w:val="24"/>
          <w:szCs w:val="24"/>
        </w:rPr>
        <w:t>syngo</w:t>
      </w:r>
      <w:proofErr w:type="spellEnd"/>
      <w:r w:rsidRPr="00B16EAF">
        <w:rPr>
          <w:rFonts w:asciiTheme="minorBidi" w:hAnsiTheme="minorBidi"/>
          <w:sz w:val="24"/>
          <w:szCs w:val="24"/>
        </w:rPr>
        <w:t xml:space="preserve"> MR E11 software (Siemens Healthineers, Erlangen, Germany). The imaging protocol included a 3D T1-weighted MPRAGE sequence (TR/TE/TI = 2100/3.04/1100 </w:t>
      </w:r>
      <w:proofErr w:type="spellStart"/>
      <w:r w:rsidRPr="00B16EAF">
        <w:rPr>
          <w:rFonts w:asciiTheme="minorBidi" w:hAnsiTheme="minorBidi"/>
          <w:sz w:val="24"/>
          <w:szCs w:val="24"/>
        </w:rPr>
        <w:t>ms</w:t>
      </w:r>
      <w:proofErr w:type="spellEnd"/>
      <w:r w:rsidRPr="00B16EAF">
        <w:rPr>
          <w:rFonts w:asciiTheme="minorBidi" w:hAnsiTheme="minorBidi"/>
          <w:sz w:val="24"/>
          <w:szCs w:val="24"/>
        </w:rPr>
        <w:t xml:space="preserve">; flip angle = 10°; voxel size = 0.5 × 0.5 × 1.0 mm³; acquisition matrix = 512 × 464) and axial T2-weighted FLAIR imaging (TR/TE/TI = 10,790/80/2500 </w:t>
      </w:r>
      <w:proofErr w:type="spellStart"/>
      <w:r w:rsidRPr="00B16EAF">
        <w:rPr>
          <w:rFonts w:asciiTheme="minorBidi" w:hAnsiTheme="minorBidi"/>
          <w:sz w:val="24"/>
          <w:szCs w:val="24"/>
        </w:rPr>
        <w:t>ms</w:t>
      </w:r>
      <w:proofErr w:type="spellEnd"/>
      <w:r w:rsidRPr="00B16EAF">
        <w:rPr>
          <w:rFonts w:asciiTheme="minorBidi" w:hAnsiTheme="minorBidi"/>
          <w:sz w:val="24"/>
          <w:szCs w:val="24"/>
        </w:rPr>
        <w:t>; flip angle = 150°; voxel size = 0.5 × 0.5 × 2.0 mm³; acquisition matrix = 512 × 512).</w:t>
      </w:r>
    </w:p>
    <w:p w14:paraId="26059FD4"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 xml:space="preserve">DTI was acquired using a 2D EPI sequence with 64 diffusion-encoding directions at b = 1000 s/mm² together with b = 0 acquisitions (TR/TE = 4500/76 </w:t>
      </w:r>
      <w:proofErr w:type="spellStart"/>
      <w:r w:rsidRPr="00B16EAF">
        <w:rPr>
          <w:rFonts w:asciiTheme="minorBidi" w:hAnsiTheme="minorBidi"/>
          <w:sz w:val="24"/>
          <w:szCs w:val="24"/>
        </w:rPr>
        <w:t>ms</w:t>
      </w:r>
      <w:proofErr w:type="spellEnd"/>
      <w:r w:rsidRPr="00B16EAF">
        <w:rPr>
          <w:rFonts w:asciiTheme="minorBidi" w:hAnsiTheme="minorBidi"/>
          <w:sz w:val="24"/>
          <w:szCs w:val="24"/>
        </w:rPr>
        <w:t xml:space="preserve">; flip angle = 90°; voxel size = 2 × 2 × 2.5 mm³; acquisition matrix = 128 × 128). Resting-state functional MRI used a gradient-echo EPI sequence (TR/TE = 2200/45 </w:t>
      </w:r>
      <w:proofErr w:type="spellStart"/>
      <w:r w:rsidRPr="00B16EAF">
        <w:rPr>
          <w:rFonts w:asciiTheme="minorBidi" w:hAnsiTheme="minorBidi"/>
          <w:sz w:val="24"/>
          <w:szCs w:val="24"/>
        </w:rPr>
        <w:t>ms</w:t>
      </w:r>
      <w:proofErr w:type="spellEnd"/>
      <w:r w:rsidRPr="00B16EAF">
        <w:rPr>
          <w:rFonts w:asciiTheme="minorBidi" w:hAnsiTheme="minorBidi"/>
          <w:sz w:val="24"/>
          <w:szCs w:val="24"/>
        </w:rPr>
        <w:t>; flip angle = 90°; voxel size = 4 × 4 × 4 mm³; acquisition matrix = 64 × 64).</w:t>
      </w:r>
    </w:p>
    <w:p w14:paraId="40D1605B"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 xml:space="preserve">Perfusion imaging included DCE-MRI acquired with a 3D spoiled gradient-echo sequence (TR = 7.8 or 9.6 </w:t>
      </w:r>
      <w:proofErr w:type="spellStart"/>
      <w:r w:rsidRPr="00B16EAF">
        <w:rPr>
          <w:rFonts w:asciiTheme="minorBidi" w:hAnsiTheme="minorBidi"/>
          <w:sz w:val="24"/>
          <w:szCs w:val="24"/>
        </w:rPr>
        <w:t>ms</w:t>
      </w:r>
      <w:proofErr w:type="spellEnd"/>
      <w:r w:rsidRPr="00B16EAF">
        <w:rPr>
          <w:rFonts w:asciiTheme="minorBidi" w:hAnsiTheme="minorBidi"/>
          <w:sz w:val="24"/>
          <w:szCs w:val="24"/>
        </w:rPr>
        <w:t xml:space="preserve"> across protocol instances; TE = 1.36 </w:t>
      </w:r>
      <w:proofErr w:type="spellStart"/>
      <w:r w:rsidRPr="00B16EAF">
        <w:rPr>
          <w:rFonts w:asciiTheme="minorBidi" w:hAnsiTheme="minorBidi"/>
          <w:sz w:val="24"/>
          <w:szCs w:val="24"/>
        </w:rPr>
        <w:t>ms</w:t>
      </w:r>
      <w:proofErr w:type="spellEnd"/>
      <w:r w:rsidRPr="00B16EAF">
        <w:rPr>
          <w:rFonts w:asciiTheme="minorBidi" w:hAnsiTheme="minorBidi"/>
          <w:sz w:val="24"/>
          <w:szCs w:val="24"/>
        </w:rPr>
        <w:t xml:space="preserve">; flip angle = 25°; voxel size = 1 × 1 × 5 mm³; acquisition matrix = 256 × 208) and DSC-MRI acquired with a gradient-echo EPI sequence (TR/TE = 1500/40 </w:t>
      </w:r>
      <w:proofErr w:type="spellStart"/>
      <w:r w:rsidRPr="00B16EAF">
        <w:rPr>
          <w:rFonts w:asciiTheme="minorBidi" w:hAnsiTheme="minorBidi"/>
          <w:sz w:val="24"/>
          <w:szCs w:val="24"/>
        </w:rPr>
        <w:t>ms</w:t>
      </w:r>
      <w:proofErr w:type="spellEnd"/>
      <w:r w:rsidRPr="00B16EAF">
        <w:rPr>
          <w:rFonts w:asciiTheme="minorBidi" w:hAnsiTheme="minorBidi"/>
          <w:sz w:val="24"/>
          <w:szCs w:val="24"/>
        </w:rPr>
        <w:t xml:space="preserve">; flip angle = 60°; voxel size = 2 × 2 × 5 mm³; acquisition matrix = 128 × 128). </w:t>
      </w:r>
      <w:proofErr w:type="spellStart"/>
      <w:r w:rsidRPr="00B16EAF">
        <w:rPr>
          <w:rFonts w:asciiTheme="minorBidi" w:hAnsiTheme="minorBidi"/>
          <w:sz w:val="24"/>
          <w:szCs w:val="24"/>
        </w:rPr>
        <w:t>Gadobutrol</w:t>
      </w:r>
      <w:proofErr w:type="spellEnd"/>
      <w:r w:rsidRPr="00B16EAF">
        <w:rPr>
          <w:rFonts w:asciiTheme="minorBidi" w:hAnsiTheme="minorBidi"/>
          <w:sz w:val="24"/>
          <w:szCs w:val="24"/>
        </w:rPr>
        <w:t xml:space="preserve"> (</w:t>
      </w:r>
      <w:proofErr w:type="spellStart"/>
      <w:r w:rsidRPr="00B16EAF">
        <w:rPr>
          <w:rFonts w:asciiTheme="minorBidi" w:hAnsiTheme="minorBidi"/>
          <w:sz w:val="24"/>
          <w:szCs w:val="24"/>
        </w:rPr>
        <w:t>Gadavist</w:t>
      </w:r>
      <w:proofErr w:type="spellEnd"/>
      <w:r w:rsidRPr="00B16EAF">
        <w:rPr>
          <w:rFonts w:asciiTheme="minorBidi" w:hAnsiTheme="minorBidi"/>
          <w:sz w:val="24"/>
          <w:szCs w:val="24"/>
        </w:rPr>
        <w:t>; Bayer HealthCare) was used for both DCE and DSC acquisitions.</w:t>
      </w:r>
    </w:p>
    <w:p w14:paraId="3B6A62D1" w14:textId="77777777" w:rsidR="00B11B0D" w:rsidRPr="00B16EAF" w:rsidRDefault="00B11B0D" w:rsidP="00B11B0D">
      <w:pPr>
        <w:spacing w:after="120" w:line="360" w:lineRule="auto"/>
        <w:rPr>
          <w:rFonts w:asciiTheme="minorBidi" w:hAnsiTheme="minorBidi"/>
          <w:sz w:val="24"/>
          <w:szCs w:val="24"/>
        </w:rPr>
      </w:pPr>
    </w:p>
    <w:p w14:paraId="7B5DCB02"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DWI preprocessing included anisotropic diffusion filtering for Rician-noise suppression, deep-learning-based skull stripping, and uniform normalization to the b=0 image with ε=1.0 for numerical stability. The offset was applied identically to all scans and was used only to avoid unstable division during tensor fitting.</w:t>
      </w:r>
    </w:p>
    <w:p w14:paraId="5841F8D2" w14:textId="77777777" w:rsidR="00B11B0D" w:rsidRPr="00B16EAF" w:rsidRDefault="00B11B0D" w:rsidP="00B11B0D">
      <w:pPr>
        <w:spacing w:after="120" w:line="360" w:lineRule="auto"/>
        <w:rPr>
          <w:rFonts w:asciiTheme="minorBidi" w:hAnsiTheme="minorBidi"/>
          <w:sz w:val="24"/>
          <w:szCs w:val="24"/>
        </w:rPr>
      </w:pPr>
    </w:p>
    <w:p w14:paraId="75F37C1C"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Hippocampi were manually contoured on the corresponding T1-weighted MRI at each imaging time point by one experienced radiation oncologist following established anatomic guidelines.</w:t>
      </w:r>
      <w:r w:rsidRPr="00B16EAF">
        <w:rPr>
          <w:rFonts w:asciiTheme="minorBidi" w:hAnsiTheme="minorBidi"/>
          <w:sz w:val="24"/>
          <w:szCs w:val="24"/>
          <w:vertAlign w:val="superscript"/>
        </w:rPr>
        <w:t>29</w:t>
      </w:r>
      <w:r w:rsidRPr="00B16EAF">
        <w:rPr>
          <w:rFonts w:asciiTheme="minorBidi" w:hAnsiTheme="minorBidi"/>
          <w:sz w:val="24"/>
          <w:szCs w:val="24"/>
        </w:rPr>
        <w:t xml:space="preserve"> No automated contour propagation was used.</w:t>
      </w:r>
    </w:p>
    <w:p w14:paraId="18ED26A0" w14:textId="77777777" w:rsidR="00B11B0D" w:rsidRPr="00B16EAF" w:rsidRDefault="00B11B0D" w:rsidP="00B11B0D">
      <w:pPr>
        <w:spacing w:after="120" w:line="360" w:lineRule="auto"/>
        <w:rPr>
          <w:rFonts w:asciiTheme="minorBidi" w:hAnsiTheme="minorBidi"/>
          <w:sz w:val="24"/>
          <w:szCs w:val="24"/>
        </w:rPr>
      </w:pPr>
    </w:p>
    <w:p w14:paraId="5CEF83B1"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 xml:space="preserve">Median ADC and FA were extracted from the combined bilateral hippocampal ROI for longitudinal analysis. The present analysis focused on within-patient relative ADC </w:t>
      </w:r>
      <w:r w:rsidRPr="00B16EAF">
        <w:rPr>
          <w:rFonts w:asciiTheme="minorBidi" w:hAnsiTheme="minorBidi"/>
          <w:sz w:val="24"/>
          <w:szCs w:val="24"/>
        </w:rPr>
        <w:lastRenderedPageBreak/>
        <w:t>change and raw FA change. Acquisition parameters reported above were extracted from DICOM headers; the head-coil model, number of averages, phase-encoding direction, and acquisition time were not consistently available and were not inferred. Missing absolute ADC output and additional ROI-reproducibility measurements remain limitations.</w:t>
      </w:r>
    </w:p>
    <w:p w14:paraId="6B9C06A6" w14:textId="77777777" w:rsidR="00B11B0D" w:rsidRPr="00B16EAF" w:rsidRDefault="00B11B0D" w:rsidP="00B11B0D">
      <w:pPr>
        <w:spacing w:after="120" w:line="360" w:lineRule="auto"/>
        <w:rPr>
          <w:rFonts w:asciiTheme="minorBidi" w:hAnsiTheme="minorBidi"/>
          <w:sz w:val="24"/>
          <w:szCs w:val="24"/>
        </w:rPr>
      </w:pPr>
    </w:p>
    <w:p w14:paraId="5BB7F6FA" w14:textId="77777777" w:rsidR="00B11B0D" w:rsidRPr="00B16EAF" w:rsidRDefault="00B11B0D" w:rsidP="00B11B0D">
      <w:pPr>
        <w:spacing w:after="120" w:line="360" w:lineRule="auto"/>
        <w:rPr>
          <w:rFonts w:asciiTheme="minorBidi" w:hAnsiTheme="minorBidi"/>
          <w:sz w:val="24"/>
          <w:szCs w:val="24"/>
        </w:rPr>
      </w:pPr>
    </w:p>
    <w:p w14:paraId="3B8ACB95" w14:textId="77777777" w:rsidR="00B11B0D" w:rsidRPr="00B16EAF" w:rsidRDefault="00B11B0D" w:rsidP="00B11B0D">
      <w:pPr>
        <w:spacing w:after="120" w:line="360" w:lineRule="auto"/>
        <w:rPr>
          <w:rFonts w:asciiTheme="minorBidi" w:hAnsiTheme="minorBidi"/>
          <w:sz w:val="24"/>
          <w:szCs w:val="24"/>
        </w:rPr>
      </w:pPr>
    </w:p>
    <w:p w14:paraId="56B0E925" w14:textId="77777777" w:rsidR="00B11B0D" w:rsidRPr="00B16EAF" w:rsidRDefault="00B11B0D" w:rsidP="00B11B0D">
      <w:pPr>
        <w:spacing w:after="120" w:line="360" w:lineRule="auto"/>
        <w:rPr>
          <w:rFonts w:asciiTheme="minorBidi" w:hAnsiTheme="minorBidi"/>
          <w:sz w:val="24"/>
          <w:szCs w:val="24"/>
        </w:rPr>
      </w:pPr>
    </w:p>
    <w:p w14:paraId="5BED1E5C"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Supplementary Table S1. Hippocampal FA change and exploratory neurocognitive outcomes</w:t>
      </w:r>
    </w:p>
    <w:p w14:paraId="32B29B2B"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Absolute hippocampal FA change from baseline to Week 6 is compared between stable/improved and decline categories. Cognitive analyses are exploratory and unadjusted for multiplicity.</w:t>
      </w:r>
    </w:p>
    <w:tbl>
      <w:tblPr>
        <w:tblStyle w:val="GridTable1Light1"/>
        <w:tblW w:w="0" w:type="dxa"/>
        <w:tblLook w:val="04A0" w:firstRow="1" w:lastRow="0" w:firstColumn="1" w:lastColumn="0" w:noHBand="0" w:noVBand="1"/>
      </w:tblPr>
      <w:tblGrid>
        <w:gridCol w:w="1963"/>
        <w:gridCol w:w="2084"/>
        <w:gridCol w:w="1398"/>
        <w:gridCol w:w="1225"/>
        <w:gridCol w:w="1399"/>
        <w:gridCol w:w="947"/>
      </w:tblGrid>
      <w:tr w:rsidR="00B11B0D" w:rsidRPr="00B16EAF" w14:paraId="0B138D87" w14:textId="77777777" w:rsidTr="00390CC0">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1455" w:type="dxa"/>
            <w:hideMark/>
          </w:tcPr>
          <w:p w14:paraId="08F7A21B" w14:textId="77777777" w:rsidR="00B11B0D" w:rsidRPr="00B16EAF" w:rsidRDefault="00B11B0D" w:rsidP="00390CC0">
            <w:pPr>
              <w:spacing w:after="160" w:line="360" w:lineRule="auto"/>
              <w:rPr>
                <w:rFonts w:asciiTheme="minorBidi" w:hAnsiTheme="minorBidi"/>
                <w:sz w:val="24"/>
                <w:szCs w:val="24"/>
              </w:rPr>
            </w:pPr>
            <w:r w:rsidRPr="00B16EAF">
              <w:rPr>
                <w:rFonts w:asciiTheme="minorBidi" w:hAnsiTheme="minorBidi"/>
                <w:sz w:val="24"/>
                <w:szCs w:val="24"/>
              </w:rPr>
              <w:t>Neurocognitive Test </w:t>
            </w:r>
          </w:p>
        </w:tc>
        <w:tc>
          <w:tcPr>
            <w:tcW w:w="2055" w:type="dxa"/>
            <w:hideMark/>
          </w:tcPr>
          <w:p w14:paraId="1F12A55A" w14:textId="77777777" w:rsidR="00B11B0D" w:rsidRPr="00B16EAF" w:rsidRDefault="00B11B0D" w:rsidP="00390CC0">
            <w:pPr>
              <w:spacing w:after="16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Stable/Improved (n) </w:t>
            </w:r>
          </w:p>
        </w:tc>
        <w:tc>
          <w:tcPr>
            <w:tcW w:w="1815" w:type="dxa"/>
            <w:hideMark/>
          </w:tcPr>
          <w:p w14:paraId="295E225F" w14:textId="77777777" w:rsidR="00B11B0D" w:rsidRPr="00B16EAF" w:rsidRDefault="00B11B0D" w:rsidP="00390CC0">
            <w:pPr>
              <w:spacing w:after="16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Absolute ΔFA from baseline (×100), median (range)</w:t>
            </w:r>
          </w:p>
        </w:tc>
        <w:tc>
          <w:tcPr>
            <w:tcW w:w="1245" w:type="dxa"/>
            <w:hideMark/>
          </w:tcPr>
          <w:p w14:paraId="1B596497" w14:textId="77777777" w:rsidR="00B11B0D" w:rsidRPr="00B16EAF" w:rsidRDefault="00B11B0D" w:rsidP="00390CC0">
            <w:pPr>
              <w:spacing w:after="16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Declined (n) </w:t>
            </w:r>
          </w:p>
        </w:tc>
        <w:tc>
          <w:tcPr>
            <w:tcW w:w="1815" w:type="dxa"/>
            <w:hideMark/>
          </w:tcPr>
          <w:p w14:paraId="4F74B2AC" w14:textId="77777777" w:rsidR="00B11B0D" w:rsidRPr="00B16EAF" w:rsidRDefault="00B11B0D" w:rsidP="00390CC0">
            <w:pPr>
              <w:spacing w:after="16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Absolute ΔFA from baseline (×100), median (range)</w:t>
            </w:r>
          </w:p>
        </w:tc>
        <w:tc>
          <w:tcPr>
            <w:tcW w:w="1080" w:type="dxa"/>
            <w:hideMark/>
          </w:tcPr>
          <w:p w14:paraId="4AF744B4" w14:textId="77777777" w:rsidR="00B11B0D" w:rsidRPr="00B16EAF" w:rsidRDefault="00B11B0D" w:rsidP="00390CC0">
            <w:pPr>
              <w:spacing w:after="16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p-value </w:t>
            </w:r>
          </w:p>
        </w:tc>
      </w:tr>
      <w:tr w:rsidR="00B11B0D" w:rsidRPr="00B16EAF" w14:paraId="7AEA37C8" w14:textId="77777777" w:rsidTr="00390CC0">
        <w:trPr>
          <w:cantSplit/>
          <w:trHeight w:val="300"/>
        </w:trPr>
        <w:tc>
          <w:tcPr>
            <w:cnfStyle w:val="001000000000" w:firstRow="0" w:lastRow="0" w:firstColumn="1" w:lastColumn="0" w:oddVBand="0" w:evenVBand="0" w:oddHBand="0" w:evenHBand="0" w:firstRowFirstColumn="0" w:firstRowLastColumn="0" w:lastRowFirstColumn="0" w:lastRowLastColumn="0"/>
            <w:tcW w:w="1455" w:type="dxa"/>
            <w:hideMark/>
          </w:tcPr>
          <w:p w14:paraId="0829293F" w14:textId="77777777" w:rsidR="00B11B0D" w:rsidRPr="00B16EAF" w:rsidRDefault="00B11B0D" w:rsidP="00390CC0">
            <w:pPr>
              <w:spacing w:after="160" w:line="360" w:lineRule="auto"/>
              <w:rPr>
                <w:rFonts w:asciiTheme="minorBidi" w:hAnsiTheme="minorBidi"/>
                <w:b w:val="0"/>
                <w:bCs w:val="0"/>
                <w:sz w:val="24"/>
                <w:szCs w:val="24"/>
              </w:rPr>
            </w:pPr>
            <w:r w:rsidRPr="00B16EAF">
              <w:rPr>
                <w:rFonts w:asciiTheme="minorBidi" w:hAnsiTheme="minorBidi"/>
                <w:b w:val="0"/>
                <w:bCs w:val="0"/>
                <w:sz w:val="24"/>
                <w:szCs w:val="24"/>
              </w:rPr>
              <w:t>OCL </w:t>
            </w:r>
          </w:p>
        </w:tc>
        <w:tc>
          <w:tcPr>
            <w:tcW w:w="2055" w:type="dxa"/>
            <w:hideMark/>
          </w:tcPr>
          <w:p w14:paraId="2E200804"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10 </w:t>
            </w:r>
          </w:p>
        </w:tc>
        <w:tc>
          <w:tcPr>
            <w:tcW w:w="1815" w:type="dxa"/>
          </w:tcPr>
          <w:p w14:paraId="1DE048CA"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-1.65 (-3.2 to 0.98)</w:t>
            </w:r>
          </w:p>
        </w:tc>
        <w:tc>
          <w:tcPr>
            <w:tcW w:w="1245" w:type="dxa"/>
            <w:hideMark/>
          </w:tcPr>
          <w:p w14:paraId="40551DDD"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14 </w:t>
            </w:r>
          </w:p>
        </w:tc>
        <w:tc>
          <w:tcPr>
            <w:tcW w:w="1815" w:type="dxa"/>
          </w:tcPr>
          <w:p w14:paraId="1C676EC5"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-2.35 (-4.3 to 0.35)</w:t>
            </w:r>
          </w:p>
        </w:tc>
        <w:tc>
          <w:tcPr>
            <w:tcW w:w="1080" w:type="dxa"/>
          </w:tcPr>
          <w:p w14:paraId="471139FB"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0.122</w:t>
            </w:r>
          </w:p>
        </w:tc>
      </w:tr>
      <w:tr w:rsidR="00B11B0D" w:rsidRPr="00B16EAF" w14:paraId="7CBEF3CE" w14:textId="77777777" w:rsidTr="00390CC0">
        <w:trPr>
          <w:cantSplit/>
          <w:trHeight w:val="300"/>
        </w:trPr>
        <w:tc>
          <w:tcPr>
            <w:cnfStyle w:val="001000000000" w:firstRow="0" w:lastRow="0" w:firstColumn="1" w:lastColumn="0" w:oddVBand="0" w:evenVBand="0" w:oddHBand="0" w:evenHBand="0" w:firstRowFirstColumn="0" w:firstRowLastColumn="0" w:lastRowFirstColumn="0" w:lastRowLastColumn="0"/>
            <w:tcW w:w="1455" w:type="dxa"/>
            <w:hideMark/>
          </w:tcPr>
          <w:p w14:paraId="066AFF8D" w14:textId="77777777" w:rsidR="00B11B0D" w:rsidRPr="00B16EAF" w:rsidRDefault="00B11B0D" w:rsidP="00390CC0">
            <w:pPr>
              <w:spacing w:after="160" w:line="360" w:lineRule="auto"/>
              <w:rPr>
                <w:rFonts w:asciiTheme="minorBidi" w:hAnsiTheme="minorBidi"/>
                <w:b w:val="0"/>
                <w:bCs w:val="0"/>
                <w:sz w:val="24"/>
                <w:szCs w:val="24"/>
              </w:rPr>
            </w:pPr>
            <w:r w:rsidRPr="00B16EAF">
              <w:rPr>
                <w:rFonts w:asciiTheme="minorBidi" w:hAnsiTheme="minorBidi"/>
                <w:b w:val="0"/>
                <w:bCs w:val="0"/>
                <w:sz w:val="24"/>
                <w:szCs w:val="24"/>
              </w:rPr>
              <w:t>BPTX </w:t>
            </w:r>
          </w:p>
        </w:tc>
        <w:tc>
          <w:tcPr>
            <w:tcW w:w="2055" w:type="dxa"/>
            <w:hideMark/>
          </w:tcPr>
          <w:p w14:paraId="51DA7C7E"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17 </w:t>
            </w:r>
          </w:p>
        </w:tc>
        <w:tc>
          <w:tcPr>
            <w:tcW w:w="1815" w:type="dxa"/>
          </w:tcPr>
          <w:p w14:paraId="45E6D76C"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-1.9 (-4.3 to 0.9)</w:t>
            </w:r>
          </w:p>
        </w:tc>
        <w:tc>
          <w:tcPr>
            <w:tcW w:w="1245" w:type="dxa"/>
            <w:hideMark/>
          </w:tcPr>
          <w:p w14:paraId="43E3286B"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7 </w:t>
            </w:r>
          </w:p>
        </w:tc>
        <w:tc>
          <w:tcPr>
            <w:tcW w:w="1815" w:type="dxa"/>
          </w:tcPr>
          <w:p w14:paraId="7C927712"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-2.4 (-3.2 to 0.98)</w:t>
            </w:r>
          </w:p>
        </w:tc>
        <w:tc>
          <w:tcPr>
            <w:tcW w:w="1080" w:type="dxa"/>
          </w:tcPr>
          <w:p w14:paraId="19EEE474"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0.901</w:t>
            </w:r>
          </w:p>
        </w:tc>
      </w:tr>
      <w:tr w:rsidR="00B11B0D" w:rsidRPr="00B16EAF" w14:paraId="0DD17CCD" w14:textId="77777777" w:rsidTr="00390CC0">
        <w:trPr>
          <w:cantSplit/>
          <w:trHeight w:val="300"/>
        </w:trPr>
        <w:tc>
          <w:tcPr>
            <w:cnfStyle w:val="001000000000" w:firstRow="0" w:lastRow="0" w:firstColumn="1" w:lastColumn="0" w:oddVBand="0" w:evenVBand="0" w:oddHBand="0" w:evenHBand="0" w:firstRowFirstColumn="0" w:firstRowLastColumn="0" w:lastRowFirstColumn="0" w:lastRowLastColumn="0"/>
            <w:tcW w:w="1455" w:type="dxa"/>
            <w:hideMark/>
          </w:tcPr>
          <w:p w14:paraId="449C127B" w14:textId="77777777" w:rsidR="00B11B0D" w:rsidRPr="00B16EAF" w:rsidRDefault="00B11B0D" w:rsidP="00390CC0">
            <w:pPr>
              <w:spacing w:after="160" w:line="360" w:lineRule="auto"/>
              <w:rPr>
                <w:rFonts w:asciiTheme="minorBidi" w:hAnsiTheme="minorBidi"/>
                <w:b w:val="0"/>
                <w:bCs w:val="0"/>
                <w:sz w:val="24"/>
                <w:szCs w:val="24"/>
              </w:rPr>
            </w:pPr>
            <w:r w:rsidRPr="00B16EAF">
              <w:rPr>
                <w:rFonts w:asciiTheme="minorBidi" w:hAnsiTheme="minorBidi"/>
                <w:b w:val="0"/>
                <w:bCs w:val="0"/>
                <w:sz w:val="24"/>
                <w:szCs w:val="24"/>
              </w:rPr>
              <w:t>FNMT </w:t>
            </w:r>
          </w:p>
        </w:tc>
        <w:tc>
          <w:tcPr>
            <w:tcW w:w="2055" w:type="dxa"/>
            <w:hideMark/>
          </w:tcPr>
          <w:p w14:paraId="327DE136"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12 </w:t>
            </w:r>
          </w:p>
        </w:tc>
        <w:tc>
          <w:tcPr>
            <w:tcW w:w="1815" w:type="dxa"/>
          </w:tcPr>
          <w:p w14:paraId="22359701"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-1.85 (-4.3 to 0.9)</w:t>
            </w:r>
          </w:p>
        </w:tc>
        <w:tc>
          <w:tcPr>
            <w:tcW w:w="1245" w:type="dxa"/>
            <w:hideMark/>
          </w:tcPr>
          <w:p w14:paraId="7CEED8A7"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12 </w:t>
            </w:r>
          </w:p>
        </w:tc>
        <w:tc>
          <w:tcPr>
            <w:tcW w:w="1815" w:type="dxa"/>
          </w:tcPr>
          <w:p w14:paraId="71FA6FF5"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-2.2 (-4.1 to 0.98)</w:t>
            </w:r>
          </w:p>
        </w:tc>
        <w:tc>
          <w:tcPr>
            <w:tcW w:w="1080" w:type="dxa"/>
          </w:tcPr>
          <w:p w14:paraId="2FA5FC6C"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0.551</w:t>
            </w:r>
          </w:p>
        </w:tc>
      </w:tr>
      <w:tr w:rsidR="00B11B0D" w:rsidRPr="00B16EAF" w14:paraId="2C11D3C5" w14:textId="77777777" w:rsidTr="00390CC0">
        <w:trPr>
          <w:cantSplit/>
          <w:trHeight w:val="300"/>
        </w:trPr>
        <w:tc>
          <w:tcPr>
            <w:cnfStyle w:val="001000000000" w:firstRow="0" w:lastRow="0" w:firstColumn="1" w:lastColumn="0" w:oddVBand="0" w:evenVBand="0" w:oddHBand="0" w:evenHBand="0" w:firstRowFirstColumn="0" w:firstRowLastColumn="0" w:lastRowFirstColumn="0" w:lastRowLastColumn="0"/>
            <w:tcW w:w="1455" w:type="dxa"/>
            <w:hideMark/>
          </w:tcPr>
          <w:p w14:paraId="38AD757A" w14:textId="77777777" w:rsidR="00B11B0D" w:rsidRPr="00B16EAF" w:rsidRDefault="00B11B0D" w:rsidP="00390CC0">
            <w:pPr>
              <w:spacing w:after="160" w:line="360" w:lineRule="auto"/>
              <w:rPr>
                <w:rFonts w:asciiTheme="minorBidi" w:hAnsiTheme="minorBidi"/>
                <w:b w:val="0"/>
                <w:bCs w:val="0"/>
                <w:sz w:val="24"/>
                <w:szCs w:val="24"/>
              </w:rPr>
            </w:pPr>
            <w:r w:rsidRPr="00B16EAF">
              <w:rPr>
                <w:rFonts w:asciiTheme="minorBidi" w:hAnsiTheme="minorBidi"/>
                <w:b w:val="0"/>
                <w:bCs w:val="0"/>
                <w:sz w:val="24"/>
                <w:szCs w:val="24"/>
              </w:rPr>
              <w:t>FNLT </w:t>
            </w:r>
          </w:p>
        </w:tc>
        <w:tc>
          <w:tcPr>
            <w:tcW w:w="2055" w:type="dxa"/>
            <w:hideMark/>
          </w:tcPr>
          <w:p w14:paraId="71809B37"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12</w:t>
            </w:r>
          </w:p>
        </w:tc>
        <w:tc>
          <w:tcPr>
            <w:tcW w:w="1815" w:type="dxa"/>
          </w:tcPr>
          <w:p w14:paraId="6DCF7B46"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-1.76 (-4.3 to 0.98)</w:t>
            </w:r>
          </w:p>
        </w:tc>
        <w:tc>
          <w:tcPr>
            <w:tcW w:w="1245" w:type="dxa"/>
            <w:hideMark/>
          </w:tcPr>
          <w:p w14:paraId="4BB914A8"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12 </w:t>
            </w:r>
          </w:p>
        </w:tc>
        <w:tc>
          <w:tcPr>
            <w:tcW w:w="1815" w:type="dxa"/>
          </w:tcPr>
          <w:p w14:paraId="165A3DFC"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-2.35 (-3.6 to 0.9)</w:t>
            </w:r>
          </w:p>
        </w:tc>
        <w:tc>
          <w:tcPr>
            <w:tcW w:w="1080" w:type="dxa"/>
          </w:tcPr>
          <w:p w14:paraId="1F08B4EE"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0.59</w:t>
            </w:r>
          </w:p>
        </w:tc>
      </w:tr>
      <w:tr w:rsidR="00B11B0D" w:rsidRPr="00B16EAF" w14:paraId="29698A33" w14:textId="77777777" w:rsidTr="00390CC0">
        <w:trPr>
          <w:cantSplit/>
          <w:trHeight w:val="300"/>
        </w:trPr>
        <w:tc>
          <w:tcPr>
            <w:cnfStyle w:val="001000000000" w:firstRow="0" w:lastRow="0" w:firstColumn="1" w:lastColumn="0" w:oddVBand="0" w:evenVBand="0" w:oddHBand="0" w:evenHBand="0" w:firstRowFirstColumn="0" w:firstRowLastColumn="0" w:lastRowFirstColumn="0" w:lastRowLastColumn="0"/>
            <w:tcW w:w="1455" w:type="dxa"/>
            <w:hideMark/>
          </w:tcPr>
          <w:p w14:paraId="42F60714" w14:textId="77777777" w:rsidR="00B11B0D" w:rsidRPr="00B16EAF" w:rsidRDefault="00B11B0D" w:rsidP="00390CC0">
            <w:pPr>
              <w:spacing w:after="160" w:line="360" w:lineRule="auto"/>
              <w:rPr>
                <w:rFonts w:asciiTheme="minorBidi" w:hAnsiTheme="minorBidi"/>
                <w:b w:val="0"/>
                <w:bCs w:val="0"/>
                <w:sz w:val="24"/>
                <w:szCs w:val="24"/>
              </w:rPr>
            </w:pPr>
            <w:r w:rsidRPr="00B16EAF">
              <w:rPr>
                <w:rFonts w:asciiTheme="minorBidi" w:hAnsiTheme="minorBidi"/>
                <w:b w:val="0"/>
                <w:bCs w:val="0"/>
                <w:sz w:val="24"/>
                <w:szCs w:val="24"/>
              </w:rPr>
              <w:lastRenderedPageBreak/>
              <w:t>FSBT </w:t>
            </w:r>
          </w:p>
        </w:tc>
        <w:tc>
          <w:tcPr>
            <w:tcW w:w="2055" w:type="dxa"/>
            <w:hideMark/>
          </w:tcPr>
          <w:p w14:paraId="737A7449"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11</w:t>
            </w:r>
          </w:p>
        </w:tc>
        <w:tc>
          <w:tcPr>
            <w:tcW w:w="1815" w:type="dxa"/>
          </w:tcPr>
          <w:p w14:paraId="3BCC158C"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-2 (-4.1 to 0.9)</w:t>
            </w:r>
          </w:p>
        </w:tc>
        <w:tc>
          <w:tcPr>
            <w:tcW w:w="1245" w:type="dxa"/>
            <w:hideMark/>
          </w:tcPr>
          <w:p w14:paraId="1F636D9C"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13 </w:t>
            </w:r>
          </w:p>
        </w:tc>
        <w:tc>
          <w:tcPr>
            <w:tcW w:w="1815" w:type="dxa"/>
          </w:tcPr>
          <w:p w14:paraId="4470B3AB"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-1.63 (-4.3 to 0.9)</w:t>
            </w:r>
          </w:p>
        </w:tc>
        <w:tc>
          <w:tcPr>
            <w:tcW w:w="1080" w:type="dxa"/>
          </w:tcPr>
          <w:p w14:paraId="32A9713A"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0.649</w:t>
            </w:r>
          </w:p>
        </w:tc>
      </w:tr>
      <w:tr w:rsidR="00B11B0D" w:rsidRPr="00B16EAF" w14:paraId="72C8CD76" w14:textId="77777777" w:rsidTr="00390CC0">
        <w:trPr>
          <w:cantSplit/>
          <w:trHeight w:val="300"/>
        </w:trPr>
        <w:tc>
          <w:tcPr>
            <w:cnfStyle w:val="001000000000" w:firstRow="0" w:lastRow="0" w:firstColumn="1" w:lastColumn="0" w:oddVBand="0" w:evenVBand="0" w:oddHBand="0" w:evenHBand="0" w:firstRowFirstColumn="0" w:firstRowLastColumn="0" w:lastRowFirstColumn="0" w:lastRowLastColumn="0"/>
            <w:tcW w:w="1455" w:type="dxa"/>
            <w:hideMark/>
          </w:tcPr>
          <w:p w14:paraId="50E78EFB" w14:textId="77777777" w:rsidR="00B11B0D" w:rsidRPr="00B16EAF" w:rsidRDefault="00B11B0D" w:rsidP="00390CC0">
            <w:pPr>
              <w:spacing w:after="160" w:line="360" w:lineRule="auto"/>
              <w:rPr>
                <w:rFonts w:asciiTheme="minorBidi" w:hAnsiTheme="minorBidi"/>
                <w:b w:val="0"/>
                <w:bCs w:val="0"/>
                <w:sz w:val="24"/>
                <w:szCs w:val="24"/>
              </w:rPr>
            </w:pPr>
            <w:r w:rsidRPr="00B16EAF">
              <w:rPr>
                <w:rFonts w:asciiTheme="minorBidi" w:hAnsiTheme="minorBidi"/>
                <w:b w:val="0"/>
                <w:bCs w:val="0"/>
                <w:sz w:val="24"/>
                <w:szCs w:val="24"/>
              </w:rPr>
              <w:t>Composite </w:t>
            </w:r>
          </w:p>
        </w:tc>
        <w:tc>
          <w:tcPr>
            <w:tcW w:w="2055" w:type="dxa"/>
            <w:hideMark/>
          </w:tcPr>
          <w:p w14:paraId="5E6525D3"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12 </w:t>
            </w:r>
          </w:p>
        </w:tc>
        <w:tc>
          <w:tcPr>
            <w:tcW w:w="1815" w:type="dxa"/>
          </w:tcPr>
          <w:p w14:paraId="6968E60B"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-1.65 (-4.3 to 0.98)</w:t>
            </w:r>
          </w:p>
        </w:tc>
        <w:tc>
          <w:tcPr>
            <w:tcW w:w="1245" w:type="dxa"/>
            <w:hideMark/>
          </w:tcPr>
          <w:p w14:paraId="784E1E64"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12 </w:t>
            </w:r>
          </w:p>
        </w:tc>
        <w:tc>
          <w:tcPr>
            <w:tcW w:w="1815" w:type="dxa"/>
          </w:tcPr>
          <w:p w14:paraId="67F0DFD5"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-2.35 (-4.1 to -0.46)</w:t>
            </w:r>
          </w:p>
        </w:tc>
        <w:tc>
          <w:tcPr>
            <w:tcW w:w="1080" w:type="dxa"/>
          </w:tcPr>
          <w:p w14:paraId="1EC7D1D0" w14:textId="77777777" w:rsidR="00B11B0D" w:rsidRPr="00B16EAF" w:rsidRDefault="00B11B0D" w:rsidP="00390CC0">
            <w:pPr>
              <w:spacing w:after="16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sidRPr="00B16EAF">
              <w:rPr>
                <w:rFonts w:asciiTheme="minorBidi" w:hAnsiTheme="minorBidi"/>
                <w:sz w:val="24"/>
                <w:szCs w:val="24"/>
              </w:rPr>
              <w:t>0.198</w:t>
            </w:r>
          </w:p>
        </w:tc>
      </w:tr>
    </w:tbl>
    <w:p w14:paraId="1C7F0ADA"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Supplementary figure 1</w:t>
      </w:r>
    </w:p>
    <w:p w14:paraId="50CFFEB9"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sz w:val="24"/>
          <w:szCs w:val="24"/>
        </w:rPr>
        <w:t>Scatterplot of mean dose to the left cerebellar tonsil versus patient-specific cerebellar ADC slope, displayed as fractional change per week. No association between mean dose and ADC slope was detected in the retained slope analysis. This ROI is presented only as a limited internal measurement reference and not as a control establishing regional radiosensitivity.</w:t>
      </w:r>
    </w:p>
    <w:p w14:paraId="566BDB85" w14:textId="77777777" w:rsidR="00B11B0D" w:rsidRPr="00B16EAF" w:rsidRDefault="00B11B0D" w:rsidP="00B11B0D">
      <w:pPr>
        <w:spacing w:after="120" w:line="360" w:lineRule="auto"/>
        <w:rPr>
          <w:rFonts w:asciiTheme="minorBidi" w:hAnsiTheme="minorBidi"/>
          <w:sz w:val="24"/>
          <w:szCs w:val="24"/>
        </w:rPr>
      </w:pPr>
      <w:r w:rsidRPr="00B16EAF">
        <w:rPr>
          <w:rFonts w:asciiTheme="minorBidi" w:hAnsiTheme="minorBidi"/>
          <w:noProof/>
          <w:sz w:val="24"/>
          <w:szCs w:val="24"/>
          <w:lang w:bidi="he-IL"/>
        </w:rPr>
        <w:drawing>
          <wp:inline distT="0" distB="0" distL="0" distR="0" wp14:anchorId="34F02FAD" wp14:editId="7D61CD52">
            <wp:extent cx="2747433" cy="1816100"/>
            <wp:effectExtent l="0" t="0" r="0" b="0"/>
            <wp:docPr id="7790134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1762" cy="1818961"/>
                    </a:xfrm>
                    <a:prstGeom prst="rect">
                      <a:avLst/>
                    </a:prstGeom>
                    <a:noFill/>
                  </pic:spPr>
                </pic:pic>
              </a:graphicData>
            </a:graphic>
          </wp:inline>
        </w:drawing>
      </w:r>
    </w:p>
    <w:p w14:paraId="02D14EC4" w14:textId="77777777" w:rsidR="00B11B0D" w:rsidRPr="00B16EAF" w:rsidRDefault="00B11B0D" w:rsidP="00B11B0D">
      <w:pPr>
        <w:keepNext/>
        <w:spacing w:after="120" w:line="360" w:lineRule="auto"/>
        <w:rPr>
          <w:rFonts w:asciiTheme="minorBidi" w:hAnsiTheme="minorBidi"/>
          <w:b/>
          <w:bCs/>
          <w:sz w:val="24"/>
          <w:szCs w:val="24"/>
        </w:rPr>
      </w:pPr>
      <w:r w:rsidRPr="00B16EAF">
        <w:rPr>
          <w:rFonts w:asciiTheme="minorBidi" w:hAnsiTheme="minorBidi"/>
          <w:b/>
          <w:bCs/>
          <w:sz w:val="24"/>
          <w:szCs w:val="24"/>
        </w:rPr>
        <w:t>Supplementary figure 2</w:t>
      </w:r>
    </w:p>
    <w:p w14:paraId="32C779B0" w14:textId="77777777" w:rsidR="00B11B0D" w:rsidRPr="00B16EAF" w:rsidRDefault="00B11B0D" w:rsidP="00B11B0D">
      <w:pPr>
        <w:keepNext/>
        <w:spacing w:after="120" w:line="360" w:lineRule="auto"/>
        <w:rPr>
          <w:rFonts w:asciiTheme="minorBidi" w:hAnsiTheme="minorBidi"/>
          <w:sz w:val="24"/>
          <w:szCs w:val="24"/>
        </w:rPr>
      </w:pPr>
      <w:r w:rsidRPr="00B16EAF">
        <w:rPr>
          <w:rFonts w:asciiTheme="minorBidi" w:hAnsiTheme="minorBidi"/>
          <w:sz w:val="24"/>
          <w:szCs w:val="24"/>
        </w:rPr>
        <w:t xml:space="preserve">Standardized mean differences comparing patients with versus without paired Week-6 cognitive follow-up across available demographic, clinical, </w:t>
      </w:r>
      <w:proofErr w:type="spellStart"/>
      <w:r w:rsidRPr="00B16EAF">
        <w:rPr>
          <w:rFonts w:asciiTheme="minorBidi" w:hAnsiTheme="minorBidi"/>
          <w:sz w:val="24"/>
          <w:szCs w:val="24"/>
        </w:rPr>
        <w:t>dosimetric</w:t>
      </w:r>
      <w:proofErr w:type="spellEnd"/>
      <w:r w:rsidRPr="00B16EAF">
        <w:rPr>
          <w:rFonts w:asciiTheme="minorBidi" w:hAnsiTheme="minorBidi"/>
          <w:sz w:val="24"/>
          <w:szCs w:val="24"/>
        </w:rPr>
        <w:t xml:space="preserve">, and imaging </w:t>
      </w:r>
      <w:r w:rsidRPr="00B16EAF">
        <w:rPr>
          <w:rFonts w:asciiTheme="minorBidi" w:hAnsiTheme="minorBidi"/>
          <w:sz w:val="24"/>
          <w:szCs w:val="24"/>
        </w:rPr>
        <w:lastRenderedPageBreak/>
        <w:t>variables. This existing analysis does not substitute for a sensitivity analysis of the longitudinal imaging model restricted to the 24 cognitive completers.</w:t>
      </w:r>
    </w:p>
    <w:p w14:paraId="58E88E4A" w14:textId="29942F88" w:rsidR="007E4BE6" w:rsidRDefault="00B11B0D" w:rsidP="00B11B0D">
      <w:r w:rsidRPr="00B16EAF">
        <w:rPr>
          <w:rFonts w:asciiTheme="minorBidi" w:hAnsiTheme="minorBidi"/>
          <w:noProof/>
          <w:sz w:val="24"/>
          <w:szCs w:val="24"/>
          <w:lang w:bidi="he-IL"/>
        </w:rPr>
        <w:drawing>
          <wp:inline distT="0" distB="0" distL="0" distR="0" wp14:anchorId="2C0EBBF3" wp14:editId="4C4D282D">
            <wp:extent cx="3958909" cy="2751582"/>
            <wp:effectExtent l="0" t="0" r="2540" b="0"/>
            <wp:docPr id="21463500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8909" cy="2751582"/>
                    </a:xfrm>
                    <a:prstGeom prst="rect">
                      <a:avLst/>
                    </a:prstGeom>
                    <a:noFill/>
                  </pic:spPr>
                </pic:pic>
              </a:graphicData>
            </a:graphic>
          </wp:inline>
        </w:drawing>
      </w:r>
    </w:p>
    <w:sectPr w:rsidR="007E4B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B0D"/>
    <w:rsid w:val="003D3B27"/>
    <w:rsid w:val="007E4BE6"/>
    <w:rsid w:val="00827809"/>
    <w:rsid w:val="00B11B0D"/>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5741"/>
  <w15:chartTrackingRefBased/>
  <w15:docId w15:val="{CFEF5C70-07F2-4480-A9DC-A7219E42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B0D"/>
    <w:rPr>
      <w:rFonts w:ascii="Arial" w:hAnsi="Arial"/>
      <w:lang w:val="en-US" w:bidi="ar-SA"/>
      <w14:ligatures w14:val="none"/>
    </w:rPr>
  </w:style>
  <w:style w:type="paragraph" w:styleId="1">
    <w:name w:val="heading 1"/>
    <w:basedOn w:val="a"/>
    <w:next w:val="a"/>
    <w:link w:val="10"/>
    <w:uiPriority w:val="9"/>
    <w:qFormat/>
    <w:rsid w:val="00B11B0D"/>
    <w:pPr>
      <w:keepNext/>
      <w:keepLines/>
      <w:spacing w:before="360" w:after="80"/>
      <w:outlineLvl w:val="0"/>
    </w:pPr>
    <w:rPr>
      <w:rFonts w:asciiTheme="majorHAnsi" w:eastAsiaTheme="majorEastAsia" w:hAnsiTheme="majorHAnsi" w:cstheme="majorBidi"/>
      <w:color w:val="2F5496" w:themeColor="accent1" w:themeShade="BF"/>
      <w:sz w:val="40"/>
      <w:szCs w:val="40"/>
      <w:lang w:val="en-IL" w:bidi="he-IL"/>
      <w14:ligatures w14:val="standardContextual"/>
    </w:rPr>
  </w:style>
  <w:style w:type="paragraph" w:styleId="2">
    <w:name w:val="heading 2"/>
    <w:basedOn w:val="a"/>
    <w:next w:val="a"/>
    <w:link w:val="20"/>
    <w:uiPriority w:val="9"/>
    <w:semiHidden/>
    <w:unhideWhenUsed/>
    <w:qFormat/>
    <w:rsid w:val="00B11B0D"/>
    <w:pPr>
      <w:keepNext/>
      <w:keepLines/>
      <w:spacing w:before="160" w:after="80"/>
      <w:outlineLvl w:val="1"/>
    </w:pPr>
    <w:rPr>
      <w:rFonts w:asciiTheme="majorHAnsi" w:eastAsiaTheme="majorEastAsia" w:hAnsiTheme="majorHAnsi" w:cstheme="majorBidi"/>
      <w:color w:val="2F5496" w:themeColor="accent1" w:themeShade="BF"/>
      <w:sz w:val="32"/>
      <w:szCs w:val="32"/>
      <w:lang w:val="en-IL" w:bidi="he-IL"/>
      <w14:ligatures w14:val="standardContextual"/>
    </w:rPr>
  </w:style>
  <w:style w:type="paragraph" w:styleId="3">
    <w:name w:val="heading 3"/>
    <w:basedOn w:val="a"/>
    <w:next w:val="a"/>
    <w:link w:val="30"/>
    <w:uiPriority w:val="9"/>
    <w:semiHidden/>
    <w:unhideWhenUsed/>
    <w:qFormat/>
    <w:rsid w:val="00B11B0D"/>
    <w:pPr>
      <w:keepNext/>
      <w:keepLines/>
      <w:spacing w:before="160" w:after="80"/>
      <w:outlineLvl w:val="2"/>
    </w:pPr>
    <w:rPr>
      <w:rFonts w:asciiTheme="minorHAnsi" w:eastAsiaTheme="majorEastAsia" w:hAnsiTheme="minorHAnsi" w:cstheme="majorBidi"/>
      <w:color w:val="2F5496" w:themeColor="accent1" w:themeShade="BF"/>
      <w:sz w:val="28"/>
      <w:szCs w:val="28"/>
      <w:lang w:val="en-IL" w:bidi="he-IL"/>
      <w14:ligatures w14:val="standardContextual"/>
    </w:rPr>
  </w:style>
  <w:style w:type="paragraph" w:styleId="4">
    <w:name w:val="heading 4"/>
    <w:basedOn w:val="a"/>
    <w:next w:val="a"/>
    <w:link w:val="40"/>
    <w:uiPriority w:val="9"/>
    <w:semiHidden/>
    <w:unhideWhenUsed/>
    <w:qFormat/>
    <w:rsid w:val="00B11B0D"/>
    <w:pPr>
      <w:keepNext/>
      <w:keepLines/>
      <w:spacing w:before="80" w:after="40"/>
      <w:outlineLvl w:val="3"/>
    </w:pPr>
    <w:rPr>
      <w:rFonts w:asciiTheme="minorHAnsi" w:eastAsiaTheme="majorEastAsia" w:hAnsiTheme="minorHAnsi" w:cstheme="majorBidi"/>
      <w:i/>
      <w:iCs/>
      <w:color w:val="2F5496" w:themeColor="accent1" w:themeShade="BF"/>
      <w:lang w:val="en-IL" w:bidi="he-IL"/>
      <w14:ligatures w14:val="standardContextual"/>
    </w:rPr>
  </w:style>
  <w:style w:type="paragraph" w:styleId="5">
    <w:name w:val="heading 5"/>
    <w:basedOn w:val="a"/>
    <w:next w:val="a"/>
    <w:link w:val="50"/>
    <w:uiPriority w:val="9"/>
    <w:semiHidden/>
    <w:unhideWhenUsed/>
    <w:qFormat/>
    <w:rsid w:val="00B11B0D"/>
    <w:pPr>
      <w:keepNext/>
      <w:keepLines/>
      <w:spacing w:before="80" w:after="40"/>
      <w:outlineLvl w:val="4"/>
    </w:pPr>
    <w:rPr>
      <w:rFonts w:asciiTheme="minorHAnsi" w:eastAsiaTheme="majorEastAsia" w:hAnsiTheme="minorHAnsi" w:cstheme="majorBidi"/>
      <w:color w:val="2F5496" w:themeColor="accent1" w:themeShade="BF"/>
      <w:lang w:val="en-IL" w:bidi="he-IL"/>
      <w14:ligatures w14:val="standardContextual"/>
    </w:rPr>
  </w:style>
  <w:style w:type="paragraph" w:styleId="6">
    <w:name w:val="heading 6"/>
    <w:basedOn w:val="a"/>
    <w:next w:val="a"/>
    <w:link w:val="60"/>
    <w:uiPriority w:val="9"/>
    <w:semiHidden/>
    <w:unhideWhenUsed/>
    <w:qFormat/>
    <w:rsid w:val="00B11B0D"/>
    <w:pPr>
      <w:keepNext/>
      <w:keepLines/>
      <w:spacing w:before="40" w:after="0"/>
      <w:outlineLvl w:val="5"/>
    </w:pPr>
    <w:rPr>
      <w:rFonts w:asciiTheme="minorHAnsi" w:eastAsiaTheme="majorEastAsia" w:hAnsiTheme="minorHAnsi" w:cstheme="majorBidi"/>
      <w:i/>
      <w:iCs/>
      <w:color w:val="595959" w:themeColor="text1" w:themeTint="A6"/>
      <w:lang w:val="en-IL" w:bidi="he-IL"/>
      <w14:ligatures w14:val="standardContextual"/>
    </w:rPr>
  </w:style>
  <w:style w:type="paragraph" w:styleId="7">
    <w:name w:val="heading 7"/>
    <w:basedOn w:val="a"/>
    <w:next w:val="a"/>
    <w:link w:val="70"/>
    <w:uiPriority w:val="9"/>
    <w:semiHidden/>
    <w:unhideWhenUsed/>
    <w:qFormat/>
    <w:rsid w:val="00B11B0D"/>
    <w:pPr>
      <w:keepNext/>
      <w:keepLines/>
      <w:spacing w:before="40" w:after="0"/>
      <w:outlineLvl w:val="6"/>
    </w:pPr>
    <w:rPr>
      <w:rFonts w:asciiTheme="minorHAnsi" w:eastAsiaTheme="majorEastAsia" w:hAnsiTheme="minorHAnsi" w:cstheme="majorBidi"/>
      <w:color w:val="595959" w:themeColor="text1" w:themeTint="A6"/>
      <w:lang w:val="en-IL" w:bidi="he-IL"/>
      <w14:ligatures w14:val="standardContextual"/>
    </w:rPr>
  </w:style>
  <w:style w:type="paragraph" w:styleId="8">
    <w:name w:val="heading 8"/>
    <w:basedOn w:val="a"/>
    <w:next w:val="a"/>
    <w:link w:val="80"/>
    <w:uiPriority w:val="9"/>
    <w:semiHidden/>
    <w:unhideWhenUsed/>
    <w:qFormat/>
    <w:rsid w:val="00B11B0D"/>
    <w:pPr>
      <w:keepNext/>
      <w:keepLines/>
      <w:spacing w:after="0"/>
      <w:outlineLvl w:val="7"/>
    </w:pPr>
    <w:rPr>
      <w:rFonts w:asciiTheme="minorHAnsi" w:eastAsiaTheme="majorEastAsia" w:hAnsiTheme="minorHAnsi" w:cstheme="majorBidi"/>
      <w:i/>
      <w:iCs/>
      <w:color w:val="272727" w:themeColor="text1" w:themeTint="D8"/>
      <w:lang w:val="en-IL" w:bidi="he-IL"/>
      <w14:ligatures w14:val="standardContextual"/>
    </w:rPr>
  </w:style>
  <w:style w:type="paragraph" w:styleId="9">
    <w:name w:val="heading 9"/>
    <w:basedOn w:val="a"/>
    <w:next w:val="a"/>
    <w:link w:val="90"/>
    <w:uiPriority w:val="9"/>
    <w:semiHidden/>
    <w:unhideWhenUsed/>
    <w:qFormat/>
    <w:rsid w:val="00B11B0D"/>
    <w:pPr>
      <w:keepNext/>
      <w:keepLines/>
      <w:spacing w:after="0"/>
      <w:outlineLvl w:val="8"/>
    </w:pPr>
    <w:rPr>
      <w:rFonts w:asciiTheme="minorHAnsi" w:eastAsiaTheme="majorEastAsia" w:hAnsiTheme="minorHAnsi" w:cstheme="majorBidi"/>
      <w:color w:val="272727" w:themeColor="text1" w:themeTint="D8"/>
      <w:lang w:val="en-IL" w:bidi="he-IL"/>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11B0D"/>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B11B0D"/>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B11B0D"/>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B11B0D"/>
    <w:rPr>
      <w:rFonts w:eastAsiaTheme="majorEastAsia" w:cstheme="majorBidi"/>
      <w:i/>
      <w:iCs/>
      <w:color w:val="2F5496" w:themeColor="accent1" w:themeShade="BF"/>
    </w:rPr>
  </w:style>
  <w:style w:type="character" w:customStyle="1" w:styleId="50">
    <w:name w:val="כותרת 5 תו"/>
    <w:basedOn w:val="a0"/>
    <w:link w:val="5"/>
    <w:uiPriority w:val="9"/>
    <w:semiHidden/>
    <w:rsid w:val="00B11B0D"/>
    <w:rPr>
      <w:rFonts w:eastAsiaTheme="majorEastAsia" w:cstheme="majorBidi"/>
      <w:color w:val="2F5496" w:themeColor="accent1" w:themeShade="BF"/>
    </w:rPr>
  </w:style>
  <w:style w:type="character" w:customStyle="1" w:styleId="60">
    <w:name w:val="כותרת 6 תו"/>
    <w:basedOn w:val="a0"/>
    <w:link w:val="6"/>
    <w:uiPriority w:val="9"/>
    <w:semiHidden/>
    <w:rsid w:val="00B11B0D"/>
    <w:rPr>
      <w:rFonts w:eastAsiaTheme="majorEastAsia" w:cstheme="majorBidi"/>
      <w:i/>
      <w:iCs/>
      <w:color w:val="595959" w:themeColor="text1" w:themeTint="A6"/>
    </w:rPr>
  </w:style>
  <w:style w:type="character" w:customStyle="1" w:styleId="70">
    <w:name w:val="כותרת 7 תו"/>
    <w:basedOn w:val="a0"/>
    <w:link w:val="7"/>
    <w:uiPriority w:val="9"/>
    <w:semiHidden/>
    <w:rsid w:val="00B11B0D"/>
    <w:rPr>
      <w:rFonts w:eastAsiaTheme="majorEastAsia" w:cstheme="majorBidi"/>
      <w:color w:val="595959" w:themeColor="text1" w:themeTint="A6"/>
    </w:rPr>
  </w:style>
  <w:style w:type="character" w:customStyle="1" w:styleId="80">
    <w:name w:val="כותרת 8 תו"/>
    <w:basedOn w:val="a0"/>
    <w:link w:val="8"/>
    <w:uiPriority w:val="9"/>
    <w:semiHidden/>
    <w:rsid w:val="00B11B0D"/>
    <w:rPr>
      <w:rFonts w:eastAsiaTheme="majorEastAsia" w:cstheme="majorBidi"/>
      <w:i/>
      <w:iCs/>
      <w:color w:val="272727" w:themeColor="text1" w:themeTint="D8"/>
    </w:rPr>
  </w:style>
  <w:style w:type="character" w:customStyle="1" w:styleId="90">
    <w:name w:val="כותרת 9 תו"/>
    <w:basedOn w:val="a0"/>
    <w:link w:val="9"/>
    <w:uiPriority w:val="9"/>
    <w:semiHidden/>
    <w:rsid w:val="00B11B0D"/>
    <w:rPr>
      <w:rFonts w:eastAsiaTheme="majorEastAsia" w:cstheme="majorBidi"/>
      <w:color w:val="272727" w:themeColor="text1" w:themeTint="D8"/>
    </w:rPr>
  </w:style>
  <w:style w:type="paragraph" w:styleId="a3">
    <w:name w:val="Title"/>
    <w:basedOn w:val="a"/>
    <w:next w:val="a"/>
    <w:link w:val="a4"/>
    <w:uiPriority w:val="10"/>
    <w:qFormat/>
    <w:rsid w:val="00B11B0D"/>
    <w:pPr>
      <w:spacing w:after="80" w:line="240" w:lineRule="auto"/>
      <w:contextualSpacing/>
    </w:pPr>
    <w:rPr>
      <w:rFonts w:asciiTheme="majorHAnsi" w:eastAsiaTheme="majorEastAsia" w:hAnsiTheme="majorHAnsi" w:cstheme="majorBidi"/>
      <w:spacing w:val="-10"/>
      <w:kern w:val="28"/>
      <w:sz w:val="56"/>
      <w:szCs w:val="56"/>
      <w:lang w:val="en-IL" w:bidi="he-IL"/>
      <w14:ligatures w14:val="standardContextual"/>
    </w:rPr>
  </w:style>
  <w:style w:type="character" w:customStyle="1" w:styleId="a4">
    <w:name w:val="כותרת טקסט תו"/>
    <w:basedOn w:val="a0"/>
    <w:link w:val="a3"/>
    <w:uiPriority w:val="10"/>
    <w:rsid w:val="00B11B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1B0D"/>
    <w:pPr>
      <w:numPr>
        <w:ilvl w:val="1"/>
      </w:numPr>
    </w:pPr>
    <w:rPr>
      <w:rFonts w:asciiTheme="minorHAnsi" w:eastAsiaTheme="majorEastAsia" w:hAnsiTheme="minorHAnsi" w:cstheme="majorBidi"/>
      <w:color w:val="595959" w:themeColor="text1" w:themeTint="A6"/>
      <w:spacing w:val="15"/>
      <w:sz w:val="28"/>
      <w:szCs w:val="28"/>
      <w:lang w:val="en-IL" w:bidi="he-IL"/>
      <w14:ligatures w14:val="standardContextual"/>
    </w:rPr>
  </w:style>
  <w:style w:type="character" w:customStyle="1" w:styleId="a6">
    <w:name w:val="כותרת משנה תו"/>
    <w:basedOn w:val="a0"/>
    <w:link w:val="a5"/>
    <w:uiPriority w:val="11"/>
    <w:rsid w:val="00B11B0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11B0D"/>
    <w:pPr>
      <w:spacing w:before="160"/>
      <w:jc w:val="center"/>
    </w:pPr>
    <w:rPr>
      <w:rFonts w:asciiTheme="minorHAnsi" w:hAnsiTheme="minorHAnsi"/>
      <w:i/>
      <w:iCs/>
      <w:color w:val="404040" w:themeColor="text1" w:themeTint="BF"/>
      <w:lang w:val="en-IL" w:bidi="he-IL"/>
      <w14:ligatures w14:val="standardContextual"/>
    </w:rPr>
  </w:style>
  <w:style w:type="character" w:customStyle="1" w:styleId="a8">
    <w:name w:val="ציטוט תו"/>
    <w:basedOn w:val="a0"/>
    <w:link w:val="a7"/>
    <w:uiPriority w:val="29"/>
    <w:rsid w:val="00B11B0D"/>
    <w:rPr>
      <w:i/>
      <w:iCs/>
      <w:color w:val="404040" w:themeColor="text1" w:themeTint="BF"/>
    </w:rPr>
  </w:style>
  <w:style w:type="paragraph" w:styleId="a9">
    <w:name w:val="List Paragraph"/>
    <w:basedOn w:val="a"/>
    <w:uiPriority w:val="34"/>
    <w:qFormat/>
    <w:rsid w:val="00B11B0D"/>
    <w:pPr>
      <w:ind w:left="720"/>
      <w:contextualSpacing/>
    </w:pPr>
    <w:rPr>
      <w:rFonts w:asciiTheme="minorHAnsi" w:hAnsiTheme="minorHAnsi"/>
      <w:lang w:val="en-IL" w:bidi="he-IL"/>
      <w14:ligatures w14:val="standardContextual"/>
    </w:rPr>
  </w:style>
  <w:style w:type="character" w:styleId="aa">
    <w:name w:val="Intense Emphasis"/>
    <w:basedOn w:val="a0"/>
    <w:uiPriority w:val="21"/>
    <w:qFormat/>
    <w:rsid w:val="00B11B0D"/>
    <w:rPr>
      <w:i/>
      <w:iCs/>
      <w:color w:val="2F5496" w:themeColor="accent1" w:themeShade="BF"/>
    </w:rPr>
  </w:style>
  <w:style w:type="paragraph" w:styleId="ab">
    <w:name w:val="Intense Quote"/>
    <w:basedOn w:val="a"/>
    <w:next w:val="a"/>
    <w:link w:val="ac"/>
    <w:uiPriority w:val="30"/>
    <w:qFormat/>
    <w:rsid w:val="00B11B0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i/>
      <w:iCs/>
      <w:color w:val="2F5496" w:themeColor="accent1" w:themeShade="BF"/>
      <w:lang w:val="en-IL" w:bidi="he-IL"/>
      <w14:ligatures w14:val="standardContextual"/>
    </w:rPr>
  </w:style>
  <w:style w:type="character" w:customStyle="1" w:styleId="ac">
    <w:name w:val="ציטוט חזק תו"/>
    <w:basedOn w:val="a0"/>
    <w:link w:val="ab"/>
    <w:uiPriority w:val="30"/>
    <w:rsid w:val="00B11B0D"/>
    <w:rPr>
      <w:i/>
      <w:iCs/>
      <w:color w:val="2F5496" w:themeColor="accent1" w:themeShade="BF"/>
    </w:rPr>
  </w:style>
  <w:style w:type="character" w:styleId="ad">
    <w:name w:val="Intense Reference"/>
    <w:basedOn w:val="a0"/>
    <w:uiPriority w:val="32"/>
    <w:qFormat/>
    <w:rsid w:val="00B11B0D"/>
    <w:rPr>
      <w:b/>
      <w:bCs/>
      <w:smallCaps/>
      <w:color w:val="2F5496" w:themeColor="accent1" w:themeShade="BF"/>
      <w:spacing w:val="5"/>
    </w:rPr>
  </w:style>
  <w:style w:type="table" w:customStyle="1" w:styleId="GridTable1Light1">
    <w:name w:val="Grid Table 1 Light1"/>
    <w:basedOn w:val="a1"/>
    <w:uiPriority w:val="46"/>
    <w:rsid w:val="00B11B0D"/>
    <w:pPr>
      <w:spacing w:after="0" w:line="240" w:lineRule="auto"/>
    </w:pPr>
    <w:rPr>
      <w:lang w:val="en-US" w:bidi="ar-S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dc:creator>
  <cp:keywords/>
  <dc:description/>
  <cp:lastModifiedBy>Ami</cp:lastModifiedBy>
  <cp:revision>1</cp:revision>
  <dcterms:created xsi:type="dcterms:W3CDTF">2026-09-05T04:31:00Z</dcterms:created>
  <dcterms:modified xsi:type="dcterms:W3CDTF">2026-09-05T04:31:00Z</dcterms:modified>
</cp:coreProperties>
</file>