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Information S2</w:t>
      </w:r>
    </w:p>
    <w:p>
      <w:pPr>
        <w:pStyle w:val="Heading1"/>
      </w:pPr>
      <w:r>
        <w:t>Search and analytical documentation</w:t>
      </w:r>
    </w:p>
    <w:p>
      <w:r>
        <w:t>Early supported participation in humanities education: a governance architecture towards reciprocal translation</w:t>
      </w:r>
    </w:p>
    <w:p>
      <w:r>
        <w:t>This supplement explains the source records and analytical matrices supplied in Supplementary Information S1. The article presents a targeted critical integrative synthesis and a conceptual programme theory. The research materials consist of documented searches, source appraisals and conceptual comparisons. No participant data or statistical analysis underpins the proposed architecture.</w:t>
      </w:r>
    </w:p>
    <w:p>
      <w:pPr>
        <w:pStyle w:val="Heading1"/>
      </w:pPr>
      <w:r>
        <w:t>Search strategy and selection</w:t>
      </w:r>
    </w:p>
    <w:p>
      <w:r>
        <w:t>Searches covered English and German material on 23 August 2026, with a focused update on 3 September 2026. Foundational works had no lower date limit; the priority window was 2010–2026. The Search log provides 73 historical query families: 43 initial families and 30 update families. The Bridge searches sheet records six additional expressions testing direct cross-domain connections. Query syntax was adapted to the public interfaces used.</w:t>
      </w:r>
    </w:p>
    <w:p>
      <w:r>
        <w:t>The domains were Translational, Public and Applied Humanities; knowledge translation and responsible metrics; HASS-WIL and dual study; Critical Service Learning; Cognitive Apprenticeship; Deliberate Practice; authentic and inclusive assessment; Supported Education and IPS; and assessment-related generative AI. Queries combined construct names with education, curriculum, governance, reciprocity, power, access, support or assessment terms. Exact expressions, dates and intended uses appear in S1.</w:t>
      </w:r>
    </w:p>
    <w:p>
      <w:r>
        <w:t>Routes comprised public and publisher interfaces, DOI resolution, PubMed/PMC, ERIC’s public index, repositories, official institutional sites and targeted backward/forward citation searches. Scopus, Web of Science, PsycINFO and ProQuest were not directly searched. The Initial search routes sheet groups the routes into 28 descriptions plus six bridges; these are not additional searches beyond the historical query families and bridge searches.</w:t>
      </w:r>
    </w:p>
    <w:p>
      <w:r>
        <w:t>Selection prioritised sources defining constructs, documenting close prior art, specifying mechanisms or transfer boundaries, or presenting a strong counterposition. Peer-reviewed publications were prioritised; official reports and programme pages established definitions and programme features. Clinical studies were relevant only to source constructs or transfer limits. Acronym noise, unsupported secondary claims, promotional outcome claims and clinical efficacy evidence without a relevant educational mechanism were excluded. The Initial exclusion rules sheet records twelve category-level rules, not twelve excluded publications.</w:t>
      </w:r>
    </w:p>
    <w:p>
      <w:r>
        <w:t>This is a targeted, non-exhaustive synthesis. The documentation records query families and selected routes rather than a complete search-engine export or systematic-review screening flow. The Evidence ledger sheet contains 115 historical appraisal records, including repeated-source and update entries. TH04/UP19 appraise the same Angeli and McNealis publication, IPS01/IPS02 the same official webpage, and IPS15/UP12 the same Jäckel publication. These pairs are cross-identified in Notes and are not independent evidence. Linked corrections are not additional empirical studies.</w:t>
      </w:r>
    </w:p>
    <w:p>
      <w:r>
        <w:t>Targeted verification on 4 October 2026 is documented separately in Verification searches (29 exact queries) and Source checks (17 cited sources and two publication corrections). These records supplement the historical documentation without retrospectively changing its dates or counts. Relevant full-text passages were accessible for fifteen of the seventeen cited sources; the current Jain and Whittemore/Knafl checks used abstracts and metadata only. Earlier recorded full-text access is distinct from access achieved at this later check. The two methodological references are identified in Source checks V16–V17. These checks do not constitute a comprehensive literature update or a new screening flow.</w:t>
      </w:r>
    </w:p>
    <w:p>
      <w:pPr>
        <w:pStyle w:val="Heading1"/>
      </w:pPr>
      <w:r>
        <w:t>Fields in the evidence ledger</w:t>
      </w:r>
    </w:p>
    <w:p>
      <w:r>
        <w:t>Each Evidence ledger row is a historical source appraisal. Table S2.1 defines its fields. Blank cells indicate that no value was recorded; they do not indicate zero or evidence of absence. Access status and check dates refer to the recorded appraisal. The Source checks sheet separately identifies the date, source, access, consulted passage or route, supported claim, limit and URL for each later verification.</w:t>
      </w:r>
    </w:p>
    <w:p>
      <w:pPr>
        <w:keepNext/>
        <w:spacing w:before="160"/>
      </w:pPr>
      <w:r>
        <w:rPr>
          <w:b/>
          <w:sz w:val="20"/>
        </w:rPr>
        <w:t>Table S2.1. Definitions of historical evidence-ledger fields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95" w:type="dxa"/>
          <w:right w:w="95" w:type="dxa"/>
        </w:tblCellMar>
      </w:tblPr>
      <w:tblGrid>
        <w:gridCol w:w="2448"/>
        <w:gridCol w:w="6912"/>
      </w:tblGrid>
      <w:tr>
        <w:trPr>
          <w:cantSplit/>
          <w:tblHeader/>
        </w:trPr>
        <w:tc>
          <w:tcPr>
            <w:tcW w:type="dxa" w:w="2448"/>
            <w:vAlign w:val="center"/>
            <w:shd w:fill="E7E6E6"/>
          </w:tcPr>
          <w:p>
            <w:pPr>
              <w:keepNext w:val="0"/>
              <w:spacing w:line="259" w:lineRule="auto" w:before="0" w:after="0"/>
            </w:pPr>
            <w:r>
              <w:rPr>
                <w:b/>
                <w:sz w:val="20"/>
              </w:rPr>
              <w:t>Fields</w:t>
            </w:r>
          </w:p>
        </w:tc>
        <w:tc>
          <w:tcPr>
            <w:tcW w:type="dxa" w:w="6912"/>
            <w:vAlign w:val="center"/>
            <w:shd w:fill="E7E6E6"/>
          </w:tcPr>
          <w:p>
            <w:pPr>
              <w:keepNext w:val="0"/>
              <w:spacing w:line="259" w:lineRule="auto" w:before="0" w:after="0"/>
            </w:pPr>
            <w:r>
              <w:rPr>
                <w:b/>
                <w:sz w:val="20"/>
              </w:rPr>
              <w:t>Definition</w:t>
            </w:r>
          </w:p>
        </w:tc>
      </w:tr>
      <w:tr>
        <w:trPr>
          <w:cantSplit/>
        </w:trPr>
        <w:tc>
          <w:tcPr>
            <w:tcW w:type="dxa" w:w="2448"/>
            <w:vAlign w:val="center"/>
          </w:tcPr>
          <w:p>
            <w:pPr>
              <w:keepNext w:val="0"/>
              <w:spacing w:line="259" w:lineRule="auto" w:before="0" w:after="0"/>
            </w:pPr>
            <w:r>
              <w:rPr>
                <w:b w:val="0"/>
                <w:sz w:val="20"/>
              </w:rPr>
              <w:t>ID; Strand</w:t>
            </w:r>
          </w:p>
        </w:tc>
        <w:tc>
          <w:tcPr>
            <w:tcW w:type="dxa" w:w="6912"/>
            <w:vAlign w:val="center"/>
          </w:tcPr>
          <w:p>
            <w:pPr>
              <w:keepNext w:val="0"/>
              <w:spacing w:line="259" w:lineRule="auto" w:before="0" w:after="0"/>
            </w:pPr>
            <w:r>
              <w:rPr>
                <w:b w:val="0"/>
                <w:sz w:val="20"/>
              </w:rPr>
              <w:t>Local record identifier and literature domain. IDs locate appraisals, not necessarily unique publications.</w:t>
            </w:r>
          </w:p>
        </w:tc>
      </w:tr>
      <w:tr>
        <w:trPr>
          <w:cantSplit/>
        </w:trPr>
        <w:tc>
          <w:tcPr>
            <w:tcW w:type="dxa" w:w="2448"/>
            <w:vAlign w:val="center"/>
          </w:tcPr>
          <w:p>
            <w:pPr>
              <w:keepNext w:val="0"/>
              <w:spacing w:line="259" w:lineRule="auto" w:before="0" w:after="0"/>
            </w:pPr>
            <w:r>
              <w:rPr>
                <w:b w:val="0"/>
                <w:sz w:val="20"/>
              </w:rPr>
              <w:t>Citation; Year; Title; Source</w:t>
            </w:r>
          </w:p>
        </w:tc>
        <w:tc>
          <w:tcPr>
            <w:tcW w:type="dxa" w:w="6912"/>
            <w:vAlign w:val="center"/>
          </w:tcPr>
          <w:p>
            <w:pPr>
              <w:keepNext w:val="0"/>
              <w:spacing w:line="259" w:lineRule="auto" w:before="0" w:after="0"/>
            </w:pPr>
            <w:r>
              <w:rPr>
                <w:b w:val="0"/>
                <w:sz w:val="20"/>
              </w:rPr>
              <w:t>Bibliographic identity, publication year, title and publication or institutional source.</w:t>
            </w:r>
          </w:p>
        </w:tc>
      </w:tr>
      <w:tr>
        <w:trPr>
          <w:cantSplit/>
        </w:trPr>
        <w:tc>
          <w:tcPr>
            <w:tcW w:type="dxa" w:w="2448"/>
            <w:vAlign w:val="center"/>
          </w:tcPr>
          <w:p>
            <w:pPr>
              <w:keepNext w:val="0"/>
              <w:spacing w:line="259" w:lineRule="auto" w:before="0" w:after="0"/>
            </w:pPr>
            <w:r>
              <w:rPr>
                <w:b w:val="0"/>
                <w:sz w:val="20"/>
              </w:rPr>
              <w:t>DOI; DOI verified; URL</w:t>
            </w:r>
          </w:p>
        </w:tc>
        <w:tc>
          <w:tcPr>
            <w:tcW w:type="dxa" w:w="6912"/>
            <w:vAlign w:val="center"/>
          </w:tcPr>
          <w:p>
            <w:pPr>
              <w:keepNext w:val="0"/>
              <w:spacing w:line="259" w:lineRule="auto" w:before="0" w:after="0"/>
            </w:pPr>
            <w:r>
              <w:rPr>
                <w:b w:val="0"/>
                <w:sz w:val="20"/>
              </w:rPr>
              <w:t>Recorded identifier, identifier-check status and access link. DOI verification does not establish full-text access.</w:t>
            </w:r>
          </w:p>
        </w:tc>
      </w:tr>
      <w:tr>
        <w:trPr>
          <w:cantSplit/>
        </w:trPr>
        <w:tc>
          <w:tcPr>
            <w:tcW w:type="dxa" w:w="2448"/>
            <w:vAlign w:val="center"/>
          </w:tcPr>
          <w:p>
            <w:pPr>
              <w:keepNext w:val="0"/>
              <w:spacing w:line="259" w:lineRule="auto" w:before="0" w:after="0"/>
            </w:pPr>
            <w:r>
              <w:rPr>
                <w:b w:val="0"/>
                <w:sz w:val="20"/>
              </w:rPr>
              <w:t>Publication type; Evidence type; Review status</w:t>
            </w:r>
          </w:p>
        </w:tc>
        <w:tc>
          <w:tcPr>
            <w:tcW w:type="dxa" w:w="6912"/>
            <w:vAlign w:val="center"/>
          </w:tcPr>
          <w:p>
            <w:pPr>
              <w:keepNext w:val="0"/>
              <w:spacing w:line="259" w:lineRule="auto" w:before="0" w:after="0"/>
            </w:pPr>
            <w:r>
              <w:rPr>
                <w:b w:val="0"/>
                <w:sz w:val="20"/>
              </w:rPr>
              <w:t>Document form, nature of the source contribution and publication provenance. These are separate from the manuscript’s claim classes.</w:t>
            </w:r>
          </w:p>
        </w:tc>
      </w:tr>
      <w:tr>
        <w:trPr>
          <w:cantSplit/>
        </w:trPr>
        <w:tc>
          <w:tcPr>
            <w:tcW w:type="dxa" w:w="2448"/>
            <w:vAlign w:val="center"/>
          </w:tcPr>
          <w:p>
            <w:pPr>
              <w:keepNext w:val="0"/>
              <w:spacing w:line="259" w:lineRule="auto" w:before="0" w:after="0"/>
            </w:pPr>
            <w:r>
              <w:rPr>
                <w:b w:val="0"/>
                <w:sz w:val="20"/>
              </w:rPr>
              <w:t>Access status</w:t>
            </w:r>
          </w:p>
        </w:tc>
        <w:tc>
          <w:tcPr>
            <w:tcW w:type="dxa" w:w="6912"/>
            <w:vAlign w:val="center"/>
          </w:tcPr>
          <w:p>
            <w:pPr>
              <w:keepNext w:val="0"/>
              <w:spacing w:line="259" w:lineRule="auto" w:before="0" w:after="0"/>
            </w:pPr>
            <w:r>
              <w:rPr>
                <w:b w:val="0"/>
                <w:sz w:val="20"/>
              </w:rPr>
              <w:t>Recorded historical access to a full text, official page, abstract or metadata. Claims based on limited access must stay within information actually available; unexamined methods or mechanisms cannot be inferred.</w:t>
            </w:r>
          </w:p>
        </w:tc>
      </w:tr>
      <w:tr>
        <w:trPr>
          <w:cantSplit/>
        </w:trPr>
        <w:tc>
          <w:tcPr>
            <w:tcW w:type="dxa" w:w="2448"/>
            <w:vAlign w:val="center"/>
          </w:tcPr>
          <w:p>
            <w:pPr>
              <w:keepNext w:val="0"/>
              <w:spacing w:line="259" w:lineRule="auto" w:before="0" w:after="0"/>
            </w:pPr>
            <w:r>
              <w:rPr>
                <w:b w:val="0"/>
                <w:sz w:val="20"/>
              </w:rPr>
              <w:t>Population; Context; Method / sample</w:t>
            </w:r>
          </w:p>
        </w:tc>
        <w:tc>
          <w:tcPr>
            <w:tcW w:type="dxa" w:w="6912"/>
            <w:vAlign w:val="center"/>
          </w:tcPr>
          <w:p>
            <w:pPr>
              <w:keepNext w:val="0"/>
              <w:spacing w:line="259" w:lineRule="auto" w:before="0" w:after="0"/>
            </w:pPr>
            <w:r>
              <w:rPr>
                <w:b w:val="0"/>
                <w:sz w:val="20"/>
              </w:rPr>
              <w:t>Population, setting and design or sample of the cited source, not a newly studied sample.</w:t>
            </w:r>
          </w:p>
        </w:tc>
      </w:tr>
      <w:tr>
        <w:trPr>
          <w:cantSplit/>
        </w:trPr>
        <w:tc>
          <w:tcPr>
            <w:tcW w:type="dxa" w:w="2448"/>
            <w:vAlign w:val="center"/>
          </w:tcPr>
          <w:p>
            <w:pPr>
              <w:keepNext w:val="0"/>
              <w:spacing w:line="259" w:lineRule="auto" w:before="0" w:after="0"/>
            </w:pPr>
            <w:r>
              <w:rPr>
                <w:b w:val="0"/>
                <w:sz w:val="20"/>
              </w:rPr>
              <w:t>Central claim; Limitation</w:t>
            </w:r>
          </w:p>
        </w:tc>
        <w:tc>
          <w:tcPr>
            <w:tcW w:type="dxa" w:w="6912"/>
            <w:vAlign w:val="center"/>
          </w:tcPr>
          <w:p>
            <w:pPr>
              <w:keepNext w:val="0"/>
              <w:spacing w:line="259" w:lineRule="auto" w:before="0" w:after="0"/>
            </w:pPr>
            <w:r>
              <w:rPr>
                <w:b w:val="0"/>
                <w:sz w:val="20"/>
              </w:rPr>
              <w:t>Principal extracted source statement and the limits on its interpretation or transfer. “Central claim” names a source-summary field, not a final-manuscript-use flag.</w:t>
            </w:r>
          </w:p>
        </w:tc>
      </w:tr>
      <w:tr>
        <w:trPr>
          <w:cantSplit/>
        </w:trPr>
        <w:tc>
          <w:tcPr>
            <w:tcW w:type="dxa" w:w="2448"/>
            <w:vAlign w:val="center"/>
          </w:tcPr>
          <w:p>
            <w:pPr>
              <w:keepNext w:val="0"/>
              <w:spacing w:line="259" w:lineRule="auto" w:before="0" w:after="0"/>
            </w:pPr>
            <w:r>
              <w:rPr>
                <w:b w:val="0"/>
                <w:sz w:val="20"/>
              </w:rPr>
              <w:t>Relevance tags / role; Role in audit</w:t>
            </w:r>
          </w:p>
        </w:tc>
        <w:tc>
          <w:tcPr>
            <w:tcW w:type="dxa" w:w="6912"/>
            <w:vAlign w:val="center"/>
          </w:tcPr>
          <w:p>
            <w:pPr>
              <w:keepNext w:val="0"/>
              <w:spacing w:line="259" w:lineRule="auto" w:before="0" w:after="0"/>
            </w:pPr>
            <w:r>
              <w:rPr>
                <w:b w:val="0"/>
                <w:sz w:val="20"/>
              </w:rPr>
              <w:t>H1–H5 relevance or working questions, or descriptive annotations, and the reason the source informs the comparison. These tags are not tested hypotheses or P1–P6.</w:t>
            </w:r>
          </w:p>
        </w:tc>
      </w:tr>
      <w:tr>
        <w:trPr>
          <w:cantSplit/>
        </w:trPr>
        <w:tc>
          <w:tcPr>
            <w:tcW w:type="dxa" w:w="2448"/>
            <w:vAlign w:val="center"/>
          </w:tcPr>
          <w:p>
            <w:pPr>
              <w:keepNext w:val="0"/>
              <w:spacing w:line="259" w:lineRule="auto" w:before="0" w:after="0"/>
            </w:pPr>
            <w:r>
              <w:rPr>
                <w:b w:val="0"/>
                <w:sz w:val="20"/>
              </w:rPr>
              <w:t>Search route; Date checked</w:t>
            </w:r>
          </w:p>
        </w:tc>
        <w:tc>
          <w:tcPr>
            <w:tcW w:type="dxa" w:w="6912"/>
            <w:vAlign w:val="center"/>
          </w:tcPr>
          <w:p>
            <w:pPr>
              <w:keepNext w:val="0"/>
              <w:spacing w:line="259" w:lineRule="auto" w:before="0" w:after="0"/>
            </w:pPr>
            <w:r>
              <w:rPr>
                <w:b w:val="0"/>
                <w:sz w:val="20"/>
              </w:rPr>
              <w:t>Historical retrieval context and source-check date. Later verification is separately dated in Source checks; a current access failure does not rewrite the earlier record.</w:t>
            </w:r>
          </w:p>
        </w:tc>
      </w:tr>
      <w:tr>
        <w:trPr>
          <w:cantSplit/>
        </w:trPr>
        <w:tc>
          <w:tcPr>
            <w:tcW w:type="dxa" w:w="2448"/>
            <w:vAlign w:val="center"/>
          </w:tcPr>
          <w:p>
            <w:pPr>
              <w:keepNext w:val="0"/>
              <w:spacing w:line="259" w:lineRule="auto" w:before="0" w:after="0"/>
            </w:pPr>
            <w:r>
              <w:rPr>
                <w:b w:val="0"/>
                <w:sz w:val="20"/>
              </w:rPr>
              <w:t>Include; Notes</w:t>
            </w:r>
          </w:p>
        </w:tc>
        <w:tc>
          <w:tcPr>
            <w:tcW w:type="dxa" w:w="6912"/>
            <w:vAlign w:val="center"/>
          </w:tcPr>
          <w:p>
            <w:pPr>
              <w:keepNext w:val="0"/>
              <w:spacing w:line="259" w:lineRule="auto" w:before="0" w:after="0"/>
            </w:pPr>
            <w:r>
              <w:rPr>
                <w:b w:val="0"/>
                <w:sz w:val="20"/>
              </w:rPr>
              <w:t>Retention status and qualifications. Included means retained in the broad mapping; Mapped/Mapped only preserve contextual records; Linked marks an associated item such as a correction. These labels do not determine central citation eligibility.</w:t>
            </w:r>
          </w:p>
        </w:tc>
      </w:tr>
    </w:tbl>
    <w:p/>
    <w:p>
      <w:pPr>
        <w:pStyle w:val="Heading1"/>
      </w:pPr>
      <w:r>
        <w:t>Coding and conceptual derivation</w:t>
      </w:r>
    </w:p>
    <w:p>
      <w:r>
        <w:t>Comparison considered context, evidence type, function, decision right, boundary, risk and relevance. These dimensions are distributed across the source ledger and analytical matrices. Claim-specific appraisal limits empirical statements to the cited design and setting, conceptual statements to their argument, and official programme pages to documented programme features. No common quality score was imposed on unlike sources. Table S2.2 distinguishes the resulting claim classes.</w:t>
      </w:r>
    </w:p>
    <w:p>
      <w:pPr>
        <w:keepNext/>
        <w:spacing w:before="160"/>
      </w:pPr>
      <w:r>
        <w:rPr>
          <w:b/>
          <w:sz w:val="20"/>
        </w:rPr>
        <w:t>Table S2.2. Claim classes in the conceptual synthesis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95" w:type="dxa"/>
          <w:right w:w="95" w:type="dxa"/>
        </w:tblCellMar>
      </w:tblPr>
      <w:tblGrid>
        <w:gridCol w:w="2304"/>
        <w:gridCol w:w="7056"/>
      </w:tblGrid>
      <w:tr>
        <w:trPr>
          <w:cantSplit/>
          <w:tblHeader/>
        </w:trPr>
        <w:tc>
          <w:tcPr>
            <w:tcW w:type="dxa" w:w="2304"/>
            <w:vAlign w:val="center"/>
            <w:shd w:fill="E7E6E6"/>
          </w:tcPr>
          <w:p>
            <w:pPr>
              <w:keepNext w:val="0"/>
              <w:spacing w:line="259" w:lineRule="auto" w:before="0" w:after="0"/>
            </w:pPr>
            <w:r>
              <w:rPr>
                <w:b/>
                <w:sz w:val="20"/>
              </w:rPr>
              <w:t>Claim class</w:t>
            </w:r>
          </w:p>
        </w:tc>
        <w:tc>
          <w:tcPr>
            <w:tcW w:type="dxa" w:w="7056"/>
            <w:vAlign w:val="center"/>
            <w:shd w:fill="E7E6E6"/>
          </w:tcPr>
          <w:p>
            <w:pPr>
              <w:keepNext w:val="0"/>
              <w:spacing w:line="259" w:lineRule="auto" w:before="0" w:after="0"/>
            </w:pPr>
            <w:r>
              <w:rPr>
                <w:b/>
                <w:sz w:val="20"/>
              </w:rPr>
              <w:t>Meaning</w:t>
            </w:r>
          </w:p>
        </w:tc>
      </w:tr>
      <w:tr>
        <w:trPr>
          <w:cantSplit/>
        </w:trPr>
        <w:tc>
          <w:tcPr>
            <w:tcW w:type="dxa" w:w="2304"/>
            <w:vAlign w:val="center"/>
          </w:tcPr>
          <w:p>
            <w:pPr>
              <w:keepNext w:val="0"/>
              <w:spacing w:line="259" w:lineRule="auto" w:before="0" w:after="0"/>
            </w:pPr>
            <w:r>
              <w:rPr>
                <w:b w:val="0"/>
                <w:sz w:val="20"/>
              </w:rPr>
              <w:t>Evidence</w:t>
            </w:r>
          </w:p>
        </w:tc>
        <w:tc>
          <w:tcPr>
            <w:tcW w:type="dxa" w:w="7056"/>
            <w:vAlign w:val="center"/>
          </w:tcPr>
          <w:p>
            <w:pPr>
              <w:keepNext w:val="0"/>
              <w:spacing w:line="259" w:lineRule="auto" w:before="0" w:after="0"/>
            </w:pPr>
            <w:r>
              <w:rPr>
                <w:b w:val="0"/>
                <w:sz w:val="20"/>
              </w:rPr>
              <w:t>A source-supported statement bounded by the source’s method, population and context.</w:t>
            </w:r>
          </w:p>
        </w:tc>
      </w:tr>
      <w:tr>
        <w:trPr>
          <w:cantSplit/>
        </w:trPr>
        <w:tc>
          <w:tcPr>
            <w:tcW w:type="dxa" w:w="2304"/>
            <w:vAlign w:val="center"/>
          </w:tcPr>
          <w:p>
            <w:pPr>
              <w:keepNext w:val="0"/>
              <w:spacing w:line="259" w:lineRule="auto" w:before="0" w:after="0"/>
            </w:pPr>
            <w:r>
              <w:rPr>
                <w:b w:val="0"/>
                <w:sz w:val="20"/>
              </w:rPr>
              <w:t>Synthesis</w:t>
            </w:r>
          </w:p>
        </w:tc>
        <w:tc>
          <w:tcPr>
            <w:tcW w:type="dxa" w:w="7056"/>
            <w:vAlign w:val="center"/>
          </w:tcPr>
          <w:p>
            <w:pPr>
              <w:keepNext w:val="0"/>
              <w:spacing w:line="259" w:lineRule="auto" w:before="0" w:after="0"/>
            </w:pPr>
            <w:r>
              <w:rPr>
                <w:b w:val="0"/>
                <w:sz w:val="20"/>
              </w:rPr>
              <w:t>An interpretive relation drawn across sources.</w:t>
            </w:r>
          </w:p>
        </w:tc>
      </w:tr>
      <w:tr>
        <w:trPr>
          <w:cantSplit/>
        </w:trPr>
        <w:tc>
          <w:tcPr>
            <w:tcW w:type="dxa" w:w="2304"/>
            <w:vAlign w:val="center"/>
          </w:tcPr>
          <w:p>
            <w:pPr>
              <w:keepNext w:val="0"/>
              <w:spacing w:line="259" w:lineRule="auto" w:before="0" w:after="0"/>
            </w:pPr>
            <w:r>
              <w:rPr>
                <w:b w:val="0"/>
                <w:sz w:val="20"/>
              </w:rPr>
              <w:t>Normative design</w:t>
            </w:r>
          </w:p>
        </w:tc>
        <w:tc>
          <w:tcPr>
            <w:tcW w:type="dxa" w:w="7056"/>
            <w:vAlign w:val="center"/>
          </w:tcPr>
          <w:p>
            <w:pPr>
              <w:keepNext w:val="0"/>
              <w:spacing w:line="259" w:lineRule="auto" w:before="0" w:after="0"/>
            </w:pPr>
            <w:r>
              <w:rPr>
                <w:b w:val="0"/>
                <w:sz w:val="20"/>
              </w:rPr>
              <w:t>A proposed decision rule, allocation or safeguard.</w:t>
            </w:r>
          </w:p>
        </w:tc>
      </w:tr>
      <w:tr>
        <w:trPr>
          <w:cantSplit/>
        </w:trPr>
        <w:tc>
          <w:tcPr>
            <w:tcW w:type="dxa" w:w="2304"/>
            <w:vAlign w:val="center"/>
          </w:tcPr>
          <w:p>
            <w:pPr>
              <w:keepNext w:val="0"/>
              <w:spacing w:line="259" w:lineRule="auto" w:before="0" w:after="0"/>
            </w:pPr>
            <w:r>
              <w:rPr>
                <w:b w:val="0"/>
                <w:sz w:val="20"/>
              </w:rPr>
              <w:t>Prospective proposition</w:t>
            </w:r>
          </w:p>
        </w:tc>
        <w:tc>
          <w:tcPr>
            <w:tcW w:type="dxa" w:w="7056"/>
            <w:vAlign w:val="center"/>
          </w:tcPr>
          <w:p>
            <w:pPr>
              <w:keepNext w:val="0"/>
              <w:spacing w:line="259" w:lineRule="auto" w:before="0" w:after="0"/>
            </w:pPr>
            <w:r>
              <w:rPr>
                <w:b w:val="0"/>
                <w:sz w:val="20"/>
              </w:rPr>
              <w:t>A mechanism to be tested in future work, with conditions that could undermine it. P1–P6 are not observed results.</w:t>
            </w:r>
          </w:p>
        </w:tc>
      </w:tr>
    </w:tbl>
    <w:p/>
    <w:p>
      <w:r>
        <w:t>The Prior art sheet compares sixteen configurations, nine of which are grouped into six comparisons in manuscript Table 2. It distinguishes consequential humanities work, external or student authority and resources, support and access, assessment or validity, and institutionalisation and data. Established features and overlap are followed by an open residual question, appraisal scope and analytical role. Source IDs locate the bibliographic and access records. The last question is a comparison proposed by this article, not a deficiency demonstrated in prior practice. Unreported features are not treated as absent. Abstract-level comparators remain explicitly bounded.</w:t>
      </w:r>
    </w:p>
    <w:p>
      <w:r>
        <w:t>The Function derivation sheet links tensions to source traditions, decision questions, proposed allocations, claim classes, alternative arrangements and possible failures. Six functions organise conflicting responsibilities; five implementation levels organise delivery. Two decisions distinguish participation from credit, while six epistemic domains concern scholarly warrant. The ten-move cycle is a provisional recursive heuristic. These counts describe an interpretive and normative organisation, not a discovered taxonomy. Task-specific preparation, holistic judgement and shared assessment remain legitimate alternatives under appropriate conditions.</w:t>
      </w:r>
    </w:p>
    <w:p>
      <w:r>
        <w:t>The Construct boundaries and IPS transfer audit sheets specify permitted analogies and non-analogies. The Epistemic profiles sheet elaborates the disciplinary contrasts in manuscript Table 3. The Proposition map sheet locates P1–P6, mechanisms, prospective evidence traces and possible failures. These sheets contain proposed criteria and future observations, not collected pilot data or validated scales. Figure 1 in the manuscript uses the same two decisions, five levels, recursive cycle and separate programme-learning record.</w:t>
      </w:r>
    </w:p>
    <w:p>
      <w:r>
        <w:t>For example, IPS19 maps Galvaan et al. (2026) on heterogeneous Supported Education programmes. The later checks V02–V03 support the bounded account of contextual support and disclosure dependence. The Function derivation sheet relates this to voluntary support while separately identifying the normative privacy rule. P2 then proposes continuity without a credential signal and specifies conditions such as scarcity, stigma or leakage that would count against it. An integrated arrangement achieving the same protections with fewer handovers remains a relevant alternative.</w:t>
      </w:r>
    </w:p>
    <w:p>
      <w:pPr>
        <w:pStyle w:val="Heading2"/>
      </w:pPr>
      <w:r>
        <w:t>Prospective implementation assumptions</w:t>
      </w:r>
    </w:p>
    <w:p>
      <w:r>
        <w:t>One illustrative costing scenario is a two-semester, 15-ECTS track or capstone for 12–18 advanced undergraduates and three to five resourced partnerships. These are unvalidated planning assumptions, not optimal sizes, recruitment targets already implemented or a dataset. Role-specific redesign would precede recruitment, initially in one field or at most two contrasting task types. Capacity estimates must include student time and access costs, paid external labour, coordination, mentor preparation and ratios, independent assessment and moderation, data stewardship, handover, and contingency for withdrawal or re-matching.</w:t>
      </w:r>
    </w:p>
    <w:p>
      <w:r>
        <w:t>Start conditions include humanities academic leadership, an accountable sponsor, budget holder and deputy, host due diligence, equivalent routes, low-disclosure support, a versioned assessment specification and independent appeal. Agreements must settle workload, privacy, intellectual property, attribution, public release and correction, complaints, pause and exit, custody, portability, maintenance or sunset, future access, return or deletion, and relationship closure. Personal-data collection requires prospective ethics and data-protection review. Any optional harm monitoring needs a separate, voluntary, time-limited purpose tied to a specified safeguarding or redesign decision and consent from each person whose data are sought. It must not feed matching, support, grading, organisational judgement or individual profiling. Recruitment cannot begin without funded capacity and the manuscript’s consent, safety, rights, equivalent-route and independent-decision safeguards. The Proposition map sheet in S1 specifies P1–P6 and their possible failures; these assumptions do not constitute a pilot protocol or evidence of feasibility.</w:t>
      </w:r>
    </w:p>
    <w:p>
      <w:pPr>
        <w:pStyle w:val="Heading1"/>
      </w:pPr>
      <w:r>
        <w:t>Relevance questions</w:t>
      </w:r>
    </w:p>
    <w:p>
      <w:r>
        <w:t>H1–H5 are relevance or working questions for the conceptual comparison (Table S2.3). A tag indicates why a source was considered, including a possible counterposition; it does not indicate support, demonstrated novelty or an observed variable. The tags are distinct from the prospective programme-theory propositions P1–P6. Historical descriptive role annotations in the ledger have the same interpretive status.</w:t>
      </w:r>
    </w:p>
    <w:p>
      <w:pPr>
        <w:keepNext/>
        <w:spacing w:before="160"/>
      </w:pPr>
      <w:r>
        <w:rPr>
          <w:b/>
          <w:sz w:val="20"/>
        </w:rPr>
        <w:t>Table S2.3. Relevance questions used to interpret H1–H5</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95" w:type="dxa"/>
          <w:right w:w="95" w:type="dxa"/>
        </w:tblCellMar>
      </w:tblPr>
      <w:tblGrid>
        <w:gridCol w:w="792"/>
        <w:gridCol w:w="8568"/>
      </w:tblGrid>
      <w:tr>
        <w:trPr>
          <w:cantSplit/>
          <w:tblHeader/>
        </w:trPr>
        <w:tc>
          <w:tcPr>
            <w:tcW w:type="dxa" w:w="792"/>
            <w:vAlign w:val="center"/>
            <w:shd w:fill="E7E6E6"/>
          </w:tcPr>
          <w:p>
            <w:pPr>
              <w:keepNext w:val="0"/>
              <w:spacing w:line="259" w:lineRule="auto" w:before="0" w:after="0"/>
            </w:pPr>
            <w:r>
              <w:rPr>
                <w:b/>
                <w:sz w:val="20"/>
              </w:rPr>
              <w:t>Tag</w:t>
            </w:r>
          </w:p>
        </w:tc>
        <w:tc>
          <w:tcPr>
            <w:tcW w:type="dxa" w:w="8568"/>
            <w:vAlign w:val="center"/>
            <w:shd w:fill="E7E6E6"/>
          </w:tcPr>
          <w:p>
            <w:pPr>
              <w:keepNext w:val="0"/>
              <w:spacing w:line="259" w:lineRule="auto" w:before="0" w:after="0"/>
            </w:pPr>
            <w:r>
              <w:rPr>
                <w:b/>
                <w:sz w:val="20"/>
              </w:rPr>
              <w:t>Relevance question</w:t>
            </w:r>
          </w:p>
        </w:tc>
      </w:tr>
      <w:tr>
        <w:trPr>
          <w:cantSplit/>
        </w:trPr>
        <w:tc>
          <w:tcPr>
            <w:tcW w:type="dxa" w:w="792"/>
            <w:vAlign w:val="center"/>
          </w:tcPr>
          <w:p>
            <w:pPr>
              <w:keepNext w:val="0"/>
              <w:spacing w:line="259" w:lineRule="auto" w:before="0" w:after="0"/>
            </w:pPr>
            <w:r>
              <w:rPr>
                <w:b w:val="0"/>
                <w:sz w:val="20"/>
              </w:rPr>
              <w:t>H1</w:t>
            </w:r>
          </w:p>
        </w:tc>
        <w:tc>
          <w:tcPr>
            <w:tcW w:type="dxa" w:w="8568"/>
            <w:vAlign w:val="center"/>
          </w:tcPr>
          <w:p>
            <w:pPr>
              <w:keepNext w:val="0"/>
              <w:spacing w:line="259" w:lineRule="auto" w:before="0" w:after="0"/>
            </w:pPr>
            <w:r>
              <w:rPr>
                <w:b w:val="0"/>
                <w:sz w:val="20"/>
              </w:rPr>
              <w:t>How should access and support, whole-task learning, bounded micropractice and reciprocal translation relate while retaining their distinct purposes?</w:t>
            </w:r>
          </w:p>
        </w:tc>
      </w:tr>
      <w:tr>
        <w:trPr>
          <w:cantSplit/>
        </w:trPr>
        <w:tc>
          <w:tcPr>
            <w:tcW w:type="dxa" w:w="792"/>
            <w:vAlign w:val="center"/>
          </w:tcPr>
          <w:p>
            <w:pPr>
              <w:keepNext w:val="0"/>
              <w:spacing w:line="259" w:lineRule="auto" w:before="0" w:after="0"/>
            </w:pPr>
            <w:r>
              <w:rPr>
                <w:b w:val="0"/>
                <w:sz w:val="20"/>
              </w:rPr>
              <w:t>H2</w:t>
            </w:r>
          </w:p>
        </w:tc>
        <w:tc>
          <w:tcPr>
            <w:tcW w:type="dxa" w:w="8568"/>
            <w:vAlign w:val="center"/>
          </w:tcPr>
          <w:p>
            <w:pPr>
              <w:keepNext w:val="0"/>
              <w:spacing w:line="259" w:lineRule="auto" w:before="0" w:after="0"/>
            </w:pPr>
            <w:r>
              <w:rPr>
                <w:b w:val="0"/>
                <w:sz w:val="20"/>
              </w:rPr>
              <w:t>When should task-specific participation and academic credit be separate decisions, and which epistemic requirements are material?</w:t>
            </w:r>
          </w:p>
        </w:tc>
      </w:tr>
      <w:tr>
        <w:trPr>
          <w:cantSplit/>
        </w:trPr>
        <w:tc>
          <w:tcPr>
            <w:tcW w:type="dxa" w:w="792"/>
            <w:vAlign w:val="center"/>
          </w:tcPr>
          <w:p>
            <w:pPr>
              <w:keepNext w:val="0"/>
              <w:spacing w:line="259" w:lineRule="auto" w:before="0" w:after="0"/>
            </w:pPr>
            <w:r>
              <w:rPr>
                <w:b w:val="0"/>
                <w:sz w:val="20"/>
              </w:rPr>
              <w:t>H3</w:t>
            </w:r>
          </w:p>
        </w:tc>
        <w:tc>
          <w:tcPr>
            <w:tcW w:type="dxa" w:w="8568"/>
            <w:vAlign w:val="center"/>
          </w:tcPr>
          <w:p>
            <w:pPr>
              <w:keepNext w:val="0"/>
              <w:spacing w:line="259" w:lineRule="auto" w:before="0" w:after="0"/>
            </w:pPr>
            <w:r>
              <w:rPr>
                <w:b w:val="0"/>
                <w:sz w:val="20"/>
              </w:rPr>
              <w:t>Which principles and mechanisms permit a bounded analogy, and which non-analogies, risks and safeguards limit transfer?</w:t>
            </w:r>
          </w:p>
        </w:tc>
      </w:tr>
      <w:tr>
        <w:trPr>
          <w:cantSplit/>
        </w:trPr>
        <w:tc>
          <w:tcPr>
            <w:tcW w:type="dxa" w:w="792"/>
            <w:vAlign w:val="center"/>
          </w:tcPr>
          <w:p>
            <w:pPr>
              <w:keepNext w:val="0"/>
              <w:spacing w:line="259" w:lineRule="auto" w:before="0" w:after="0"/>
            </w:pPr>
            <w:r>
              <w:rPr>
                <w:b w:val="0"/>
                <w:sz w:val="20"/>
              </w:rPr>
              <w:t>H4</w:t>
            </w:r>
          </w:p>
        </w:tc>
        <w:tc>
          <w:tcPr>
            <w:tcW w:type="dxa" w:w="8568"/>
            <w:vAlign w:val="center"/>
          </w:tcPr>
          <w:p>
            <w:pPr>
              <w:keepNext w:val="0"/>
              <w:spacing w:line="259" w:lineRule="auto" w:before="0" w:after="0"/>
            </w:pPr>
            <w:r>
              <w:rPr>
                <w:b w:val="0"/>
                <w:sz w:val="20"/>
              </w:rPr>
              <w:t>How can academic warrant and multidimensional programme learning remain distinct while answering plural external knowledge and rights?</w:t>
            </w:r>
          </w:p>
        </w:tc>
      </w:tr>
      <w:tr>
        <w:trPr>
          <w:cantSplit/>
        </w:trPr>
        <w:tc>
          <w:tcPr>
            <w:tcW w:type="dxa" w:w="792"/>
            <w:vAlign w:val="center"/>
          </w:tcPr>
          <w:p>
            <w:pPr>
              <w:keepNext w:val="0"/>
              <w:spacing w:line="259" w:lineRule="auto" w:before="0" w:after="0"/>
            </w:pPr>
            <w:r>
              <w:rPr>
                <w:b w:val="0"/>
                <w:sz w:val="20"/>
              </w:rPr>
              <w:t>H5</w:t>
            </w:r>
          </w:p>
        </w:tc>
        <w:tc>
          <w:tcPr>
            <w:tcW w:type="dxa" w:w="8568"/>
            <w:vAlign w:val="center"/>
          </w:tcPr>
          <w:p>
            <w:pPr>
              <w:keepNext w:val="0"/>
              <w:spacing w:line="259" w:lineRule="auto" w:before="0" w:after="0"/>
            </w:pPr>
            <w:r>
              <w:rPr>
                <w:b w:val="0"/>
                <w:sz w:val="20"/>
              </w:rPr>
              <w:t>How can academic and external mentorship, continuing support, and an artefact with individual scholarly warrant be organised without assuming their novelty or effectiveness?</w:t>
            </w:r>
          </w:p>
        </w:tc>
      </w:tr>
    </w:tbl>
    <w:p/>
    <w:p>
      <w:pPr>
        <w:pStyle w:val="Heading1"/>
      </w:pPr>
      <w:r>
        <w:t>Analytical procedures and access</w:t>
      </w:r>
    </w:p>
    <w:p>
      <w:r>
        <w:t>The synthesis used qualitative extraction and conceptual comparison. No imputation, statistical transformation or effect estimation was applied. Statistical analysis code is not applicable. The supplementary files provide unrestricted editorial and referee access to bibliographic records, search documentation and analytical summaries. Source publications are identified through citations and links; full texts are not redistributed. The Data availability statement in the manuscript identifies S1 and S2 as the supporting materials.</w:t>
      </w:r>
    </w:p>
    <w:sectPr>
      <w:headerReference w:type="default" r:id="rId9"/>
      <w:footerReference w:type="default" r:id="rId10"/>
      <w:pgSz w:w="12240" w:h="15840"/>
      <w:pgMar w:top="1440" w:bottom="1440" w:left="1440" w:right="1440" w:header="648" w:footer="6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Supplementary Information S2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after="120" w:line="269" w:lineRule="auto" w:before="0"/>
    </w:pPr>
    <w:rPr>
      <w:rFonts w:ascii="Calibri" w:hAnsi="Calibri"/>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rPr>
      <w:rFonts w:ascii="Calibri" w:hAnsi="Calibri"/>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rPr>
      <w:rFonts w:ascii="Calibri" w:hAnsi="Calibri"/>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b/>
      <w:bCs/>
      <w:color w:val="000000"/>
    </w:rPr>
  </w:style>
  <w:style w:type="paragraph" w:styleId="Title">
    <w:name w:val="Title"/>
    <w:basedOn w:val="Normal"/>
    <w:next w:val="Normal"/>
    <w:link w:val="TitleChar"/>
    <w:uiPriority w:val="10"/>
    <w:qFormat/>
    <w:rsid w:val="00FC693F"/>
    <w:pPr>
      <w:keepNext/>
      <w:keepLines/>
      <w:spacing w:after="200" w:line="240" w:lineRule="auto" w:before="0"/>
      <w:contextualSpacing/>
    </w:pPr>
    <w:rPr>
      <w:rFonts w:asciiTheme="majorHAnsi" w:eastAsiaTheme="majorEastAsia" w:hAnsiTheme="majorHAnsi" w:cstheme="majorBidi" w:ascii="Calibri" w:hAnsi="Calibr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i/>
      <w:iCs/>
      <w:color w:val="000000"/>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alibri" w:hAnsi="Calibri"/>
      <w:color w:val="000000"/>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rFonts w:ascii="Calibri" w:hAnsi="Calibri"/>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rFonts w:ascii="Calibri" w:hAnsi="Calibri"/>
      <w:b/>
      <w:bCs/>
      <w:color w:val="000000"/>
    </w:rPr>
  </w:style>
  <w:style w:type="character" w:styleId="Emphasis">
    <w:name w:val="Emphasis"/>
    <w:basedOn w:val="DefaultParagraphFont"/>
    <w:uiPriority w:val="20"/>
    <w:qFormat/>
    <w:rsid w:val="00FC693F"/>
    <w:rPr>
      <w:rFonts w:ascii="Calibri" w:hAnsi="Calibri"/>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rFonts w:ascii="Calibri" w:hAnsi="Calibri"/>
      <w:b/>
      <w:bCs/>
      <w:i/>
      <w:iCs/>
      <w:color w:val="000000"/>
    </w:rPr>
  </w:style>
  <w:style w:type="character" w:styleId="SubtleEmphasis">
    <w:name w:val="Subtle Emphasis"/>
    <w:basedOn w:val="DefaultParagraphFont"/>
    <w:uiPriority w:val="19"/>
    <w:qFormat/>
    <w:rsid w:val="00FC693F"/>
    <w:rPr>
      <w:rFonts w:ascii="Calibri" w:hAnsi="Calibri"/>
      <w:i/>
      <w:iCs/>
      <w:color w:val="000000"/>
    </w:rPr>
  </w:style>
  <w:style w:type="character" w:styleId="IntenseEmphasis">
    <w:name w:val="Intense Emphasis"/>
    <w:basedOn w:val="DefaultParagraphFont"/>
    <w:uiPriority w:val="21"/>
    <w:qFormat/>
    <w:rsid w:val="00FC693F"/>
    <w:rPr>
      <w:rFonts w:ascii="Calibri" w:hAnsi="Calibri"/>
      <w:b/>
      <w:bCs/>
      <w:i/>
      <w:iCs/>
      <w:color w:val="000000"/>
    </w:rPr>
  </w:style>
  <w:style w:type="character" w:styleId="SubtleReference">
    <w:name w:val="Subtle Reference"/>
    <w:basedOn w:val="DefaultParagraphFont"/>
    <w:uiPriority w:val="31"/>
    <w:qFormat/>
    <w:rsid w:val="00FC693F"/>
    <w:rPr>
      <w:rFonts w:ascii="Calibri" w:hAnsi="Calibri"/>
      <w:smallCaps/>
      <w:color w:val="000000"/>
      <w:u w:val="single"/>
    </w:rPr>
  </w:style>
  <w:style w:type="character" w:styleId="IntenseReference">
    <w:name w:val="Intense Reference"/>
    <w:basedOn w:val="DefaultParagraphFont"/>
    <w:uiPriority w:val="32"/>
    <w:qFormat/>
    <w:rsid w:val="00FC693F"/>
    <w:rPr>
      <w:rFonts w:ascii="Calibri" w:hAnsi="Calibri"/>
      <w:b/>
      <w:bCs/>
      <w:smallCaps/>
      <w:color w:val="000000"/>
      <w:spacing w:val="5"/>
      <w:u w:val="single"/>
    </w:rPr>
  </w:style>
  <w:style w:type="character" w:styleId="BookTitle">
    <w:name w:val="Book Title"/>
    <w:basedOn w:val="DefaultParagraphFont"/>
    <w:uiPriority w:val="33"/>
    <w:qFormat/>
    <w:rsid w:val="00FC693F"/>
    <w:rPr>
      <w:rFonts w:ascii="Calibri" w:hAnsi="Calibri"/>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S2</dc:title>
  <dc:creator/>
  <cp:lastModifiedBy/>
  <dc:description/>
  <cp:keywords/>
  <cp:category/>
  <dc:subject/>
  <cp:revision>1</cp:revision>
</cp:coreProperties>
</file>