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29F51B">
      <w:pPr>
        <w:pStyle w:val="31"/>
        <w:spacing w:after="160"/>
        <w:jc w:val="center"/>
      </w:pPr>
      <w:r>
        <w:rPr>
          <w:rFonts w:ascii="Arial" w:hAnsi="Arial" w:eastAsia="Arial" w:cs="Arial"/>
          <w:b/>
          <w:sz w:val="32"/>
        </w:rPr>
        <w:t>Supplementary Information</w:t>
      </w:r>
    </w:p>
    <w:p w14:paraId="2044A18B">
      <w:pPr>
        <w:spacing w:after="160"/>
        <w:jc w:val="center"/>
      </w:pPr>
      <w:r>
        <w:rPr>
          <w:rFonts w:ascii="Arial" w:hAnsi="Arial" w:eastAsia="Arial" w:cs="Arial"/>
          <w:b/>
          <w:sz w:val="26"/>
        </w:rPr>
        <w:t>Bone marrow mesenchymal stem cell-derived exosomal miR-425-5p attenuates diabetic nephropathy by suppressing podocyte WTAP/MET/GSK3β signalling</w:t>
      </w:r>
    </w:p>
    <w:p w14:paraId="17C22173">
      <w:pPr>
        <w:spacing w:after="140"/>
        <w:jc w:val="left"/>
      </w:pPr>
      <w:r>
        <w:rPr>
          <w:rFonts w:ascii="Arial" w:hAnsi="Arial" w:eastAsia="Arial" w:cs="Arial"/>
          <w:sz w:val="21"/>
        </w:rPr>
        <w:t>Xianpeng Zhang</w:t>
      </w:r>
      <w:r>
        <w:rPr>
          <w:rFonts w:ascii="Arial" w:hAnsi="Arial" w:eastAsia="Arial" w:cs="Arial"/>
          <w:sz w:val="17"/>
          <w:vertAlign w:val="superscript"/>
        </w:rPr>
        <w:t>1,2,3</w:t>
      </w:r>
      <w:r>
        <w:rPr>
          <w:rFonts w:ascii="Arial" w:hAnsi="Arial" w:eastAsia="Arial" w:cs="Arial"/>
          <w:sz w:val="21"/>
        </w:rPr>
        <w:t>, Xiaohui Sun</w:t>
      </w:r>
      <w:r>
        <w:rPr>
          <w:rFonts w:ascii="Arial" w:hAnsi="Arial" w:eastAsia="Arial" w:cs="Arial"/>
          <w:sz w:val="17"/>
          <w:vertAlign w:val="superscript"/>
        </w:rPr>
        <w:t>1,2,3</w:t>
      </w:r>
      <w:r>
        <w:rPr>
          <w:rFonts w:ascii="Arial" w:hAnsi="Arial" w:eastAsia="Arial" w:cs="Arial"/>
          <w:sz w:val="21"/>
        </w:rPr>
        <w:t>, Yuqi Lei</w:t>
      </w:r>
      <w:r>
        <w:rPr>
          <w:rFonts w:ascii="Arial" w:hAnsi="Arial" w:eastAsia="Arial" w:cs="Arial"/>
          <w:sz w:val="17"/>
          <w:vertAlign w:val="superscript"/>
        </w:rPr>
        <w:t>1,2,3</w:t>
      </w:r>
      <w:r>
        <w:rPr>
          <w:rFonts w:ascii="Arial" w:hAnsi="Arial" w:eastAsia="Arial" w:cs="Arial"/>
          <w:sz w:val="21"/>
        </w:rPr>
        <w:t>, Wenqing Chen</w:t>
      </w:r>
      <w:r>
        <w:rPr>
          <w:rFonts w:ascii="Arial" w:hAnsi="Arial" w:eastAsia="Arial" w:cs="Arial"/>
          <w:sz w:val="17"/>
          <w:vertAlign w:val="superscript"/>
        </w:rPr>
        <w:t>1,2,3</w:t>
      </w:r>
      <w:r>
        <w:rPr>
          <w:rFonts w:ascii="Arial" w:hAnsi="Arial" w:eastAsia="Arial" w:cs="Arial"/>
          <w:sz w:val="21"/>
        </w:rPr>
        <w:t>, Min Chen</w:t>
      </w:r>
      <w:r>
        <w:rPr>
          <w:rFonts w:ascii="Arial" w:hAnsi="Arial" w:eastAsia="Arial" w:cs="Arial"/>
          <w:sz w:val="17"/>
          <w:vertAlign w:val="superscript"/>
        </w:rPr>
        <w:t>2,3*</w:t>
      </w:r>
      <w:r>
        <w:rPr>
          <w:rFonts w:ascii="Arial" w:hAnsi="Arial" w:eastAsia="Arial" w:cs="Arial"/>
          <w:sz w:val="21"/>
        </w:rPr>
        <w:t>, Sijie Zhou</w:t>
      </w:r>
      <w:r>
        <w:rPr>
          <w:rFonts w:ascii="Arial" w:hAnsi="Arial" w:eastAsia="Arial" w:cs="Arial"/>
          <w:sz w:val="17"/>
          <w:vertAlign w:val="superscript"/>
        </w:rPr>
        <w:t>1,2,3*</w:t>
      </w:r>
      <w:r>
        <w:rPr>
          <w:rFonts w:ascii="Arial" w:hAnsi="Arial" w:eastAsia="Arial" w:cs="Arial"/>
          <w:sz w:val="21"/>
        </w:rPr>
        <w:t>, Yanfang Lu</w:t>
      </w:r>
      <w:r>
        <w:rPr>
          <w:rFonts w:ascii="Arial" w:hAnsi="Arial" w:eastAsia="Arial" w:cs="Arial"/>
          <w:sz w:val="17"/>
          <w:vertAlign w:val="superscript"/>
        </w:rPr>
        <w:t>1,2,3*</w:t>
      </w:r>
    </w:p>
    <w:p w14:paraId="34754B03">
      <w:pPr>
        <w:spacing w:after="30"/>
        <w:jc w:val="left"/>
      </w:pPr>
      <w:r>
        <w:rPr>
          <w:rFonts w:ascii="Arial" w:hAnsi="Arial" w:eastAsia="Arial" w:cs="Arial"/>
          <w:sz w:val="16"/>
          <w:vertAlign w:val="superscript"/>
        </w:rPr>
        <w:t>1</w:t>
      </w:r>
      <w:r>
        <w:rPr>
          <w:rFonts w:ascii="Arial" w:hAnsi="Arial" w:eastAsia="Arial" w:cs="Arial"/>
          <w:sz w:val="17"/>
        </w:rPr>
        <w:t xml:space="preserve"> Department of Nephrology, The First Affiliated Hospital of Zhengzhou University, Zhengzhou 450052, China.</w:t>
      </w:r>
    </w:p>
    <w:p w14:paraId="297B351D">
      <w:pPr>
        <w:spacing w:after="30"/>
        <w:jc w:val="left"/>
      </w:pPr>
      <w:r>
        <w:rPr>
          <w:rFonts w:ascii="Arial" w:hAnsi="Arial" w:eastAsia="Arial" w:cs="Arial"/>
          <w:sz w:val="16"/>
          <w:vertAlign w:val="superscript"/>
        </w:rPr>
        <w:t>2</w:t>
      </w:r>
      <w:r>
        <w:rPr>
          <w:rFonts w:ascii="Arial" w:hAnsi="Arial" w:eastAsia="Arial" w:cs="Arial"/>
          <w:sz w:val="17"/>
        </w:rPr>
        <w:t xml:space="preserve"> Clinical</w:t>
      </w:r>
      <w:r>
        <w:rPr>
          <w:rFonts w:hint="eastAsia" w:eastAsia="宋体" w:cs="Arial"/>
          <w:sz w:val="17"/>
          <w:lang w:val="en-US" w:eastAsia="zh-CN"/>
        </w:rPr>
        <w:t xml:space="preserve"> </w:t>
      </w:r>
      <w:r>
        <w:rPr>
          <w:rFonts w:ascii="Arial" w:hAnsi="Arial" w:eastAsia="Arial" w:cs="Arial"/>
          <w:sz w:val="17"/>
        </w:rPr>
        <w:t>Research Center for Kidney Disease</w:t>
      </w:r>
      <w:r>
        <w:rPr>
          <w:rFonts w:hint="eastAsia" w:eastAsia="宋体" w:cs="Arial"/>
          <w:sz w:val="17"/>
          <w:lang w:val="en-US" w:eastAsia="zh-CN"/>
        </w:rPr>
        <w:t xml:space="preserve"> </w:t>
      </w:r>
      <w:r>
        <w:rPr>
          <w:rFonts w:ascii="Arial" w:hAnsi="Arial" w:eastAsia="Arial" w:cs="Arial"/>
          <w:sz w:val="17"/>
        </w:rPr>
        <w:t>in Henan Province, Zhengzhou 450052, China.</w:t>
      </w:r>
    </w:p>
    <w:p w14:paraId="02890472">
      <w:pPr>
        <w:spacing w:after="30"/>
        <w:jc w:val="left"/>
      </w:pPr>
      <w:r>
        <w:rPr>
          <w:rFonts w:hint="eastAsia" w:eastAsia="宋体" w:cs="Arial"/>
          <w:sz w:val="16"/>
          <w:vertAlign w:val="superscript"/>
          <w:lang w:val="en-US" w:eastAsia="zh-CN"/>
        </w:rPr>
        <w:t>3</w:t>
      </w:r>
      <w:r>
        <w:rPr>
          <w:rFonts w:ascii="Arial" w:hAnsi="Arial" w:eastAsia="Arial" w:cs="Arial"/>
          <w:sz w:val="17"/>
        </w:rPr>
        <w:t xml:space="preserve"> Key Laboratory of P</w:t>
      </w:r>
      <w:bookmarkStart w:id="0" w:name="_GoBack"/>
      <w:bookmarkEnd w:id="0"/>
      <w:r>
        <w:rPr>
          <w:rFonts w:ascii="Arial" w:hAnsi="Arial" w:eastAsia="Arial" w:cs="Arial"/>
          <w:sz w:val="17"/>
        </w:rPr>
        <w:t>recision Diagnosis and Treatment for Chronic Kidney Disease in Henan Province, Zhengzhou 450052, China.</w:t>
      </w:r>
    </w:p>
    <w:p w14:paraId="6780B565">
      <w:pPr>
        <w:pStyle w:val="3"/>
        <w:jc w:val="left"/>
      </w:pPr>
      <w:r>
        <w:t>Supplementary Figures</w:t>
      </w:r>
    </w:p>
    <w:tbl>
      <w:tblPr>
        <w:tblStyle w:val="32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2"/>
      </w:tblGrid>
      <w:tr w14:paraId="7D606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9" w:hRule="exact"/>
          <w:jc w:val="center"/>
        </w:trPr>
        <w:tc>
          <w:tcPr>
            <w:tcW w:w="8928" w:type="dxa"/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B2E93DE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5942330" cy="3965575"/>
                  <wp:effectExtent l="0" t="0" r="1270" b="9525"/>
                  <wp:docPr id="2" name="图片 2" descr="Supplement Figure S1-2026年8月22日修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Supplement Figure S1-2026年8月22日修改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2330" cy="3965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EEC94B">
      <w:pPr>
        <w:pStyle w:val="15"/>
        <w:keepLines/>
      </w:pPr>
      <w:r>
        <w:rPr>
          <w:rFonts w:ascii="Arial" w:hAnsi="Arial" w:eastAsia="Arial" w:cs="Arial"/>
          <w:sz w:val="18"/>
        </w:rPr>
        <w:t>Supplementary Figure 1. WTAP knockout/knockdown validation and selection of candidate MET m6A regions. (A) Representative WTAP immunoblot in negative-control (NC) and CRISPR/Cas9-generated WTAP-knockout (WTAP-KO) human podocytes. (B) Full-length SRAMP prediction of candidate m6A sites across mouse Met mRNA. The enlarged region shows three candidate regions centred at positions 718, 837, and 1233 with their predicted sequence motifs; these regions were selected for m6A-RIP-qPCR validation. (C,D) Representative WTAP immunoblot (C) and qRT-PCR analysis (D) in untreated MPC-5 cells (CON) and cells transduced with LV-shNC or LV-shWTAP-1, -2, or -3. Data in D are mean ± SD, with three values per group. **P &lt; 0.01; ****P &lt; 0.0001; ns, not significant. m6A, N6-methyladenosine; qRT-PCR, quantitative real-time PCR; SD, standard deviation; WTAP, WT1-associated protein.</w:t>
      </w:r>
    </w:p>
    <w:p w14:paraId="4D91389E">
      <w:r>
        <w:br w:type="page"/>
      </w:r>
    </w:p>
    <w:tbl>
      <w:tblPr>
        <w:tblStyle w:val="32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2"/>
      </w:tblGrid>
      <w:tr w14:paraId="59CD1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5" w:hRule="exact"/>
          <w:jc w:val="center"/>
        </w:trPr>
        <w:tc>
          <w:tcPr>
            <w:tcW w:w="8928" w:type="dxa"/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37E55FA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5943600" cy="1453515"/>
                  <wp:effectExtent l="0" t="0" r="0" b="6985"/>
                  <wp:docPr id="3" name="图片 3" descr="Supplement Figure S2-2026年8月22日修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Supplement Figure S2-2026年8月22日修改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1453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B1130D">
      <w:pPr>
        <w:pStyle w:val="15"/>
        <w:keepLines/>
      </w:pPr>
      <w:r>
        <w:rPr>
          <w:rFonts w:ascii="Arial" w:hAnsi="Arial" w:eastAsia="Arial" w:cs="Arial"/>
          <w:sz w:val="18"/>
        </w:rPr>
        <w:t>Supplementary Figure 2. Flow cytometry gating strategy for Annexin V/PI apoptosis analysis in MPC-5 cells. (A) FSC-A/SSC-A gating excludes debris and defines the intact-cell P1 population for downstream apoptosis analysis. (B) Annexin V-FITC/PI quadrant gating separates viable, early apoptotic, late apoptotic, and necrotic cells. Total apoptosis was calculated as the sum of early and late apoptotic populations. FITC, fluorescein isothiocyanate; FSC-A, forward-scatter area; PI, propidium iodide; SSC-A, side-scatter area.</w:t>
      </w:r>
    </w:p>
    <w:p w14:paraId="68659785">
      <w:r>
        <w:br w:type="page"/>
      </w:r>
    </w:p>
    <w:tbl>
      <w:tblPr>
        <w:tblStyle w:val="32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2"/>
      </w:tblGrid>
      <w:tr w14:paraId="60C1E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3" w:hRule="exact"/>
          <w:jc w:val="center"/>
        </w:trPr>
        <w:tc>
          <w:tcPr>
            <w:tcW w:w="8928" w:type="dxa"/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7FB021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5944235" cy="4819650"/>
                  <wp:effectExtent l="0" t="0" r="12065" b="6350"/>
                  <wp:docPr id="4" name="图片 4" descr="Supplement Figure S3-2026年8月22日修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Supplement Figure S3-2026年8月22日修改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4235" cy="481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97AF41">
      <w:pPr>
        <w:pStyle w:val="15"/>
        <w:keepLines/>
      </w:pPr>
      <w:r>
        <w:rPr>
          <w:rFonts w:ascii="Arial" w:hAnsi="Arial" w:eastAsia="Arial" w:cs="Arial"/>
          <w:sz w:val="18"/>
        </w:rPr>
        <w:t>Supplementary Figure 3. Multidomain prioritization of miR-425-5p among candidate WTAP-targeting miRNAs. (A) Renal expression evidence for the three candidate miRNAs identified by the intersection analysis in Figure 5C. Open circles show individual values (three per group); filled circles and error bars indicate mean ± SD. Absolute fold change, nominal P values, and adjusted P values are shown beneath each candidate. (B) Source-balanced evidence matrix summarizing expression, target prediction, AGO-CLIP, and conservation metrics. Shading denotes within-metric rank among the three candidates, with darker blue indicating stronger support. (C) Leave-one-domain-out sensitivity analysis of the combined prioritization. miR-425-5p remained ranked first when all domains were included and when each domain was omitted in turn. AGO-CLIP, Argonaute cross-linking and immunoprecipitation; adj. P, adjusted P value; DN, diabetic nephropathy; FC, fold change; miRNA, microRNA; PCT, probability of conserved targeting; SD, standard deviation; TS, TargetScan; WTAP, WT1-associated protein.</w:t>
      </w:r>
    </w:p>
    <w:p w14:paraId="17ED9CC2">
      <w:r>
        <w:br w:type="page"/>
      </w:r>
    </w:p>
    <w:tbl>
      <w:tblPr>
        <w:tblStyle w:val="32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2"/>
      </w:tblGrid>
      <w:tr w14:paraId="51A10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0" w:hRule="exact"/>
          <w:jc w:val="center"/>
        </w:trPr>
        <w:tc>
          <w:tcPr>
            <w:tcW w:w="8928" w:type="dxa"/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DC2CDF0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5939790" cy="7858125"/>
                  <wp:effectExtent l="0" t="0" r="3810" b="3175"/>
                  <wp:docPr id="5" name="图片 5" descr="Supplement Figure S4-2026年8月22日修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Supplement Figure S4-2026年8月22日修改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9790" cy="785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C7B841">
      <w:pPr>
        <w:pStyle w:val="15"/>
        <w:keepLines/>
      </w:pPr>
      <w:r>
        <w:rPr>
          <w:rFonts w:ascii="Arial" w:hAnsi="Arial" w:eastAsia="Arial" w:cs="Arial"/>
          <w:sz w:val="18"/>
        </w:rPr>
        <w:t>Supplementary Figure 4. Multilineage differentiation and flow cytometric immunophenotyping of mouse BMSCs. (A) Oil Red O staining confirms adipogenic differentiation of mouse BMSCs. (B) Alizarin Red S staining shows osteogenic matrix mineralization. (C) Alcian Blue staining shows chondrogenic differentiation. Scale bars, 50 μm. (D) Flow cytometry histograms show high expression of MSC-positive markers CD29, CD90, CD166, CD73, and CD105 and low expression of CD31, CD45, HLA-DR, CD34, and CD11b. (E) FSC-A/SSC-A gating defines the intact-cell population used for BMSC analysis. (F) Representative CD29 histogram illustrates marker-gate placement. (G) Isotype-overlaid histograms compare specific antibody signals with matched controls. Together, these panels support the mesenchymal phenotype of the isolated BMSCs. BMSC, bone marrow mesenchymal stem cell; FSC-A, forward-scatter area; MSC, mesenchymal stem cell; SSC-A, side-scatter area.</w:t>
      </w:r>
    </w:p>
    <w:p w14:paraId="27E1707C">
      <w:pPr>
        <w:sectPr>
          <w:footerReference r:id="rId5" w:type="default"/>
          <w:pgSz w:w="11906" w:h="16838"/>
          <w:pgMar w:top="1152" w:right="1152" w:bottom="1152" w:left="1152" w:header="504" w:footer="576" w:gutter="0"/>
          <w:cols w:space="720" w:num="1"/>
          <w:docGrid w:linePitch="360" w:charSpace="0"/>
        </w:sectPr>
      </w:pPr>
    </w:p>
    <w:p w14:paraId="27E4FDEB">
      <w:pPr>
        <w:pStyle w:val="3"/>
        <w:jc w:val="left"/>
      </w:pPr>
      <w:r>
        <w:t>Supplementary Tables</w:t>
      </w:r>
    </w:p>
    <w:p w14:paraId="565FCCAD">
      <w:pPr>
        <w:pStyle w:val="15"/>
        <w:keepNext/>
      </w:pPr>
      <w:r>
        <w:t>Supplementary Table 1. Oligonucleotide, shRNA/sgRNA, anti-miR, reporter and qPCR sequence information.</w:t>
      </w:r>
    </w:p>
    <w:tbl>
      <w:tblPr>
        <w:tblStyle w:val="32"/>
        <w:tblW w:w="0" w:type="auto"/>
        <w:jc w:val="center"/>
        <w:tblBorders>
          <w:top w:val="single" w:color="7F7F7F" w:sz="4" w:space="0"/>
          <w:left w:val="single" w:color="7F7F7F" w:sz="4" w:space="0"/>
          <w:bottom w:val="single" w:color="7F7F7F" w:sz="4" w:space="0"/>
          <w:right w:val="single" w:color="7F7F7F" w:sz="4" w:space="0"/>
          <w:insideH w:val="single" w:color="7F7F7F" w:sz="4" w:space="0"/>
          <w:insideV w:val="single" w:color="7F7F7F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0"/>
        <w:gridCol w:w="2520"/>
        <w:gridCol w:w="2520"/>
        <w:gridCol w:w="2520"/>
      </w:tblGrid>
      <w:tr w14:paraId="48577846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3384" w:type="dxa"/>
            <w:shd w:val="clear" w:color="auto" w:fill="D9E2F3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3B70E34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6"/>
              </w:rPr>
              <w:t>Application</w:t>
            </w:r>
          </w:p>
        </w:tc>
        <w:tc>
          <w:tcPr>
            <w:tcW w:w="3240" w:type="dxa"/>
            <w:shd w:val="clear" w:color="auto" w:fill="D9E2F3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CCA197F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6"/>
              </w:rPr>
              <w:t>Name</w:t>
            </w:r>
          </w:p>
        </w:tc>
        <w:tc>
          <w:tcPr>
            <w:tcW w:w="4536" w:type="dxa"/>
            <w:shd w:val="clear" w:color="auto" w:fill="D9E2F3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82D05DB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6"/>
              </w:rPr>
              <w:t>Sequence (5′-3′)</w:t>
            </w:r>
          </w:p>
        </w:tc>
        <w:tc>
          <w:tcPr>
            <w:tcW w:w="3528" w:type="dxa"/>
            <w:shd w:val="clear" w:color="auto" w:fill="D9E2F3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C55DC9A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6"/>
              </w:rPr>
              <w:t>Provider</w:t>
            </w:r>
          </w:p>
        </w:tc>
      </w:tr>
      <w:tr w14:paraId="3253A346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38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5357AEF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m</w:t>
            </w:r>
            <w:r>
              <w:rPr>
                <w:rFonts w:ascii="Arial" w:hAnsi="Arial" w:eastAsia="Arial" w:cs="Arial"/>
                <w:b w:val="0"/>
                <w:i w:val="0"/>
                <w:sz w:val="16"/>
                <w:vertAlign w:val="superscript"/>
              </w:rPr>
              <w:t>6</w:t>
            </w:r>
            <w:r>
              <w:rPr>
                <w:rFonts w:ascii="Arial" w:hAnsi="Arial" w:eastAsia="Arial" w:cs="Arial"/>
                <w:b w:val="0"/>
                <w:i w:val="0"/>
                <w:sz w:val="16"/>
              </w:rPr>
              <w:t>A-RIP-qPCR for mouse MET Position-718</w:t>
            </w:r>
          </w:p>
        </w:tc>
        <w:tc>
          <w:tcPr>
            <w:tcW w:w="3240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4D3E42BC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Forward-1</w:t>
            </w:r>
          </w:p>
        </w:tc>
        <w:tc>
          <w:tcPr>
            <w:tcW w:w="453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99759C0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TATCTCGGAGCCACAAACTAC</w:t>
            </w:r>
          </w:p>
        </w:tc>
        <w:tc>
          <w:tcPr>
            <w:tcW w:w="352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51DFF86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Wuhan Kangce Technology Co., Ltd.</w:t>
            </w:r>
          </w:p>
        </w:tc>
      </w:tr>
      <w:tr w14:paraId="147049A0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38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4D138DE7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m</w:t>
            </w:r>
            <w:r>
              <w:rPr>
                <w:rFonts w:ascii="Arial" w:hAnsi="Arial" w:eastAsia="Arial" w:cs="Arial"/>
                <w:b w:val="0"/>
                <w:i w:val="0"/>
                <w:sz w:val="16"/>
                <w:vertAlign w:val="superscript"/>
              </w:rPr>
              <w:t>6</w:t>
            </w:r>
            <w:r>
              <w:rPr>
                <w:rFonts w:ascii="Arial" w:hAnsi="Arial" w:eastAsia="Arial" w:cs="Arial"/>
                <w:b w:val="0"/>
                <w:i w:val="0"/>
                <w:sz w:val="16"/>
              </w:rPr>
              <w:t>A-RIP-qPCR for mouse MET Position-718</w:t>
            </w:r>
          </w:p>
        </w:tc>
        <w:tc>
          <w:tcPr>
            <w:tcW w:w="3240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E18EDFF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Reverse-1</w:t>
            </w:r>
          </w:p>
        </w:tc>
        <w:tc>
          <w:tcPr>
            <w:tcW w:w="453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53B5C97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CCTCCTGATGAATTGGCTTTG</w:t>
            </w:r>
          </w:p>
        </w:tc>
        <w:tc>
          <w:tcPr>
            <w:tcW w:w="352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C94BEFA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Wuhan Kangce Technology Co., Ltd.</w:t>
            </w:r>
          </w:p>
        </w:tc>
      </w:tr>
      <w:tr w14:paraId="622A6192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38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1779289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m</w:t>
            </w:r>
            <w:r>
              <w:rPr>
                <w:rFonts w:ascii="Arial" w:hAnsi="Arial" w:eastAsia="Arial" w:cs="Arial"/>
                <w:b w:val="0"/>
                <w:i w:val="0"/>
                <w:sz w:val="16"/>
                <w:vertAlign w:val="superscript"/>
              </w:rPr>
              <w:t>6</w:t>
            </w:r>
            <w:r>
              <w:rPr>
                <w:rFonts w:ascii="Arial" w:hAnsi="Arial" w:eastAsia="Arial" w:cs="Arial"/>
                <w:b w:val="0"/>
                <w:i w:val="0"/>
                <w:sz w:val="16"/>
              </w:rPr>
              <w:t>A-RIP-qPCR for mouse MET Position-837</w:t>
            </w:r>
          </w:p>
        </w:tc>
        <w:tc>
          <w:tcPr>
            <w:tcW w:w="3240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1833E11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Forward-2</w:t>
            </w:r>
          </w:p>
        </w:tc>
        <w:tc>
          <w:tcPr>
            <w:tcW w:w="453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9430600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GGCTCTGCTTGTTGACACATA</w:t>
            </w:r>
          </w:p>
        </w:tc>
        <w:tc>
          <w:tcPr>
            <w:tcW w:w="352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823369C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Wuhan Kangce Technology Co., Ltd.</w:t>
            </w:r>
          </w:p>
        </w:tc>
      </w:tr>
      <w:tr w14:paraId="71E6AB16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38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A59E682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m</w:t>
            </w:r>
            <w:r>
              <w:rPr>
                <w:rFonts w:ascii="Arial" w:hAnsi="Arial" w:eastAsia="Arial" w:cs="Arial"/>
                <w:b w:val="0"/>
                <w:i w:val="0"/>
                <w:sz w:val="16"/>
                <w:vertAlign w:val="superscript"/>
              </w:rPr>
              <w:t>6</w:t>
            </w:r>
            <w:r>
              <w:rPr>
                <w:rFonts w:ascii="Arial" w:hAnsi="Arial" w:eastAsia="Arial" w:cs="Arial"/>
                <w:b w:val="0"/>
                <w:i w:val="0"/>
                <w:sz w:val="16"/>
              </w:rPr>
              <w:t>A-RIP-qPCR for mouse MET Position-837</w:t>
            </w:r>
          </w:p>
        </w:tc>
        <w:tc>
          <w:tcPr>
            <w:tcW w:w="3240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28FB430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Reverse-2</w:t>
            </w:r>
          </w:p>
        </w:tc>
        <w:tc>
          <w:tcPr>
            <w:tcW w:w="453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4E73B47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AGACTGGATGTCAGCAGAATTG</w:t>
            </w:r>
          </w:p>
        </w:tc>
        <w:tc>
          <w:tcPr>
            <w:tcW w:w="352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E453782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Wuhan Kangce Technology Co., Ltd.</w:t>
            </w:r>
          </w:p>
        </w:tc>
      </w:tr>
      <w:tr w14:paraId="611AFF85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38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397F0BD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m</w:t>
            </w:r>
            <w:r>
              <w:rPr>
                <w:rFonts w:ascii="Arial" w:hAnsi="Arial" w:eastAsia="Arial" w:cs="Arial"/>
                <w:b w:val="0"/>
                <w:i w:val="0"/>
                <w:sz w:val="16"/>
                <w:vertAlign w:val="superscript"/>
              </w:rPr>
              <w:t>6</w:t>
            </w:r>
            <w:r>
              <w:rPr>
                <w:rFonts w:ascii="Arial" w:hAnsi="Arial" w:eastAsia="Arial" w:cs="Arial"/>
                <w:b w:val="0"/>
                <w:i w:val="0"/>
                <w:sz w:val="16"/>
              </w:rPr>
              <w:t>A-RIP-qPCR for mouse MET Position-1233</w:t>
            </w:r>
          </w:p>
        </w:tc>
        <w:tc>
          <w:tcPr>
            <w:tcW w:w="3240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078D01C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Forward-3</w:t>
            </w:r>
          </w:p>
        </w:tc>
        <w:tc>
          <w:tcPr>
            <w:tcW w:w="453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1D45C5A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GCCTTCGAAAGCAACCATTT</w:t>
            </w:r>
          </w:p>
        </w:tc>
        <w:tc>
          <w:tcPr>
            <w:tcW w:w="352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B4D19CF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Wuhan Kangce Technology Co., Ltd.</w:t>
            </w:r>
          </w:p>
        </w:tc>
      </w:tr>
      <w:tr w14:paraId="497A3351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38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6D0DAFB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m</w:t>
            </w:r>
            <w:r>
              <w:rPr>
                <w:rFonts w:ascii="Arial" w:hAnsi="Arial" w:eastAsia="Arial" w:cs="Arial"/>
                <w:b w:val="0"/>
                <w:i w:val="0"/>
                <w:sz w:val="16"/>
                <w:vertAlign w:val="superscript"/>
              </w:rPr>
              <w:t>6</w:t>
            </w:r>
            <w:r>
              <w:rPr>
                <w:rFonts w:ascii="Arial" w:hAnsi="Arial" w:eastAsia="Arial" w:cs="Arial"/>
                <w:b w:val="0"/>
                <w:i w:val="0"/>
                <w:sz w:val="16"/>
              </w:rPr>
              <w:t>A-RIP-qPCR for mouse MET Position-1233</w:t>
            </w:r>
          </w:p>
        </w:tc>
        <w:tc>
          <w:tcPr>
            <w:tcW w:w="3240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7A564ED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Reverse-3</w:t>
            </w:r>
          </w:p>
        </w:tc>
        <w:tc>
          <w:tcPr>
            <w:tcW w:w="453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9CD8DC2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GTCTACGGAACAGAACCTGATTAT</w:t>
            </w:r>
          </w:p>
        </w:tc>
        <w:tc>
          <w:tcPr>
            <w:tcW w:w="352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C14413F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Wuhan Kangce Technology Co., Ltd.</w:t>
            </w:r>
          </w:p>
        </w:tc>
      </w:tr>
      <w:tr w14:paraId="7E4A9C03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38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9608DA4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qPCR</w:t>
            </w:r>
          </w:p>
        </w:tc>
        <w:tc>
          <w:tcPr>
            <w:tcW w:w="3240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4DD56B6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mouse-Met-F</w:t>
            </w:r>
          </w:p>
        </w:tc>
        <w:tc>
          <w:tcPr>
            <w:tcW w:w="453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4660ABEA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GCCGGCGGTTTATAAGGTGT</w:t>
            </w:r>
          </w:p>
        </w:tc>
        <w:tc>
          <w:tcPr>
            <w:tcW w:w="352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F5B16BB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Tsingke Biotech</w:t>
            </w:r>
          </w:p>
        </w:tc>
      </w:tr>
      <w:tr w14:paraId="390AC5FD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38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194FC3B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qPCR</w:t>
            </w:r>
          </w:p>
        </w:tc>
        <w:tc>
          <w:tcPr>
            <w:tcW w:w="3240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53A8677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mouse-Met-R</w:t>
            </w:r>
          </w:p>
        </w:tc>
        <w:tc>
          <w:tcPr>
            <w:tcW w:w="453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C548DE4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AGGTACAGCTCTCGTTGCCA</w:t>
            </w:r>
          </w:p>
        </w:tc>
        <w:tc>
          <w:tcPr>
            <w:tcW w:w="352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EF76A0C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Tsingke Biotech</w:t>
            </w:r>
          </w:p>
        </w:tc>
      </w:tr>
      <w:tr w14:paraId="6F9280EC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38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7B9CDC2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qPCR</w:t>
            </w:r>
          </w:p>
        </w:tc>
        <w:tc>
          <w:tcPr>
            <w:tcW w:w="3240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7D486F7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mouse-WTAP-F</w:t>
            </w:r>
          </w:p>
        </w:tc>
        <w:tc>
          <w:tcPr>
            <w:tcW w:w="453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2A083E6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CCAGTACCTCAAGCAAGTTCAGC</w:t>
            </w:r>
          </w:p>
        </w:tc>
        <w:tc>
          <w:tcPr>
            <w:tcW w:w="352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945B57D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Tsingke Biotech</w:t>
            </w:r>
          </w:p>
        </w:tc>
      </w:tr>
      <w:tr w14:paraId="772805B1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38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2128B8F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qPCR</w:t>
            </w:r>
          </w:p>
        </w:tc>
        <w:tc>
          <w:tcPr>
            <w:tcW w:w="3240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78DF32C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mouse-WTAP-R</w:t>
            </w:r>
          </w:p>
        </w:tc>
        <w:tc>
          <w:tcPr>
            <w:tcW w:w="453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056C419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GCGTAAACTTCCAGGCACTCAG</w:t>
            </w:r>
          </w:p>
        </w:tc>
        <w:tc>
          <w:tcPr>
            <w:tcW w:w="352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6C7DF6C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Tsingke Biotech</w:t>
            </w:r>
          </w:p>
        </w:tc>
      </w:tr>
      <w:tr w14:paraId="19CFB617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38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5D4CDAE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qPCR</w:t>
            </w:r>
          </w:p>
        </w:tc>
        <w:tc>
          <w:tcPr>
            <w:tcW w:w="3240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6796A6F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mouse-GAPDH-F</w:t>
            </w:r>
          </w:p>
        </w:tc>
        <w:tc>
          <w:tcPr>
            <w:tcW w:w="453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66E45F1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GCAAATTCAACGGCACAGTCAAG</w:t>
            </w:r>
          </w:p>
        </w:tc>
        <w:tc>
          <w:tcPr>
            <w:tcW w:w="352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8DEF9FD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Tsingke Biotech</w:t>
            </w:r>
          </w:p>
        </w:tc>
      </w:tr>
      <w:tr w14:paraId="0064B05F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38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7D8CAAD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qPCR</w:t>
            </w:r>
          </w:p>
        </w:tc>
        <w:tc>
          <w:tcPr>
            <w:tcW w:w="3240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09641AB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mouse-GAPDH-R</w:t>
            </w:r>
          </w:p>
        </w:tc>
        <w:tc>
          <w:tcPr>
            <w:tcW w:w="453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4C34F8B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TCGCTCCTGGAAGATGGTGATG</w:t>
            </w:r>
          </w:p>
        </w:tc>
        <w:tc>
          <w:tcPr>
            <w:tcW w:w="352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5DFC6FB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Tsingke Biotech</w:t>
            </w:r>
          </w:p>
        </w:tc>
      </w:tr>
      <w:tr w14:paraId="402FB509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38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C2D6711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Lentiviral WTAP knockdown</w:t>
            </w:r>
          </w:p>
        </w:tc>
        <w:tc>
          <w:tcPr>
            <w:tcW w:w="3240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A8E7F31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shNC</w:t>
            </w:r>
          </w:p>
        </w:tc>
        <w:tc>
          <w:tcPr>
            <w:tcW w:w="453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F90A835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TTCTCCGAACGTGTCACGT</w:t>
            </w:r>
          </w:p>
        </w:tc>
        <w:tc>
          <w:tcPr>
            <w:tcW w:w="352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DADE34F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GeneChem</w:t>
            </w:r>
          </w:p>
        </w:tc>
      </w:tr>
      <w:tr w14:paraId="46B45CCE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38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8855326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Lentiviral WTAP knockdown</w:t>
            </w:r>
          </w:p>
        </w:tc>
        <w:tc>
          <w:tcPr>
            <w:tcW w:w="3240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C33FBF9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shWTAP-1</w:t>
            </w:r>
          </w:p>
        </w:tc>
        <w:tc>
          <w:tcPr>
            <w:tcW w:w="453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2686A89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GCACGGGATGAGTTAATTCTA</w:t>
            </w:r>
          </w:p>
        </w:tc>
        <w:tc>
          <w:tcPr>
            <w:tcW w:w="352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B368A7E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GeneChem</w:t>
            </w:r>
          </w:p>
        </w:tc>
      </w:tr>
      <w:tr w14:paraId="3D67EE78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38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328D299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Lentiviral WTAP knockdown</w:t>
            </w:r>
          </w:p>
        </w:tc>
        <w:tc>
          <w:tcPr>
            <w:tcW w:w="3240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5307A7C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shWTAP-2</w:t>
            </w:r>
          </w:p>
        </w:tc>
        <w:tc>
          <w:tcPr>
            <w:tcW w:w="453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4E6132C9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CCTGGAAGTTTACGCCTGATA</w:t>
            </w:r>
          </w:p>
        </w:tc>
        <w:tc>
          <w:tcPr>
            <w:tcW w:w="352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43674D60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GeneChem</w:t>
            </w:r>
          </w:p>
        </w:tc>
      </w:tr>
      <w:tr w14:paraId="0924548F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38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EEBFB6C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Lentiviral WTAP knockdown</w:t>
            </w:r>
          </w:p>
        </w:tc>
        <w:tc>
          <w:tcPr>
            <w:tcW w:w="3240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238E68D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shWTAP-3</w:t>
            </w:r>
          </w:p>
        </w:tc>
        <w:tc>
          <w:tcPr>
            <w:tcW w:w="453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4861B60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GACCCAGCAATCAACTTGTTT</w:t>
            </w:r>
          </w:p>
        </w:tc>
        <w:tc>
          <w:tcPr>
            <w:tcW w:w="352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6DF4332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GeneChem</w:t>
            </w:r>
          </w:p>
        </w:tc>
      </w:tr>
      <w:tr w14:paraId="50351D44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38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637FDF8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AAV9-Wtap-RNAi</w:t>
            </w:r>
          </w:p>
        </w:tc>
        <w:tc>
          <w:tcPr>
            <w:tcW w:w="3240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C73FED2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AAV9-Wtap-RNAi(P24J0073)</w:t>
            </w:r>
          </w:p>
        </w:tc>
        <w:tc>
          <w:tcPr>
            <w:tcW w:w="453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4FE25C9A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CCTGGAAGTTTACGCCTGATA</w:t>
            </w:r>
          </w:p>
        </w:tc>
        <w:tc>
          <w:tcPr>
            <w:tcW w:w="352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63D8E5F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GeneChem</w:t>
            </w:r>
          </w:p>
        </w:tc>
      </w:tr>
      <w:tr w14:paraId="5235900F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38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42A7A1C1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AAV9 negative control</w:t>
            </w:r>
          </w:p>
        </w:tc>
        <w:tc>
          <w:tcPr>
            <w:tcW w:w="3240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A9DC892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AAV CON594</w:t>
            </w:r>
          </w:p>
        </w:tc>
        <w:tc>
          <w:tcPr>
            <w:tcW w:w="453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74EB949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TTCTCCGAACGTGTCACGT</w:t>
            </w:r>
          </w:p>
        </w:tc>
        <w:tc>
          <w:tcPr>
            <w:tcW w:w="352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112A8BF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GeneChem</w:t>
            </w:r>
          </w:p>
        </w:tc>
      </w:tr>
      <w:tr w14:paraId="1E2ABF9E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38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6D8639D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anti-miR transfection</w:t>
            </w:r>
          </w:p>
        </w:tc>
        <w:tc>
          <w:tcPr>
            <w:tcW w:w="3240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F0B7C88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anti-mmu-miR-425-5p inhibitor</w:t>
            </w:r>
          </w:p>
        </w:tc>
        <w:tc>
          <w:tcPr>
            <w:tcW w:w="453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A42D3AE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UCAACGGGAGUGAUCUGUCAUU</w:t>
            </w:r>
          </w:p>
        </w:tc>
        <w:tc>
          <w:tcPr>
            <w:tcW w:w="352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0E220B9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GenePharma</w:t>
            </w:r>
          </w:p>
        </w:tc>
      </w:tr>
      <w:tr w14:paraId="599E1D48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38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F68BB07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WTAP 3′UTR reporter</w:t>
            </w:r>
          </w:p>
        </w:tc>
        <w:tc>
          <w:tcPr>
            <w:tcW w:w="3240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58C80B9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WT seed-match region</w:t>
            </w:r>
          </w:p>
        </w:tc>
        <w:tc>
          <w:tcPr>
            <w:tcW w:w="453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C6B596A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GTGTCAT</w:t>
            </w:r>
          </w:p>
        </w:tc>
        <w:tc>
          <w:tcPr>
            <w:tcW w:w="352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479D5A4E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Construct diagram / pmirGLO reporter</w:t>
            </w:r>
          </w:p>
        </w:tc>
      </w:tr>
      <w:tr w14:paraId="5E050570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38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8854AB1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WTAP 3′UTR reporter</w:t>
            </w:r>
          </w:p>
        </w:tc>
        <w:tc>
          <w:tcPr>
            <w:tcW w:w="3240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B466424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MUT seed-disrupted region</w:t>
            </w:r>
          </w:p>
        </w:tc>
        <w:tc>
          <w:tcPr>
            <w:tcW w:w="453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585EB14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CACAGTA</w:t>
            </w:r>
          </w:p>
        </w:tc>
        <w:tc>
          <w:tcPr>
            <w:tcW w:w="352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B9A8E76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Construct diagram / pmirGLO reporter</w:t>
            </w:r>
          </w:p>
        </w:tc>
      </w:tr>
      <w:tr w14:paraId="52C43F78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38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C50D5E8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CRISPR/Cas9 WTAP knockout in human podocytes</w:t>
            </w:r>
          </w:p>
        </w:tc>
        <w:tc>
          <w:tcPr>
            <w:tcW w:w="3240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DB7751C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WTAP sgRNA</w:t>
            </w:r>
          </w:p>
        </w:tc>
        <w:tc>
          <w:tcPr>
            <w:tcW w:w="453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5C1CBB3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GCACACCTGAGGATGACTT</w:t>
            </w:r>
          </w:p>
        </w:tc>
        <w:tc>
          <w:tcPr>
            <w:tcW w:w="352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1CDDA13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GeneChem</w:t>
            </w:r>
          </w:p>
        </w:tc>
      </w:tr>
      <w:tr w14:paraId="4DFA6ABF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38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92AB240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CRISPR/Cas9 negative control in human podocytes</w:t>
            </w:r>
          </w:p>
        </w:tc>
        <w:tc>
          <w:tcPr>
            <w:tcW w:w="3240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902C344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shNC</w:t>
            </w:r>
          </w:p>
        </w:tc>
        <w:tc>
          <w:tcPr>
            <w:tcW w:w="453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B0C0CBC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CCGGTCCTAAGGTTAAGTCGCCCTCGCTCGAGCGAGGGCGACTTAACCTTAGGTTTTTGAATT</w:t>
            </w:r>
          </w:p>
        </w:tc>
        <w:tc>
          <w:tcPr>
            <w:tcW w:w="352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C664B9D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GeneChem</w:t>
            </w:r>
          </w:p>
        </w:tc>
      </w:tr>
      <w:tr w14:paraId="6FF23AC6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38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3A44CA4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miR-425-5p mimic transfection</w:t>
            </w:r>
          </w:p>
        </w:tc>
        <w:tc>
          <w:tcPr>
            <w:tcW w:w="3240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9BC393D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mmu-miR-425-5p mimic sense</w:t>
            </w:r>
          </w:p>
        </w:tc>
        <w:tc>
          <w:tcPr>
            <w:tcW w:w="453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1391D47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AAUGACACGAUCACUCCCGUUGA</w:t>
            </w:r>
          </w:p>
        </w:tc>
        <w:tc>
          <w:tcPr>
            <w:tcW w:w="352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849A9E4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GenePharma</w:t>
            </w:r>
          </w:p>
        </w:tc>
      </w:tr>
      <w:tr w14:paraId="6B4E0951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38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F800D7E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miR-425-5p mimic transfection</w:t>
            </w:r>
          </w:p>
        </w:tc>
        <w:tc>
          <w:tcPr>
            <w:tcW w:w="3240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75AB852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mmu-miR-425-5p mimic antisense</w:t>
            </w:r>
          </w:p>
        </w:tc>
        <w:tc>
          <w:tcPr>
            <w:tcW w:w="453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D6F58ED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AACGGGAGUGAUCUGUCAUUUU</w:t>
            </w:r>
          </w:p>
        </w:tc>
        <w:tc>
          <w:tcPr>
            <w:tcW w:w="352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F913814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6"/>
              </w:rPr>
              <w:t>GenePharma</w:t>
            </w:r>
          </w:p>
        </w:tc>
      </w:tr>
    </w:tbl>
    <w:p w14:paraId="4FDAF00A">
      <w:pPr>
        <w:pStyle w:val="15"/>
      </w:pPr>
      <w:r>
        <w:rPr>
          <w:rFonts w:ascii="Arial" w:hAnsi="Arial" w:eastAsia="Arial" w:cs="Arial"/>
          <w:sz w:val="16"/>
        </w:rPr>
        <w:t>Abbreviations: AAV9, adeno-associated virus serotype 9; m6A, N6-methyladenosine; qPCR, quantitative polymerase chain reaction; sgRNA, single-guide RNA; shRNA, short hairpin RNA; UTR, untranslated region; WTAP, WT1-associated protein.</w:t>
      </w:r>
    </w:p>
    <w:p w14:paraId="1BF0889C">
      <w:r>
        <w:br w:type="page"/>
      </w:r>
    </w:p>
    <w:p w14:paraId="187917DC">
      <w:pPr>
        <w:pStyle w:val="15"/>
        <w:keepNext/>
      </w:pPr>
      <w:r>
        <w:t>Supplementary Table 2. Reagents, kits, cell lines, antibodies, dyes, markers and instruments used in this study.</w:t>
      </w:r>
    </w:p>
    <w:tbl>
      <w:tblPr>
        <w:tblStyle w:val="32"/>
        <w:tblW w:w="0" w:type="auto"/>
        <w:jc w:val="center"/>
        <w:tblBorders>
          <w:top w:val="single" w:color="7F7F7F" w:sz="4" w:space="0"/>
          <w:left w:val="single" w:color="7F7F7F" w:sz="4" w:space="0"/>
          <w:bottom w:val="single" w:color="7F7F7F" w:sz="4" w:space="0"/>
          <w:right w:val="single" w:color="7F7F7F" w:sz="4" w:space="0"/>
          <w:insideH w:val="single" w:color="7F7F7F" w:sz="4" w:space="0"/>
          <w:insideV w:val="single" w:color="7F7F7F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2400"/>
        <w:gridCol w:w="2400"/>
        <w:gridCol w:w="2400"/>
        <w:gridCol w:w="2400"/>
        <w:gridCol w:w="2400"/>
      </w:tblGrid>
      <w:tr w14:paraId="3A8A04F9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648" w:type="dxa"/>
            <w:shd w:val="clear" w:color="auto" w:fill="D9E2F3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FC5D374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4"/>
              </w:rPr>
              <w:t>No.</w:t>
            </w:r>
          </w:p>
        </w:tc>
        <w:tc>
          <w:tcPr>
            <w:tcW w:w="3096" w:type="dxa"/>
            <w:shd w:val="clear" w:color="auto" w:fill="D9E2F3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B76D75F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4"/>
              </w:rPr>
              <w:t>Reagent / item</w:t>
            </w:r>
          </w:p>
        </w:tc>
        <w:tc>
          <w:tcPr>
            <w:tcW w:w="2088" w:type="dxa"/>
            <w:shd w:val="clear" w:color="auto" w:fill="D9E2F3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432E2E2D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4"/>
              </w:rPr>
              <w:t>Manufacturer</w:t>
            </w:r>
          </w:p>
        </w:tc>
        <w:tc>
          <w:tcPr>
            <w:tcW w:w="1656" w:type="dxa"/>
            <w:shd w:val="clear" w:color="auto" w:fill="D9E2F3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EEDED17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4"/>
              </w:rPr>
              <w:t>Catalogue No.</w:t>
            </w:r>
          </w:p>
        </w:tc>
        <w:tc>
          <w:tcPr>
            <w:tcW w:w="3456" w:type="dxa"/>
            <w:shd w:val="clear" w:color="auto" w:fill="D9E2F3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1D69C47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4"/>
              </w:rPr>
              <w:t>Application in this study</w:t>
            </w:r>
          </w:p>
        </w:tc>
        <w:tc>
          <w:tcPr>
            <w:tcW w:w="3744" w:type="dxa"/>
            <w:shd w:val="clear" w:color="auto" w:fill="D9E2F3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4D06511D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4"/>
              </w:rPr>
              <w:t>Details / notes</w:t>
            </w:r>
          </w:p>
        </w:tc>
      </w:tr>
      <w:tr w14:paraId="7D059D80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340BB06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1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999D95C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Exosome-depleted FBS Media Supplement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11F084C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System Biosciences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CD2D8FE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EXO-FBS-50A-1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7BE4860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Exosome-depleted FBS for BMSC conditioned-medium preparation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2C8F72A">
            <w:pPr>
              <w:spacing w:before="0" w:after="0" w:line="240" w:lineRule="auto"/>
              <w:jc w:val="left"/>
            </w:pPr>
          </w:p>
        </w:tc>
      </w:tr>
      <w:tr w14:paraId="33ABE200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54D8A15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2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B249CDA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MesenCult Expansion Kit (Mouse)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D961F58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STEMCELL Technologies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79E43BD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05513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273C633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Mouse BMSC expansion medium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A07E5A6">
            <w:pPr>
              <w:spacing w:before="0" w:after="0" w:line="240" w:lineRule="auto"/>
              <w:jc w:val="left"/>
            </w:pPr>
          </w:p>
        </w:tc>
      </w:tr>
      <w:tr w14:paraId="5B2BB274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96129A9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3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8ABEE61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CryoStor CS10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F86086B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STEMCELL Technologies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8AA0AFB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07930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189AFC7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Mouse BMSC cryopreservation medium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82CB197">
            <w:pPr>
              <w:spacing w:before="0" w:after="0" w:line="240" w:lineRule="auto"/>
              <w:jc w:val="left"/>
            </w:pPr>
          </w:p>
        </w:tc>
      </w:tr>
      <w:tr w14:paraId="61FCBFC3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C413548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4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D2AD8A5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L-Glutamine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D2049FB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STEMCELL Technologies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6317C52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07100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6718976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Mouse BMSC culture supplement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BAF1690">
            <w:pPr>
              <w:spacing w:before="0" w:after="0" w:line="240" w:lineRule="auto"/>
              <w:jc w:val="left"/>
            </w:pPr>
          </w:p>
        </w:tc>
      </w:tr>
      <w:tr w14:paraId="7ADED62E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FCFFD40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5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C64DDFD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HyCyte C57BL/6 mouse BMSC osteogenic differentiation medium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4C64EAFD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Haixing Biosciences/HyCyte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DF68EA3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BMMC-D101R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28C64F0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Mouse BMSC osteogenic differentiation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5203C14">
            <w:pPr>
              <w:spacing w:before="0" w:after="0" w:line="240" w:lineRule="auto"/>
              <w:jc w:val="left"/>
            </w:pPr>
          </w:p>
        </w:tc>
      </w:tr>
      <w:tr w14:paraId="42947DEB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6D07667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6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9250C4D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HyCyte C57BL/6 mouse BMSC adipogenic differentiation medium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846B497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Haixing Biosciences/HyCyte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A29E520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BMMC-D102R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B8F1F6D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Mouse BMSC adipogenic differentiation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9F15B36">
            <w:pPr>
              <w:spacing w:before="0" w:after="0" w:line="240" w:lineRule="auto"/>
              <w:jc w:val="left"/>
            </w:pPr>
          </w:p>
        </w:tc>
      </w:tr>
      <w:tr w14:paraId="241C42E7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99DEADC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7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621AA25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HyCyte C57BL/6 mouse BMSC chondrogenic differentiation medium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A7C943A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Haixing Biosciences/HyCyte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025375C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BMMC-D203R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467DDC2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Mouse BMSC chondrogenic differentiation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440F9FDE">
            <w:pPr>
              <w:spacing w:before="0" w:after="0" w:line="240" w:lineRule="auto"/>
              <w:jc w:val="left"/>
            </w:pPr>
          </w:p>
        </w:tc>
      </w:tr>
      <w:tr w14:paraId="5DFDACE7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1702D1C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8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DDC880E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IPKine HRP, goat anti-mouse IgG LCS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1BD0FC5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Abbkine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E8740AC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A25012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30BC554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Light-chain-specific HRP secondary antibody for Co-IP western blotting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4AE53117">
            <w:pPr>
              <w:spacing w:before="0" w:after="0" w:line="240" w:lineRule="auto"/>
              <w:jc w:val="left"/>
            </w:pPr>
          </w:p>
        </w:tc>
      </w:tr>
      <w:tr w14:paraId="526DD069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4E7B5C4D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9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74629FA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HRP goat anti-rabbit IgG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F79CB00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Abbkine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35F2E9B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A21020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E284CAA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Secondary antibody for m</w:t>
            </w:r>
            <w:r>
              <w:rPr>
                <w:rFonts w:ascii="Arial" w:hAnsi="Arial" w:eastAsia="Arial" w:cs="Arial"/>
                <w:b w:val="0"/>
                <w:i w:val="0"/>
                <w:sz w:val="14"/>
                <w:vertAlign w:val="superscript"/>
              </w:rPr>
              <w:t>6</w:t>
            </w:r>
            <w:r>
              <w:rPr>
                <w:rFonts w:ascii="Arial" w:hAnsi="Arial" w:eastAsia="Arial" w:cs="Arial"/>
                <w:b w:val="0"/>
                <w:i w:val="0"/>
                <w:sz w:val="14"/>
              </w:rPr>
              <w:t>A dot blot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E9BFD2E">
            <w:pPr>
              <w:spacing w:before="0" w:after="0" w:line="240" w:lineRule="auto"/>
              <w:jc w:val="left"/>
            </w:pPr>
          </w:p>
        </w:tc>
      </w:tr>
      <w:tr w14:paraId="18035105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7BE9F48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10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33F901D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FUSION FX6 EDGE Imaging System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FA55C1C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Vilber Lourmat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B963A38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Not provided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AC6AB33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Western blot and Co-IP chemiluminescence imaging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CBC7BEC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FUSION FX6 EDGE imaging system (Vilber Lourmat, France).</w:t>
            </w:r>
          </w:p>
        </w:tc>
      </w:tr>
      <w:tr w14:paraId="396231D8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E5F89B8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11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4BC06D16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SuperKine Maximum Sensitivity Cell Counting Kit-8 (CCK-8)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0E12AEF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Abbkine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4C6F7606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BMU106-CN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6FD6161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CCK-8 cell-viability assay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0D938FF">
            <w:pPr>
              <w:spacing w:before="0" w:after="0" w:line="240" w:lineRule="auto"/>
              <w:jc w:val="left"/>
            </w:pPr>
          </w:p>
        </w:tc>
      </w:tr>
      <w:tr w14:paraId="3CEAAF3C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21AB5DA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12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E8F9A58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Actinomycin D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D0D5257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MedChemExpress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CD00A3C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HY-17559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9069621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Actinomycin D chase assay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47C4F34">
            <w:pPr>
              <w:spacing w:before="0" w:after="0" w:line="240" w:lineRule="auto"/>
              <w:jc w:val="left"/>
            </w:pPr>
          </w:p>
        </w:tc>
      </w:tr>
      <w:tr w14:paraId="74B000DB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27DCB04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13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4AD2297E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Chloroform substitute for nucleic-acid extraction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4F633DE5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Servicebio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54A1E31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G3014-02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9B3C995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RNA extraction auxiliary reagent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4D7191E">
            <w:pPr>
              <w:spacing w:before="0" w:after="0" w:line="240" w:lineRule="auto"/>
              <w:jc w:val="left"/>
            </w:pPr>
          </w:p>
        </w:tc>
      </w:tr>
      <w:tr w14:paraId="7540E910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5752FBF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14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BF7B169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ReverTra Ace qPCR RT Kit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7198D4A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Toyobo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50F52CE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FSQ-101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4B46921C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cDNA synthesis for qPCR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B3DE69F">
            <w:pPr>
              <w:spacing w:before="0" w:after="0" w:line="240" w:lineRule="auto"/>
              <w:jc w:val="left"/>
            </w:pPr>
          </w:p>
        </w:tc>
      </w:tr>
      <w:tr w14:paraId="6417835F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1FD7CD6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15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0DD37E7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THUNDERBIRD Next SYBR qPCR Mix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FC46669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Toyobo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9260BFC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QPX-201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CDE4E2D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SYBR-based qPCR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6D2F54A">
            <w:pPr>
              <w:spacing w:before="0" w:after="0" w:line="240" w:lineRule="auto"/>
              <w:jc w:val="left"/>
            </w:pPr>
          </w:p>
        </w:tc>
      </w:tr>
      <w:tr w14:paraId="4C30B34A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0DA3390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16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3980651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NEBNext Poly(A) mRNA Magnetic Isolation Module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E1E518E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NEB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2FFE648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E7490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633942B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mRNA enrichment for LC-MS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AA22B75">
            <w:pPr>
              <w:spacing w:before="0" w:after="0" w:line="240" w:lineRule="auto"/>
              <w:jc w:val="left"/>
            </w:pPr>
          </w:p>
        </w:tc>
      </w:tr>
      <w:tr w14:paraId="207E7E89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DA94424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17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30E617C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Qubit RNA HS Assay Kit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F7F2CCA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Thermo Fisher Scientific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47CE7616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Q32855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6FEE6BE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Purified mRNA quantification for LC-MS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B95B831">
            <w:pPr>
              <w:spacing w:before="0" w:after="0" w:line="240" w:lineRule="auto"/>
              <w:jc w:val="left"/>
            </w:pPr>
          </w:p>
        </w:tc>
      </w:tr>
      <w:tr w14:paraId="66BEAE9B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C91C384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18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1DDCB16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Benzonase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454D337C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Sigma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D7C374A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Not provided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7C71712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mRNA digestion for LC-MS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48AA64E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10 U per 50-μL digestion reaction</w:t>
            </w:r>
          </w:p>
        </w:tc>
      </w:tr>
      <w:tr w14:paraId="0D6F2AD1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C45E887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19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2BC76C8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Phosphodiesterase I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00A21A6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US Biological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9CCABB0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Not provided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0815FFB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mRNA digestion for LC-MS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B8EE66C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0.1 U per 50-μL digestion reaction</w:t>
            </w:r>
          </w:p>
        </w:tc>
      </w:tr>
      <w:tr w14:paraId="25DD9F24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C17BCEA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20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4735A1F1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Alkaline Phosphatase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EC5E6A7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NEB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880388D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Not provided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4D95102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mRNA digestion for LC-MS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62EAC66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1 U per 50-μL digestion reaction</w:t>
            </w:r>
          </w:p>
        </w:tc>
      </w:tr>
      <w:tr w14:paraId="6F7D615C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429ECB0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21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6EB4288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SB-Aq HPLC column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B1B64FE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Agilent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7A7CDC6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Not provided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43F18F4B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LC-MS chromatographic separation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47360085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3.5 μm, 2.1 x 150 mm</w:t>
            </w:r>
          </w:p>
        </w:tc>
      </w:tr>
      <w:tr w14:paraId="73A8A6DC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8B79CE6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22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C1B2409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PageRuler prestained protein ladder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4753EB03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Thermo Scientific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FE6DD0D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26617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66E8471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Western blot protein marker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ECAC288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10-180 kDa</w:t>
            </w:r>
          </w:p>
        </w:tc>
      </w:tr>
      <w:tr w14:paraId="19A42C53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6AB40DC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23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4D7C8DF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Glucose-free DMEM without sodium pyruvate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67DF69B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Procell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CE8D345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PM150271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FE507DC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MPC-5 defined-glucose medium preparation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AB21FBA">
            <w:pPr>
              <w:spacing w:before="0" w:after="0" w:line="240" w:lineRule="auto"/>
              <w:jc w:val="left"/>
            </w:pPr>
          </w:p>
        </w:tc>
      </w:tr>
      <w:tr w14:paraId="3A26B7C0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4CDE68F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24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043BA79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Sterile sodium citrate buffer, 0.1 M, pH 4.5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946B7C3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Solarbio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1636D62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C1013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4388104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STZ dissolution buffer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E53F529">
            <w:pPr>
              <w:spacing w:before="0" w:after="0" w:line="240" w:lineRule="auto"/>
              <w:jc w:val="left"/>
            </w:pPr>
          </w:p>
        </w:tc>
      </w:tr>
      <w:tr w14:paraId="54E820A0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69EEB9F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25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44183A79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Streptozotocin (STZ)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FD607DD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Solarbio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F479EE8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S8050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89FCF72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STZ-induced diabetes/DKD modelling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44183D2">
            <w:pPr>
              <w:spacing w:before="0" w:after="0" w:line="240" w:lineRule="auto"/>
              <w:jc w:val="left"/>
            </w:pPr>
          </w:p>
        </w:tc>
      </w:tr>
      <w:tr w14:paraId="11B2375E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17E55ED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26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2CAA214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Recombinant anti-N</w:t>
            </w:r>
            <w:r>
              <w:rPr>
                <w:rFonts w:ascii="Arial" w:hAnsi="Arial" w:eastAsia="Arial" w:cs="Arial"/>
                <w:b w:val="0"/>
                <w:i w:val="0"/>
                <w:sz w:val="14"/>
                <w:vertAlign w:val="superscript"/>
              </w:rPr>
              <w:t>6</w:t>
            </w:r>
            <w:r>
              <w:rPr>
                <w:rFonts w:ascii="Arial" w:hAnsi="Arial" w:eastAsia="Arial" w:cs="Arial"/>
                <w:b w:val="0"/>
                <w:i w:val="0"/>
                <w:sz w:val="14"/>
              </w:rPr>
              <w:t>-methyladenosine (m</w:t>
            </w:r>
            <w:r>
              <w:rPr>
                <w:rFonts w:ascii="Arial" w:hAnsi="Arial" w:eastAsia="Arial" w:cs="Arial"/>
                <w:b w:val="0"/>
                <w:i w:val="0"/>
                <w:sz w:val="14"/>
                <w:vertAlign w:val="superscript"/>
              </w:rPr>
              <w:t>6</w:t>
            </w:r>
            <w:r>
              <w:rPr>
                <w:rFonts w:ascii="Arial" w:hAnsi="Arial" w:eastAsia="Arial" w:cs="Arial"/>
                <w:b w:val="0"/>
                <w:i w:val="0"/>
                <w:sz w:val="14"/>
              </w:rPr>
              <w:t>A) antibody [EPR23561-164]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44B3C513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Abcam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508DB39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ab284130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33F6D69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Primary antibody for m</w:t>
            </w:r>
            <w:r>
              <w:rPr>
                <w:rFonts w:ascii="Arial" w:hAnsi="Arial" w:eastAsia="Arial" w:cs="Arial"/>
                <w:b w:val="0"/>
                <w:i w:val="0"/>
                <w:sz w:val="14"/>
                <w:vertAlign w:val="superscript"/>
              </w:rPr>
              <w:t>6</w:t>
            </w:r>
            <w:r>
              <w:rPr>
                <w:rFonts w:ascii="Arial" w:hAnsi="Arial" w:eastAsia="Arial" w:cs="Arial"/>
                <w:b w:val="0"/>
                <w:i w:val="0"/>
                <w:sz w:val="14"/>
              </w:rPr>
              <w:t>A dot blot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27A5484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Rabbit; 1:1000 for dot blot</w:t>
            </w:r>
          </w:p>
        </w:tc>
      </w:tr>
      <w:tr w14:paraId="4EA32606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8A6C46C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27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F3B9C28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Dual-luciferase reporter gene assay kit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C68271A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Abbkine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4A0496CD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KTA8010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8A4A219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Dual-luciferase reporter assay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41B760D">
            <w:pPr>
              <w:spacing w:before="0" w:after="0" w:line="240" w:lineRule="auto"/>
              <w:jc w:val="left"/>
            </w:pPr>
          </w:p>
        </w:tc>
      </w:tr>
      <w:tr w14:paraId="08118DF2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966FBB0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28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1580AAF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Annexin V-AbFluor 488/PI apoptosis detection kit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8534202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Abbkine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B1280E5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KTA0002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BFC785B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Annexin V/PI flow-cytometric apoptosis assay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4147D543">
            <w:pPr>
              <w:spacing w:before="0" w:after="0" w:line="240" w:lineRule="auto"/>
              <w:jc w:val="left"/>
            </w:pPr>
          </w:p>
        </w:tc>
      </w:tr>
      <w:tr w14:paraId="3BF0A35B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AE6DC32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29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500AE2F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TMR (red) one-step TUNEL cell apoptosis detection kit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AD46AFB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Servicebio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8FD7545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G1502-50T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1C03EAC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TUNEL assay for mouse kidney tissue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702DC8B">
            <w:pPr>
              <w:spacing w:before="0" w:after="0" w:line="240" w:lineRule="auto"/>
              <w:jc w:val="left"/>
            </w:pPr>
          </w:p>
        </w:tc>
      </w:tr>
      <w:tr w14:paraId="6F4B5220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F35DEBC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30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7FBD8DA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Co-IP kit for animal samples/cells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80CC769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GeneCreate/Jinkaerui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E5F3F89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JKR23001A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C2AB4F3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Co-IP assay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F409BC9">
            <w:pPr>
              <w:spacing w:before="0" w:after="0" w:line="240" w:lineRule="auto"/>
              <w:jc w:val="left"/>
            </w:pPr>
          </w:p>
        </w:tc>
      </w:tr>
      <w:tr w14:paraId="74962800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AEE3FB6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31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5FBA53C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c-Met (cytoplasmic) polyclonal antibody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6948173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Proteintech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0E9097E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25869-1-AP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1E0106C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Co-IP and western blotting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F14987E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Rabbit; 130 kDa; used for reciprocal Co-IP and WB</w:t>
            </w:r>
          </w:p>
        </w:tc>
      </w:tr>
      <w:tr w14:paraId="4BC6856E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7B004BD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32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C38E701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Recombinant anti-GSK3 beta antibody [7/GSK-3b]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399CBBE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Abcam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1B38BAF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ab280376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3889E81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Co-IP western blotting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5468041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Mouse; 45 kDa</w:t>
            </w:r>
          </w:p>
        </w:tc>
      </w:tr>
      <w:tr w14:paraId="700FC495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78FDC0F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33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0D14C47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MPC-5 mouse podocyte cell line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EA322C4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Shanghai QuiCell Biotechnology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77911DF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QuiCell-M357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41EEF8A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Mouse podocyte cell line for in vitro experiments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E69EFD4">
            <w:pPr>
              <w:spacing w:before="0" w:after="0" w:line="240" w:lineRule="auto"/>
              <w:jc w:val="left"/>
            </w:pPr>
          </w:p>
        </w:tc>
      </w:tr>
      <w:tr w14:paraId="4BC6D31F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416E8DC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34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0CC6E00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DiR/DiIC18(7) near-infrared fluorescent dye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B56B1B8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Thermo Fisher Scientific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D90187D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D12731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130916B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In vivo exosome fluorescence imaging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EED89A2">
            <w:pPr>
              <w:spacing w:before="0" w:after="0" w:line="240" w:lineRule="auto"/>
              <w:jc w:val="left"/>
            </w:pPr>
          </w:p>
        </w:tc>
      </w:tr>
      <w:tr w14:paraId="61792193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FF98650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35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4F8E69E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Lipofectamine 3000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B7B41B3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Thermo Fisher Scientific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BF5B17D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L3000001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A9DB6E3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anti-miR/siRNA transfection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BB762FA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5 μL per well in the recorded transfection setup</w:t>
            </w:r>
          </w:p>
        </w:tc>
      </w:tr>
      <w:tr w14:paraId="4B90D991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5748D76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36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46D0AB98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Opti-MEM reduced-serum medium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40103ED9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Gibco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47CC4590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31985070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8F4F8AE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Diluent for anti-miR/siRNA transfection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8686EDF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125 μL per component in the recorded setup</w:t>
            </w:r>
          </w:p>
        </w:tc>
      </w:tr>
      <w:tr w14:paraId="636540C2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C66F500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37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5C913E2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APC anti-mouse CD31 antibody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26BA813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BioLegend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A831D91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102509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F6C1EC1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BMSC flow-cytometry immunophenotyping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164F3A9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Rat; APC; clone MEC13.3</w:t>
            </w:r>
          </w:p>
        </w:tc>
      </w:tr>
      <w:tr w14:paraId="57EE8AA1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0437D63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38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EE4CB3D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FITC anti-mouse/rat CD29 antibody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2CEBC6C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BioLegend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5EC46DD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102205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4C7E936D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BMSC flow-cytometry immunophenotyping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7C55078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Armenian hamster; FITC; clone HMβ1-1</w:t>
            </w:r>
          </w:p>
        </w:tc>
      </w:tr>
      <w:tr w14:paraId="5F6EDAAD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B51796F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39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161F31B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FITC anti-mouse CD90.2 (Thy1.2) antibody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84CF269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BioLegend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E3BC799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105305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0ADBB09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BMSC flow-cytometry immunophenotyping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4178547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Rat; FITC; clone 30-H12</w:t>
            </w:r>
          </w:p>
        </w:tc>
      </w:tr>
      <w:tr w14:paraId="0E2175B5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4CCA305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40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DE08A61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PE anti-mouse CD73 antibody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17FD95E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BioLegend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2B1E24A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127205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0B9A01A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BMSC flow-cytometry immunophenotyping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6F97CA0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Rat; PE; clone TY/11.8</w:t>
            </w:r>
          </w:p>
        </w:tc>
      </w:tr>
      <w:tr w14:paraId="0E0B7093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0A1109E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41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536B69E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PE anti-mouse CD105 antibody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4B14213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BioLegend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15B0306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120407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C1B45DC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BMSC flow-cytometry immunophenotyping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47E712DB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Rat; PE; clone MJ7/18</w:t>
            </w:r>
          </w:p>
        </w:tc>
      </w:tr>
      <w:tr w14:paraId="391FFF37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4EDE3BBF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42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27091C8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BD OptiBuild RY703 mouse anti-human HLA-DR antibody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482EF93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BD Biosciences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B36DEA1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770034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3ADF17D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BMSC flow-cytometry immunophenotyping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E6308A3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Mouse; RY703; clone L203.rMAb</w:t>
            </w:r>
          </w:p>
        </w:tc>
      </w:tr>
      <w:tr w14:paraId="5E1C7E7C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FF4D2FA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43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8B752E8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CD166 (ALCAM) monoclonal antibody (eBioALC48), FITC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763A764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Invitrogen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16D6344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11-1661-82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6941529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BMSC flow-cytometry immunophenotyping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E2D04B1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Rat; FITC; clone eBioALC48</w:t>
            </w:r>
          </w:p>
        </w:tc>
      </w:tr>
      <w:tr w14:paraId="5F15CEF3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5B97404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44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4BD4ED2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PerCP/Cyanine5.5 anti-mouse CD34 antibody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6583EC7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BioLegend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004921E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119328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0B50ADE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BMSC flow-cytometry immunophenotyping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46768E2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Rat; PerCP/Cy5.5; clone MEC14.7</w:t>
            </w:r>
          </w:p>
        </w:tc>
      </w:tr>
      <w:tr w14:paraId="6C5FB0F7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5BB08C1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45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1D106A9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APC anti-mouse CD45 antibody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CCA0760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BioLegend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4D06E9A4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103112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61E740C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BMSC flow-cytometry immunophenotyping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9573F48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Rat; APC; clone 30-F11</w:t>
            </w:r>
          </w:p>
        </w:tc>
      </w:tr>
      <w:tr w14:paraId="5ECC2024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E6B8E15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46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63A22F2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CD11b monoclonal antibody (M1/70), FITC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4AC1C7ED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Invitrogen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4B59E79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11-0112-82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548EC82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BMSC flow-cytometry immunophenotyping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7872370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Rat; FITC; clone M1/70</w:t>
            </w:r>
          </w:p>
        </w:tc>
      </w:tr>
      <w:tr w14:paraId="2EA833A1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4AB569D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47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43CC560C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GSK-3 beta (D5C5Z) rabbit monoclonal antibody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CC27081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Cell Signalling Technology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D3A2490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12456S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FBDBA5A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MPC-5 immunofluorescence and western blotting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A18F91A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Rabbit; total GSK3β</w:t>
            </w:r>
          </w:p>
        </w:tc>
      </w:tr>
      <w:tr w14:paraId="5ABD5012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4A246041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48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514C0B5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NPHS2/Podocin polyclonal antibody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20F86A5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Proteintech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B9200CD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20384-1-AP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4516E68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MPC-5 immunofluorescence and western blotting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2D3B216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Rabbit; 42 kDa</w:t>
            </w:r>
          </w:p>
        </w:tc>
      </w:tr>
      <w:tr w14:paraId="2C9D08BF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061DB0C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49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584C2C6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WTAP monoclonal antibody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479906CB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Proteintech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4DAFC73D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60188-1-Ig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4CC4FCB1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MPC-5 immunofluorescence staining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B4A0108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Mouse</w:t>
            </w:r>
          </w:p>
        </w:tc>
      </w:tr>
      <w:tr w14:paraId="022D6122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1C71B1E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50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5649798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Recombinant anti-Met/c-Met antibody [EPR22436-24]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CB2EEA1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Abcam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937DB51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ab216330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B99BAC3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MPC-5 immunofluorescence staining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E9B8E93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Rabbit</w:t>
            </w:r>
          </w:p>
        </w:tc>
      </w:tr>
      <w:tr w14:paraId="77447248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E56E5C5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51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E496B25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GAPDH antibody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867A661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Proteintech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D399164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10494-1-AP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6CF0102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Western blotting loading control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0032EFC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Rabbit; 36 kDa</w:t>
            </w:r>
          </w:p>
        </w:tc>
      </w:tr>
      <w:tr w14:paraId="571CCAC0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4CAFF77E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52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B4854F9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Cleaved-caspase 3 (Asp175), p17 antibody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14A8F54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Affinity Biosciences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E8ABC77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AF7022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4C4BEBCC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Western blotting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63A33A9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Rabbit; 17 kDa</w:t>
            </w:r>
          </w:p>
        </w:tc>
      </w:tr>
      <w:tr w14:paraId="4F8A72D1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D6CD31C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53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11A9B65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WTAP polyclonal antibody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239759B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Proteintech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BFFE4C1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10200-1-AP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CF17FDC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Western blotting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A1E0190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Rabbit; 50 kDa</w:t>
            </w:r>
          </w:p>
        </w:tc>
      </w:tr>
      <w:tr w14:paraId="63AD8D66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D30D271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54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6FD9F56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Tricolor prestained protein marker, 10-250 kDa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0A46BA4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Epizyme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AACB381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WJ102/103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C4717C8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Western blotting for cell samples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245660E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Used as protein markers for MPC-5 cell western blot experiments; WJ102 and WJ103 were both used.</w:t>
            </w:r>
          </w:p>
        </w:tc>
      </w:tr>
      <w:tr w14:paraId="18906538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A41684A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55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FCA466F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Dynabeads™ M-450 Tosylactivated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4D2445D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Invitrogen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0078E96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14013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CCD7D35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Mouse glomeruli isolation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62A9CF3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8×10</w:t>
            </w:r>
            <w:r>
              <w:rPr>
                <w:rFonts w:ascii="Arial" w:hAnsi="Arial" w:eastAsia="Arial" w:cs="Arial"/>
                <w:b w:val="0"/>
                <w:i w:val="0"/>
                <w:sz w:val="14"/>
                <w:vertAlign w:val="superscript"/>
              </w:rPr>
              <w:t>7</w:t>
            </w:r>
            <w:r>
              <w:rPr>
                <w:rFonts w:ascii="Arial" w:hAnsi="Arial" w:eastAsia="Arial" w:cs="Arial"/>
                <w:b w:val="0"/>
                <w:i w:val="0"/>
                <w:sz w:val="14"/>
              </w:rPr>
              <w:t xml:space="preserve"> beads in 5 mL PBS in the referenced protocol</w:t>
            </w:r>
          </w:p>
        </w:tc>
      </w:tr>
      <w:tr w14:paraId="010B414D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5EBE3EE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56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328C3B0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Collagenase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A0857FA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Sigma-Aldrich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FE34AAF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C0130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F0A5BCF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Mouse glomeruli isolation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4F6EC3D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1 mg/mL, 37 °C for 30 min in the referenced protocol</w:t>
            </w:r>
          </w:p>
        </w:tc>
      </w:tr>
      <w:tr w14:paraId="40B86056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954FC50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57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884D984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PKH26 fluorescent cell linker / exosome labelling dye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F7FDA13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Umibio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46612F37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UR52302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255E2C3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In vitro exosome uptake visualization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6E04185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Used to label BMSC-derived exosome preparations for qualitative uptake imaging.</w:t>
            </w:r>
          </w:p>
        </w:tc>
      </w:tr>
      <w:tr w14:paraId="0856191D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7A98007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58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FF60204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pmirGLO Dual-Luciferase miRNA Target Expression Vector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5ACDFEC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Promega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3833242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E1330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4244695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WTAP 3′UTR dual-luciferase reporter assay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0B33973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Firefly luciferase reports miRNA-target activity; Renilla luciferase is used for normalization.</w:t>
            </w:r>
          </w:p>
        </w:tc>
      </w:tr>
      <w:tr w14:paraId="4D075630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38E9FE8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59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9A37A44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anti-mmu-miR-425-5p inhibitor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832B39A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GenePharma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9896275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Custom RNA oligo; catalogue Not provided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249ED55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Cellular anti-miR-425-5p transfection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314897F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Sequence 5′-UCAACGGGAGUGAUCUGUCAUU-3′; HPLC purified; 2′-O-methyl modified; reconstituted to 20 μM with 250 μL DEPC-treated water.</w:t>
            </w:r>
          </w:p>
        </w:tc>
      </w:tr>
      <w:tr w14:paraId="24D81EA5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9C3A673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60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082016C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DMEM, no glucose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FDDE42B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Gibco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0A3A640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11966025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FF6550A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Routine MPC-5 culture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54A1F40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MPC-5 supplier manual specifies DMEM supplemented with 10% FBS and 1% penicillin-streptomycin.</w:t>
            </w:r>
          </w:p>
        </w:tc>
      </w:tr>
      <w:tr w14:paraId="64A782FE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99F494D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61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B3B78E7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0.25% trypsin-0.53 mM EDTA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C4FE96D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Gibco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443C8DCA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25200072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F93D031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MPC-5 passaging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47680E63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Used for approximately 2 min at 37 °C according to the supplier manual.</w:t>
            </w:r>
          </w:p>
        </w:tc>
      </w:tr>
      <w:tr w14:paraId="0D8FAB5C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4A167F81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62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452571B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Immortalized human podocyte cells (HPCs)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FA6C5E8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Jinling Clinical Medical College of Nanjing Medical University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DF7B4CD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RRID: CVCL_W186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F160629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Human podocyte WTAP knockout/MeRIP-seq validation experiments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EE932D1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Conditionally immortalized human podocyte cells used for WTAP knockout/MeRIP-seq validation experiments; maintained in DMEM/F-12 supplemented with 10% FBS and 1% penicillin/streptomycin.</w:t>
            </w:r>
          </w:p>
        </w:tc>
      </w:tr>
      <w:tr w14:paraId="3113A8E8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43F62917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63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DC3555E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DMEM/F-12 medium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4AD0D142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Gibco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05DCA34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11320033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E79E276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HPC culture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5E59233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Used for immortalized human podocyte cells.</w:t>
            </w:r>
          </w:p>
        </w:tc>
      </w:tr>
      <w:tr w14:paraId="2502BE55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546FC8F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64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5555BB8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Cas9-expressing lentiviral vectors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3A66FE5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GeneChem Co., Ltd.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B665726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Not provided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2C72B72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CRISPR/Cas9-mediated WTAP knockout in HPCs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82283E9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Used with WTAP sgRNA 5′-GCACACCTGAGGATGACTT-3′.</w:t>
            </w:r>
          </w:p>
        </w:tc>
      </w:tr>
      <w:tr w14:paraId="06FCA201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431F236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65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5839C38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Urine microalbumin assay kit (immunoturbidimetry)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EDC0B21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Ningbo MedicalSystem Biotechnology Co., Ltd.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C605D6C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D414T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24C280A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UACR/urinary microalbumin detection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65EBE4D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Used on CS-480 automatic biochemical analyzer.</w:t>
            </w:r>
          </w:p>
        </w:tc>
      </w:tr>
      <w:tr w14:paraId="45F24276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D271699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66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6581BD3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CS-480 automatic biochemical analyzer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377D37D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Changchun Dirui Medical Technology Co., Ltd.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BB88F47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CS-480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A26288D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UACR/urinary microalbumin detection platform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E6D9DCF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Used according to the manufacturer/instrument workflow.</w:t>
            </w:r>
          </w:p>
        </w:tc>
      </w:tr>
      <w:tr w14:paraId="7C4D821B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8C1322A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67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A00B212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Periodic Acid-Schiff Stain Solution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C449F79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Servicebio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42B7D18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G1008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F9AC9F3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PAS staining of kidney sections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ADF7CEC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Used for 3-μm paraffin kidney sections.</w:t>
            </w:r>
          </w:p>
        </w:tc>
      </w:tr>
      <w:tr w14:paraId="221B3184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49DEFFC4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68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1C06F74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Masson staining solution kit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597F825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Servicebio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A485BBF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G1006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644A5C8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Masson trichrome staining of kidney sections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EC8B70A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Used for 3-μm paraffin kidney sections.</w:t>
            </w:r>
          </w:p>
        </w:tc>
      </w:tr>
      <w:tr w14:paraId="74F79FF1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485F8BF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69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7B6A109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RNA extract solution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3149BDE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Servicebio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6F0A0DF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G3013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C3B23CD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Total RNA extraction for MeRIP-seq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435B4C6D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Used according to the manufacturer’s protocol.</w:t>
            </w:r>
          </w:p>
        </w:tc>
      </w:tr>
      <w:tr w14:paraId="7F535A3E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2FE76B7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70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410FEA51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Dynabeads mRNA Purification Kit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2E19FA6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Invitrogen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5520121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61006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4EF02C14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mRNA purification for MeRIP-seq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4A63013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Used to purify mRNA from total RNA.</w:t>
            </w:r>
          </w:p>
        </w:tc>
      </w:tr>
      <w:tr w14:paraId="3359E288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F34D04D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71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922C199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Illumina HiSeq 4000 platform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886A230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Illumina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42096E73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Not applicable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58EF499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Paired-end sequencing for MeRIP-seq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8D4C8FD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Sequencing performed by Cloudseq Biotech Inc.</w:t>
            </w:r>
          </w:p>
        </w:tc>
      </w:tr>
      <w:tr w14:paraId="34BEBDC0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C88AB73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72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621F8D3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Cutadapt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4FCD6E3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Software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BDE6151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v1.9.3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3C84C1A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MeRIP-seq read preprocessing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ACA970F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Removal of 3′ adapters and low-quality sequences.</w:t>
            </w:r>
          </w:p>
        </w:tc>
      </w:tr>
      <w:tr w14:paraId="30176A3A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F30AFEC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73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AAEBEEE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HISAT2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49F8065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Software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064982E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v2.0.4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426B79A5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MeRIP-seq alignment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5C1986E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Reads aligned to human reference genome hg38.</w:t>
            </w:r>
          </w:p>
        </w:tc>
      </w:tr>
      <w:tr w14:paraId="4592CEF0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136D844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74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4968657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MACS2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6DBC081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Software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07FB5F8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v2.1.1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F52EBE7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m</w:t>
            </w:r>
            <w:r>
              <w:rPr>
                <w:rFonts w:ascii="Arial" w:hAnsi="Arial" w:eastAsia="Arial" w:cs="Arial"/>
                <w:b w:val="0"/>
                <w:i w:val="0"/>
                <w:sz w:val="14"/>
                <w:vertAlign w:val="superscript"/>
              </w:rPr>
              <w:t>6</w:t>
            </w:r>
            <w:r>
              <w:rPr>
                <w:rFonts w:ascii="Arial" w:hAnsi="Arial" w:eastAsia="Arial" w:cs="Arial"/>
                <w:b w:val="0"/>
                <w:i w:val="0"/>
                <w:sz w:val="14"/>
              </w:rPr>
              <w:t>A peak calling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4FBC13B5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Input samples used as controls.</w:t>
            </w:r>
          </w:p>
        </w:tc>
      </w:tr>
      <w:tr w14:paraId="1E525356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4CD781B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75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55C682E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DREME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03A8F66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Software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2A54540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v5.3.0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50CE07C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Motif enrichment analysis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F6B5C17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Used for enriched sequence motifs within m</w:t>
            </w:r>
            <w:r>
              <w:rPr>
                <w:rFonts w:ascii="Arial" w:hAnsi="Arial" w:eastAsia="Arial" w:cs="Arial"/>
                <w:b w:val="0"/>
                <w:i w:val="0"/>
                <w:sz w:val="14"/>
                <w:vertAlign w:val="superscript"/>
              </w:rPr>
              <w:t>6</w:t>
            </w:r>
            <w:r>
              <w:rPr>
                <w:rFonts w:ascii="Arial" w:hAnsi="Arial" w:eastAsia="Arial" w:cs="Arial"/>
                <w:b w:val="0"/>
                <w:i w:val="0"/>
                <w:sz w:val="14"/>
              </w:rPr>
              <w:t>A peaks.</w:t>
            </w:r>
          </w:p>
        </w:tc>
      </w:tr>
      <w:tr w14:paraId="1CDF3B7A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8E788DA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76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5B903AF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Integrative Genomics Viewer (IGV)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26C3B98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Software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9E933F2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v2.17.3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BA32841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Genome-wide distribution and representative peak visualization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F9F2ECB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Used to visualize m</w:t>
            </w:r>
            <w:r>
              <w:rPr>
                <w:rFonts w:ascii="Arial" w:hAnsi="Arial" w:eastAsia="Arial" w:cs="Arial"/>
                <w:b w:val="0"/>
                <w:i w:val="0"/>
                <w:sz w:val="14"/>
                <w:vertAlign w:val="superscript"/>
              </w:rPr>
              <w:t>6</w:t>
            </w:r>
            <w:r>
              <w:rPr>
                <w:rFonts w:ascii="Arial" w:hAnsi="Arial" w:eastAsia="Arial" w:cs="Arial"/>
                <w:b w:val="0"/>
                <w:i w:val="0"/>
                <w:sz w:val="14"/>
              </w:rPr>
              <w:t>A peak signals.</w:t>
            </w:r>
          </w:p>
        </w:tc>
      </w:tr>
      <w:tr w14:paraId="546A6B35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7CFBFBC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77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EA41145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Tanon™ ECL chemiluminescence substrate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96651EA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Tanon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4E2F15A3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180-501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4ED081F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Western blot and Co-IP chemiluminescent detection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49E2D6F6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Used for all western blot and Co-IP exposure/imaging steps in this study.</w:t>
            </w:r>
          </w:p>
        </w:tc>
      </w:tr>
      <w:tr w14:paraId="6C8B2B1A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CF2032E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78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5ADF656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Corning T25 cell culture flask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67F414B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Corning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1C2E150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430639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2A2F2D9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Routine cell culture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FA7800F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Used for routine cell culture; collagen I-coated culture flasks were not used.</w:t>
            </w:r>
          </w:p>
        </w:tc>
      </w:tr>
      <w:tr w14:paraId="788CE5A9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6564B56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79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D2B9242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mmu-miR-425-5p mimics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60E6CA7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GenePharma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0DEA913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Custom RNA oligo; catalogue not provided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43797A4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Dual-luciferase reporter assay / miRNA mimic transfection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0C19260F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Sense sequence 5′-AAUGACACGAUCACUCCCGUUGA-3′; antisense sequence 5′-AACGGGAGUGAUCUGUCAUUUU-3′; HPLC purified; reconstituted to 20 μM with DEPC-treated water according to the synthesis report.</w:t>
            </w:r>
          </w:p>
        </w:tc>
      </w:tr>
      <w:tr w14:paraId="5C472255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4D74DAC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80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FB8483C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WT-Wtap-mmu-miR-425-5p reporter plasmid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E7DFF30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GenePharma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7BEC374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Custom plasmid; job No. B15340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17C1A78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WTAP 3′UTR dual-luciferase reporter assay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5BDD671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GP-miRGLO backbone; SacI/XhoI cloning sites; insert length 61 bp; plasmid concentration reported as 439 ng/μL.</w:t>
            </w:r>
          </w:p>
        </w:tc>
      </w:tr>
      <w:tr w14:paraId="4490CE89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1C4ED561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81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344D350E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MUT-Wtap-mmu-miR-425-5p reporter plasmid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0A1A5D2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GenePharma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1956687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Custom plasmid; job No. B15341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47FAA16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WTAP 3′UTR dual-luciferase reporter assay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6CF5D587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GP-miRGLO backbone; SacI/XhoI cloning sites; insert length 61 bp; plasmid concentration reported as 459 ng/μL.</w:t>
            </w:r>
          </w:p>
        </w:tc>
      </w:tr>
      <w:tr w14:paraId="2E377500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903CE97"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82</w:t>
            </w:r>
          </w:p>
        </w:tc>
        <w:tc>
          <w:tcPr>
            <w:tcW w:w="309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B5FA022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Spark multimode microplate reader</w:t>
            </w:r>
          </w:p>
        </w:tc>
        <w:tc>
          <w:tcPr>
            <w:tcW w:w="2088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7C99A13D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TECAN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56F9CF3B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Spark</w:t>
            </w:r>
          </w:p>
        </w:tc>
        <w:tc>
          <w:tcPr>
            <w:tcW w:w="3456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4A36FC2A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Dual-luciferase luminescence measurement</w:t>
            </w:r>
          </w:p>
        </w:tc>
        <w:tc>
          <w:tcPr>
            <w:tcW w:w="3744" w:type="dxa"/>
            <w:tcMar>
              <w:top w:w="45" w:type="dxa"/>
              <w:left w:w="55" w:type="dxa"/>
              <w:bottom w:w="45" w:type="dxa"/>
              <w:right w:w="55" w:type="dxa"/>
            </w:tcMar>
            <w:vAlign w:val="top"/>
          </w:tcPr>
          <w:p w14:paraId="22EE6BCC"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i w:val="0"/>
                <w:sz w:val="14"/>
              </w:rPr>
              <w:t>Used for Firefly and Renilla luciferase activity measurement in luminescence mode.</w:t>
            </w:r>
          </w:p>
        </w:tc>
      </w:tr>
    </w:tbl>
    <w:p w14:paraId="205555A3">
      <w:pPr>
        <w:pStyle w:val="15"/>
      </w:pPr>
      <w:r>
        <w:rPr>
          <w:rFonts w:ascii="Arial" w:hAnsi="Arial" w:eastAsia="Arial" w:cs="Arial"/>
          <w:sz w:val="15"/>
        </w:rPr>
        <w:t>Abbreviations: AAV9, adeno-associated virus serotype 9; BMSC, bone marrow mesenchymal stem cell; co-IP, co-immunoprecipitation; ECL, enhanced chemiluminescence; FBS, fetal bovine serum; HPC, human podocyte cell; LC–MS, liquid chromatography–mass spectrometry; MeRIP-seq, methylated RNA immunoprecipitation sequencing; NTA, nanoparticle tracking analysis; qPCR, quantitative polymerase chain reaction; RRID, Research Resource Identifier; STZ, streptozotocin; TEM, transmission electron microscopy; UACR, urinary albumin-to-creatinine ratio; WTAP, WT1-associated protein.</w:t>
      </w:r>
    </w:p>
    <w:sectPr>
      <w:pgSz w:w="16838" w:h="11906" w:orient="landscape"/>
      <w:pgMar w:top="792" w:right="792" w:bottom="792" w:left="792" w:header="504" w:footer="576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5C2E4B75-9F93-45B0-B360-11CB952C3C6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2" w:fontKey="{44E556A2-825C-4CCD-B573-CD59651DA5B7}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3" w:fontKey="{5435690A-436B-47FE-8A06-CF2ABFDE80A4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CDE207">
    <w:pPr>
      <w:pStyle w:val="24"/>
      <w:jc w:val="center"/>
    </w:pPr>
    <w:r>
      <w:rPr>
        <w:rFonts w:ascii="Arial" w:hAnsi="Arial" w:eastAsia="Arial" w:cs="Arial"/>
        <w:sz w:val="18"/>
      </w:rPr>
      <w:fldChar w:fldCharType="begin"/>
    </w:r>
    <w:r>
      <w:rPr>
        <w:rFonts w:ascii="Arial" w:hAnsi="Arial" w:eastAsia="Arial" w:cs="Arial"/>
        <w:sz w:val="18"/>
      </w:rPr>
      <w:instrText xml:space="preserve"> PAGE </w:instrText>
    </w:r>
    <w:r>
      <w:rPr>
        <w:rFonts w:ascii="Arial" w:hAnsi="Arial" w:eastAsia="Arial" w:cs="Arial"/>
        <w:sz w:val="18"/>
      </w:rPr>
      <w:fldChar w:fldCharType="separate"/>
    </w:r>
    <w:r>
      <w:rPr>
        <w:rFonts w:ascii="Arial" w:hAnsi="Arial" w:eastAsia="Arial" w:cs="Arial"/>
        <w:sz w:val="18"/>
      </w:rPr>
      <w:t>1</w:t>
    </w:r>
    <w:r>
      <w:rPr>
        <w:rFonts w:ascii="Arial" w:hAnsi="Arial" w:eastAsia="Arial" w:cs="Arial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99A049E"/>
    <w:rsid w:val="3C1A4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widowControl/>
      <w:spacing w:after="100" w:line="276" w:lineRule="auto"/>
    </w:pPr>
    <w:rPr>
      <w:rFonts w:ascii="Arial" w:hAnsi="Arial" w:eastAsia="Arial" w:cs="Arial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280" w:after="120"/>
      <w:outlineLvl w:val="0"/>
    </w:pPr>
    <w:rPr>
      <w:rFonts w:asciiTheme="majorHAnsi" w:hAnsiTheme="majorHAnsi" w:eastAsiaTheme="majorEastAsia" w:cstheme="majorBidi"/>
      <w:b/>
      <w:bCs/>
      <w:color w:val="000000"/>
      <w:sz w:val="26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180" w:after="80"/>
      <w:outlineLvl w:val="1"/>
    </w:pPr>
    <w:rPr>
      <w:rFonts w:asciiTheme="majorHAnsi" w:hAnsiTheme="majorHAnsi" w:eastAsiaTheme="majorEastAsia" w:cstheme="majorBidi"/>
      <w:b/>
      <w:bCs/>
      <w:color w:val="000000"/>
      <w:sz w:val="22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keepLines/>
      <w:spacing w:before="80" w:after="160" w:line="240" w:lineRule="auto"/>
    </w:pPr>
    <w:rPr>
      <w:rFonts w:ascii="Arial" w:hAnsi="Arial" w:eastAsia="Arial" w:cs="Arial"/>
      <w:bCs/>
      <w:color w:val="000000"/>
      <w:sz w:val="18"/>
      <w:szCs w:val="18"/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keepNext/>
      <w:spacing w:after="200" w:line="240" w:lineRule="auto"/>
      <w:contextualSpacing/>
    </w:pPr>
    <w:rPr>
      <w:rFonts w:asciiTheme="majorHAnsi" w:hAnsiTheme="majorHAnsi" w:eastAsiaTheme="majorEastAsia" w:cstheme="majorBidi"/>
      <w:b/>
      <w:color w:val="000000"/>
      <w:spacing w:val="5"/>
      <w:kern w:val="28"/>
      <w:sz w:val="3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tiff"/><Relationship Id="rId8" Type="http://schemas.openxmlformats.org/officeDocument/2006/relationships/image" Target="media/image2.tiff"/><Relationship Id="rId7" Type="http://schemas.openxmlformats.org/officeDocument/2006/relationships/image" Target="media/image1.tiff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numbering" Target="numbering.xml"/><Relationship Id="rId10" Type="http://schemas.openxmlformats.org/officeDocument/2006/relationships/image" Target="media/image4.tiff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2271</Words>
  <Characters>15776</Characters>
  <Lines>0</Lines>
  <Paragraphs>0</Paragraphs>
  <TotalTime>0</TotalTime>
  <ScaleCrop>false</ScaleCrop>
  <LinksUpToDate>false</LinksUpToDate>
  <CharactersWithSpaces>17453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zxp</cp:lastModifiedBy>
  <dcterms:modified xsi:type="dcterms:W3CDTF">2026-09-05T03:34:22Z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eyJoZGlkIjoiNDI1NGQ4MDY4NjMxYWVlMzc3ODM2NDE0MmU1ODUxYzYiLCJ1c2VySWQiOiIyNzAxNzYzMzMifQ==</vt:lpwstr>
  </property>
  <property fmtid="{D5CDD505-2E9C-101B-9397-08002B2CF9AE}" pid="3" name="KSOProductBuildVer">
    <vt:lpwstr>2052-12.1.0.28488</vt:lpwstr>
  </property>
  <property fmtid="{D5CDD505-2E9C-101B-9397-08002B2CF9AE}" pid="4" name="ICV">
    <vt:lpwstr>8B0A157D2AA848928E9BFD5C7EF74E6D_12</vt:lpwstr>
  </property>
</Properties>
</file>