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2F6668" w14:textId="77777777" w:rsidR="0064178E" w:rsidRDefault="00A30050">
      <w:r>
        <w:rPr>
          <w:b/>
          <w:sz w:val="28"/>
        </w:rPr>
        <w:t>Supplementary Information</w:t>
      </w:r>
    </w:p>
    <w:p w14:paraId="2D788EEE" w14:textId="77777777" w:rsidR="0064178E" w:rsidRDefault="00A30050">
      <w:r>
        <w:rPr>
          <w:b/>
        </w:rPr>
        <w:t>Breast Cancer Evaluation and Targeted Investigational Therapy (BEAT-IT): A Pilot Prospective Tissue-Testing Study for Breast Cancer Clinical Trial Enrollment</w:t>
      </w:r>
    </w:p>
    <w:p w14:paraId="05101090" w14:textId="77777777" w:rsidR="0064178E" w:rsidRDefault="00A30050">
      <w:r>
        <w:t>Lim B, et al.</w:t>
      </w:r>
    </w:p>
    <w:p w14:paraId="54581E75" w14:textId="77777777" w:rsidR="0064178E" w:rsidRDefault="0064178E">
      <w:pPr>
        <w:jc w:val="both"/>
      </w:pPr>
    </w:p>
    <w:p w14:paraId="5395468B" w14:textId="77777777" w:rsidR="0064178E" w:rsidRDefault="00A30050">
      <w:r>
        <w:rPr>
          <w:b/>
        </w:rPr>
        <w:t>Contents</w:t>
      </w:r>
    </w:p>
    <w:p w14:paraId="20C02CBF" w14:textId="77777777" w:rsidR="0064178E" w:rsidRDefault="00A30050">
      <w:r>
        <w:t>Supplementary Figure 1. Oncoprint of targeted-sequencing results across the study cohort</w:t>
      </w:r>
    </w:p>
    <w:p w14:paraId="07816498" w14:textId="77777777" w:rsidR="0064178E" w:rsidRDefault="00A30050">
      <w:r>
        <w:t>Supplementary Figure 2. Multivariate Cox proportional-hazards model of all-cause mortality</w:t>
      </w:r>
    </w:p>
    <w:p w14:paraId="09FCE075" w14:textId="77777777" w:rsidR="0064178E" w:rsidRDefault="00A30050">
      <w:r>
        <w:t>Supplementary Table 1. Therapeutic clinical trial protocols with participations</w:t>
      </w:r>
    </w:p>
    <w:p w14:paraId="453B95B0" w14:textId="77777777" w:rsidR="0064178E" w:rsidRDefault="00A30050">
      <w:r>
        <w:t>Supplementary Table 2. Genes covered by the targeted sequencing panels</w:t>
      </w:r>
    </w:p>
    <w:p w14:paraId="19EA48B9" w14:textId="77777777" w:rsidR="0064178E" w:rsidRDefault="00A30050">
      <w:r>
        <w:t>Supplementary Table 3. Turnaround time by assay</w:t>
      </w:r>
    </w:p>
    <w:p w14:paraId="4BF49522" w14:textId="77777777" w:rsidR="0064178E" w:rsidRDefault="00A30050">
      <w:r>
        <w:t>Supplementary Table 4. Therapeutic protocols incorporating targeted agents directed at alterations identified in this study</w:t>
      </w:r>
    </w:p>
    <w:p w14:paraId="010A0E79" w14:textId="77777777" w:rsidR="0064178E" w:rsidRDefault="00A30050">
      <w:r>
        <w:t>Supplementary Table 5. Trial allocation rates in published precision oncology programs</w:t>
      </w:r>
    </w:p>
    <w:p w14:paraId="79D9F89E" w14:textId="77777777" w:rsidR="0064178E" w:rsidRDefault="00A30050">
      <w:r>
        <w:br w:type="page"/>
      </w:r>
    </w:p>
    <w:p w14:paraId="3A23BC3D" w14:textId="77777777" w:rsidR="0064178E" w:rsidRDefault="00A30050">
      <w:r>
        <w:rPr>
          <w:b/>
        </w:rPr>
        <w:lastRenderedPageBreak/>
        <w:t>Supplementary Figure 1. Oncoprint of targeted-sequencing results across the study cohort.</w:t>
      </w:r>
    </w:p>
    <w:p w14:paraId="07F93253" w14:textId="77777777" w:rsidR="0064178E" w:rsidRDefault="00A30050">
      <w:r>
        <w:rPr>
          <w:noProof/>
        </w:rPr>
        <w:drawing>
          <wp:inline distT="0" distB="0" distL="0" distR="0" wp14:anchorId="0F3AEE63" wp14:editId="62D80C7A">
            <wp:extent cx="5943600" cy="23456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C5C89" w14:textId="77777777" w:rsidR="0064178E" w:rsidRDefault="00A30050">
      <w:pPr>
        <w:jc w:val="both"/>
      </w:pPr>
      <w:r>
        <w:t>Rows list the 23 cancer-associated genes interrogated, and columns (x-axis) represent individual patients (numbered 1-48). Each colored square indicates the presence of a reportable alteration in the corresponding gene for a given patient, while empty cells denote no detected alteration. Variant classification is encoded by color (legend at right): red, germline polymorphism; olive, alteration of indeterminate significance; green, confirmed somatic mutation; blue, variant of uncertain significance (VUS); and magenta, variant detected and classified as a possible germline polymorphism. This oncoprint highlights recurrent alterations in genes such as TP53, PIK3CA, CDKN2A, and BRAF, and illustrates substantial inter-patient heterogeneity in the mutational landscape.</w:t>
      </w:r>
    </w:p>
    <w:p w14:paraId="3B46F16D" w14:textId="77777777" w:rsidR="0064178E" w:rsidRDefault="00A30050">
      <w:r>
        <w:br w:type="page"/>
      </w:r>
    </w:p>
    <w:p w14:paraId="2BA8AD9A" w14:textId="77777777" w:rsidR="0064178E" w:rsidRDefault="00A30050">
      <w:r>
        <w:rPr>
          <w:b/>
        </w:rPr>
        <w:lastRenderedPageBreak/>
        <w:t>Supplementary Figure 2. Multivariate Cox proportional-hazards model identifying independent predictors of all-cause mortality.</w:t>
      </w:r>
    </w:p>
    <w:p w14:paraId="0118BFF8" w14:textId="77777777" w:rsidR="0064178E" w:rsidRDefault="00A30050">
      <w:r>
        <w:rPr>
          <w:noProof/>
        </w:rPr>
        <w:drawing>
          <wp:inline distT="0" distB="0" distL="0" distR="0" wp14:anchorId="15638D39" wp14:editId="272D8293">
            <wp:extent cx="5486400" cy="36197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94A76" w14:textId="77777777" w:rsidR="0064178E" w:rsidRDefault="00A30050">
      <w:pPr>
        <w:jc w:val="both"/>
      </w:pPr>
      <w:r>
        <w:t>Dots represent adjusted hazard ratios (HRs) for each covariate derived from the multivariable Cox proportional hazards model, with horizontal bars indicating the corresponding 95% confidence intervals (CIs) displayed on a logarithmic scale. The dashed vertical line at HR = 1.0 denotes no association with mortality risk. Covariates that remained statistically significant after multivariable adjustment (p &lt; 0.05) are shown in red, while non-significant covariates are shown in blue.</w:t>
      </w:r>
    </w:p>
    <w:p w14:paraId="06FA61A5" w14:textId="77777777" w:rsidR="0064178E" w:rsidRDefault="00A30050">
      <w:pPr>
        <w:jc w:val="both"/>
      </w:pPr>
      <w:r>
        <w:t>Estrogen receptor (ER) positivity was independently associated with a significantly reduced risk of death (HR 0.16), whereas age showed a modest, non-significant increase in mortality risk per year (HR 1.01). Postmenopausal status, non-White race, clinical trial enrollment, HER2 positivity, and progesterone receptor (PR) positivity were not significantly associated with overall survival after adjustment.</w:t>
      </w:r>
    </w:p>
    <w:p w14:paraId="01FE0E3A" w14:textId="77777777" w:rsidR="006E3CFD" w:rsidRDefault="006E3CFD">
      <w:pPr>
        <w:jc w:val="both"/>
      </w:pPr>
    </w:p>
    <w:p w14:paraId="32D5CFCB" w14:textId="77777777" w:rsidR="006E3CFD" w:rsidRDefault="006E3CFD">
      <w:pPr>
        <w:jc w:val="both"/>
      </w:pPr>
    </w:p>
    <w:p w14:paraId="1702D3C6" w14:textId="77777777" w:rsidR="006E3CFD" w:rsidRDefault="006E3CFD">
      <w:pPr>
        <w:jc w:val="both"/>
      </w:pPr>
    </w:p>
    <w:p w14:paraId="5BC6E558" w14:textId="77777777" w:rsidR="006E3CFD" w:rsidRDefault="006E3CFD">
      <w:pPr>
        <w:jc w:val="both"/>
      </w:pPr>
    </w:p>
    <w:p w14:paraId="125A2710" w14:textId="77777777" w:rsidR="006E3CFD" w:rsidRDefault="006E3CFD">
      <w:pPr>
        <w:jc w:val="both"/>
      </w:pPr>
    </w:p>
    <w:p w14:paraId="40A67C7B" w14:textId="77777777" w:rsidR="006E3CFD" w:rsidRDefault="006E3CFD">
      <w:pPr>
        <w:jc w:val="both"/>
      </w:pPr>
    </w:p>
    <w:p w14:paraId="4C711355" w14:textId="77777777" w:rsidR="006E3CFD" w:rsidRDefault="006E3CFD">
      <w:pPr>
        <w:jc w:val="both"/>
      </w:pPr>
    </w:p>
    <w:p w14:paraId="25DCA0F3" w14:textId="777CAC42" w:rsidR="00447CD2" w:rsidRPr="002D7BE9" w:rsidRDefault="006E3CFD" w:rsidP="006E3CFD">
      <w:pPr>
        <w:spacing w:line="480" w:lineRule="auto"/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 xml:space="preserve">Supplemental </w:t>
      </w:r>
      <w:r w:rsidRPr="002D7BE9">
        <w:rPr>
          <w:rFonts w:cs="Arial"/>
          <w:b/>
          <w:bCs/>
        </w:rPr>
        <w:t xml:space="preserve">Table </w:t>
      </w:r>
      <w:r>
        <w:rPr>
          <w:rFonts w:cs="Arial"/>
          <w:b/>
          <w:bCs/>
        </w:rPr>
        <w:t>1</w:t>
      </w:r>
      <w:r w:rsidRPr="002D7BE9">
        <w:rPr>
          <w:rFonts w:cs="Arial"/>
          <w:b/>
          <w:bCs/>
        </w:rPr>
        <w:t>. Number of patients who were enrolled into the clinical trials based on available genomic, proteomic information</w:t>
      </w:r>
    </w:p>
    <w:tbl>
      <w:tblPr>
        <w:tblStyle w:val="GridTable5Dark-Accent3"/>
        <w:tblpPr w:leftFromText="180" w:rightFromText="180" w:vertAnchor="text" w:tblpY="1"/>
        <w:tblOverlap w:val="never"/>
        <w:tblW w:w="9918" w:type="dxa"/>
        <w:tblLook w:val="06A0" w:firstRow="1" w:lastRow="0" w:firstColumn="1" w:lastColumn="0" w:noHBand="1" w:noVBand="1"/>
      </w:tblPr>
      <w:tblGrid>
        <w:gridCol w:w="3685"/>
        <w:gridCol w:w="3060"/>
        <w:gridCol w:w="3173"/>
      </w:tblGrid>
      <w:tr w:rsidR="006E3CFD" w:rsidRPr="00E3153E" w14:paraId="171D03D2" w14:textId="77777777" w:rsidTr="00447C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03791973" w14:textId="77777777" w:rsidR="006E3CFD" w:rsidRPr="00E3153E" w:rsidRDefault="006E3CFD" w:rsidP="00447CD2">
            <w:pPr>
              <w:spacing w:line="480" w:lineRule="auto"/>
              <w:rPr>
                <w:rFonts w:cs="Arial"/>
                <w:sz w:val="18"/>
                <w:szCs w:val="18"/>
              </w:rPr>
            </w:pPr>
            <w:r w:rsidRPr="00E3153E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3060" w:type="dxa"/>
            <w:hideMark/>
          </w:tcPr>
          <w:p w14:paraId="57D20500" w14:textId="77777777" w:rsidR="006E3CFD" w:rsidRPr="00E3153E" w:rsidRDefault="006E3CFD" w:rsidP="00447CD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153E">
              <w:rPr>
                <w:rFonts w:cs="Arial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3173" w:type="dxa"/>
            <w:hideMark/>
          </w:tcPr>
          <w:p w14:paraId="2F16C1FE" w14:textId="77777777" w:rsidR="006E3CFD" w:rsidRPr="00E3153E" w:rsidRDefault="006E3CFD" w:rsidP="00447CD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153E">
              <w:rPr>
                <w:rFonts w:cs="Arial"/>
                <w:color w:val="000000" w:themeColor="text1"/>
                <w:sz w:val="18"/>
                <w:szCs w:val="18"/>
              </w:rPr>
              <w:t>% </w:t>
            </w:r>
          </w:p>
        </w:tc>
      </w:tr>
      <w:tr w:rsidR="006E3CFD" w:rsidRPr="00E3153E" w14:paraId="335EC424" w14:textId="77777777" w:rsidTr="00447CD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4F283AE6" w14:textId="77777777" w:rsidR="006E3CFD" w:rsidRPr="00E3153E" w:rsidRDefault="006E3CFD" w:rsidP="00447CD2">
            <w:pPr>
              <w:spacing w:line="480" w:lineRule="auto"/>
              <w:rPr>
                <w:rFonts w:cs="Arial"/>
                <w:color w:val="000000" w:themeColor="text1"/>
                <w:sz w:val="18"/>
                <w:szCs w:val="18"/>
              </w:rPr>
            </w:pPr>
            <w:r w:rsidRPr="00E3153E">
              <w:rPr>
                <w:rFonts w:cs="Arial"/>
                <w:color w:val="000000" w:themeColor="text1"/>
                <w:sz w:val="18"/>
                <w:szCs w:val="18"/>
              </w:rPr>
              <w:t>Completed biopsies</w:t>
            </w:r>
          </w:p>
        </w:tc>
        <w:tc>
          <w:tcPr>
            <w:tcW w:w="3060" w:type="dxa"/>
            <w:hideMark/>
          </w:tcPr>
          <w:p w14:paraId="55685874" w14:textId="77777777" w:rsidR="006E3CFD" w:rsidRPr="00E3153E" w:rsidRDefault="006E3CFD" w:rsidP="00447CD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E3153E">
              <w:rPr>
                <w:rFonts w:cs="Arial"/>
                <w:bCs/>
                <w:sz w:val="18"/>
                <w:szCs w:val="18"/>
              </w:rPr>
              <w:t>99</w:t>
            </w:r>
          </w:p>
        </w:tc>
        <w:tc>
          <w:tcPr>
            <w:tcW w:w="3173" w:type="dxa"/>
            <w:hideMark/>
          </w:tcPr>
          <w:p w14:paraId="1F163E3F" w14:textId="77777777" w:rsidR="006E3CFD" w:rsidRPr="00E3153E" w:rsidRDefault="006E3CFD" w:rsidP="00447CD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E3153E">
              <w:rPr>
                <w:rFonts w:cs="Arial"/>
                <w:bCs/>
                <w:sz w:val="18"/>
                <w:szCs w:val="18"/>
              </w:rPr>
              <w:t>77%</w:t>
            </w:r>
          </w:p>
        </w:tc>
      </w:tr>
      <w:tr w:rsidR="006E3CFD" w:rsidRPr="00E3153E" w14:paraId="416A368F" w14:textId="77777777" w:rsidTr="00447CD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hideMark/>
          </w:tcPr>
          <w:p w14:paraId="559756F8" w14:textId="77777777" w:rsidR="006E3CFD" w:rsidRPr="00E3153E" w:rsidRDefault="006E3CFD" w:rsidP="00447CD2">
            <w:pPr>
              <w:spacing w:line="480" w:lineRule="auto"/>
              <w:rPr>
                <w:rFonts w:cs="Arial"/>
                <w:color w:val="000000" w:themeColor="text1"/>
                <w:sz w:val="18"/>
                <w:szCs w:val="18"/>
              </w:rPr>
            </w:pPr>
            <w:r w:rsidRPr="00E3153E">
              <w:rPr>
                <w:rFonts w:cs="Arial"/>
                <w:color w:val="000000" w:themeColor="text1"/>
                <w:sz w:val="18"/>
                <w:szCs w:val="18"/>
              </w:rPr>
              <w:t>Patients on clinical trial(s) post biopsy</w:t>
            </w:r>
          </w:p>
        </w:tc>
        <w:tc>
          <w:tcPr>
            <w:tcW w:w="3060" w:type="dxa"/>
            <w:hideMark/>
          </w:tcPr>
          <w:p w14:paraId="29F04348" w14:textId="77777777" w:rsidR="006E3CFD" w:rsidRPr="00E3153E" w:rsidRDefault="006E3CFD" w:rsidP="00447CD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E3153E">
              <w:rPr>
                <w:rFonts w:cs="Arial"/>
                <w:bCs/>
                <w:sz w:val="18"/>
                <w:szCs w:val="18"/>
              </w:rPr>
              <w:t>35 (50 clinical trial participations)</w:t>
            </w:r>
          </w:p>
        </w:tc>
        <w:tc>
          <w:tcPr>
            <w:tcW w:w="3173" w:type="dxa"/>
            <w:hideMark/>
          </w:tcPr>
          <w:p w14:paraId="0151FD2C" w14:textId="77777777" w:rsidR="006E3CFD" w:rsidRPr="00E3153E" w:rsidRDefault="006E3CFD" w:rsidP="00447CD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E3153E">
              <w:rPr>
                <w:rFonts w:cs="Arial"/>
                <w:bCs/>
                <w:sz w:val="18"/>
                <w:szCs w:val="18"/>
              </w:rPr>
              <w:t>35%</w:t>
            </w:r>
          </w:p>
        </w:tc>
      </w:tr>
    </w:tbl>
    <w:p w14:paraId="16F70BA3" w14:textId="77777777" w:rsidR="00447CD2" w:rsidRDefault="00447CD2" w:rsidP="006E3CFD">
      <w:pPr>
        <w:spacing w:line="480" w:lineRule="auto"/>
        <w:rPr>
          <w:rFonts w:cs="Arial"/>
          <w:b/>
          <w:bCs/>
        </w:rPr>
      </w:pPr>
    </w:p>
    <w:p w14:paraId="5FCD5C63" w14:textId="6A6DF258" w:rsidR="006E3CFD" w:rsidRDefault="006E3CFD" w:rsidP="006E3CFD">
      <w:pPr>
        <w:spacing w:line="480" w:lineRule="auto"/>
        <w:rPr>
          <w:rFonts w:cs="Arial"/>
          <w:b/>
          <w:bCs/>
        </w:rPr>
      </w:pPr>
      <w:r w:rsidRPr="00415503">
        <w:rPr>
          <w:rFonts w:cs="Arial"/>
          <w:b/>
          <w:bCs/>
        </w:rPr>
        <w:t xml:space="preserve">Supplemental Table </w:t>
      </w:r>
      <w:r>
        <w:rPr>
          <w:rFonts w:cs="Arial"/>
          <w:b/>
          <w:bCs/>
        </w:rPr>
        <w:t>2</w:t>
      </w:r>
      <w:r w:rsidRPr="00415503">
        <w:rPr>
          <w:rFonts w:cs="Arial"/>
          <w:b/>
          <w:bCs/>
        </w:rPr>
        <w:t xml:space="preserve">. The list of NGS panel that was used for the </w:t>
      </w:r>
      <w:proofErr w:type="spellStart"/>
      <w:r w:rsidRPr="00415503">
        <w:rPr>
          <w:rFonts w:cs="Arial"/>
          <w:b/>
          <w:bCs/>
        </w:rPr>
        <w:t>Oncoprint</w:t>
      </w:r>
      <w:proofErr w:type="spellEnd"/>
      <w:r w:rsidRPr="00415503">
        <w:rPr>
          <w:rFonts w:cs="Arial"/>
          <w:b/>
          <w:bCs/>
        </w:rPr>
        <w:t xml:space="preserve">. 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400"/>
        <w:gridCol w:w="1400"/>
        <w:gridCol w:w="1400"/>
      </w:tblGrid>
      <w:tr w:rsidR="00F82900" w:rsidRPr="006023C3" w14:paraId="14F5F5CD" w14:textId="77777777" w:rsidTr="00D80BD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27F2D2E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3F533C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b/>
                <w:bCs/>
                <w:sz w:val="16"/>
                <w:szCs w:val="16"/>
              </w:rPr>
              <w:t>Sequenom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0D0FD24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b/>
                <w:bCs/>
                <w:sz w:val="16"/>
                <w:szCs w:val="16"/>
              </w:rPr>
              <w:t>CMS46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C8C145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b/>
                <w:bCs/>
                <w:sz w:val="16"/>
                <w:szCs w:val="16"/>
              </w:rPr>
              <w:t>CMS50</w:t>
            </w:r>
          </w:p>
        </w:tc>
      </w:tr>
      <w:tr w:rsidR="00F82900" w:rsidRPr="006023C3" w14:paraId="6AE0F5E1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AE36DEC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ABL1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1FCD64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BB4DF3F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4E546F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D0181B6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345ABC1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AKT1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2DADE0F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185C237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3786683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7E540C79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DD9FFF4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ALK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F3D0F8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48895D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6EA1C7F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BA5AD36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96F8413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APC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62AD259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3D48D80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C455A4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33DE0D2D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DF2D2C6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ATM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78CCDD2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FC0CD9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29C5E6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69F55093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8AC51EF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BRAF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5D02ED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EA0DE79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C83739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158EEE2B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320FB83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CDH1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35D777B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3BD6793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43B6498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291DCC93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7539E05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CDKN2A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DE1FAB6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15BEA3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E3602F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595E28B3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73DF871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CSF1R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F710D79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F1EAF8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74190D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5CF6AD86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C4C3565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CTNNB1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2A9196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C40DA6B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F07E55B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3C48C67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E6BC2DF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EGFR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71FD303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AEEC014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44B9CA0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0B713325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64B22EF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ERBB2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B880AA8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D0DB51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1E8CF9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24A6F32B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0C3D102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ERBB4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33606E7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AB3A93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96F0F33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1AA4B6C9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3CB71B8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EZH2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ED6630F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1A2E74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1905F4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7C3E289B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C04FE22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FBXW7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6963DC6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CCCA7DF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2511924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6057194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7A8BACB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FGFR1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F12F183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4C7FA7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6E18DAF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3B32E3F9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9E3101C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FGFR2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6EDD7B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D7A5823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993EE89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53B53FFD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A609802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FGFR3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6B4425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C61031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0C0E8F2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222595BA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B64AFF7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FLT3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0BF758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C0C1A4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757E62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6130ABD3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6EDCA74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lastRenderedPageBreak/>
              <w:t>GNA11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B7C7B5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195739B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D80CC76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565230AF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33C9924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GNAQ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6CBCB99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34E9E66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A1F858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2074AFA9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A227C99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GNAS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812B6F4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101590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BC21A38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EEBC02C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783ADA7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HNF1A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1A9AF8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5C03319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9752A7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123CBC13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5382BC1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HRAS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6F367C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2E1F167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0F6AC4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6E4E8A43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F07DDED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IDH1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BD994D8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52FE62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99C5AA7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2A1C4FA6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61B2520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IDH2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A6C0EF8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E8731D6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38FAE3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311695A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B2865F4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JAK2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7DC0287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E59DA6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81D31E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3A8AA42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E037F22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JAK3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731023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E2F8B3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0FBB703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7045564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8987A59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KDR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C9A700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BC902F4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98323E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068966E5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C4CB154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KIT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53B886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7EBD92B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DF6F7B2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1C8ABFBF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03D2300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KRAS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4749F9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91BA04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3E17D2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58CB19CF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1EACAEC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MET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7776C9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B8EBBA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DC279E4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14A9438D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2AA0F51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MLH1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11A463B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8051AE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6E6F09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075EB44E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C913896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MPL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A34AD7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1EF289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EF5D0F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0C9154DA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737D1A0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NOTCH1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371D74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15D2ED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EDBAD3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7E680783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E70ED50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NPM1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D4CDFC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9323E6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79085C0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18561FA2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7F53B07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NRAS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5E660E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2210E6F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93383DB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0BF510D9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B0850BC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PDGFRA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90E0FB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B7CD982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FB132C2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028CE5B3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3941C8A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PIK3CA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417AD73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B661461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628B3F8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2D0B464F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254A4C5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PTEN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44201DF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34E8C6B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76DDED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3ED28A48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4951ADE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PTPN11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7348C2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5F12496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F154A5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296C0AC4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E0FC459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RB1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DEC5C28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F982B7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BC96D1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3568EF8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0E5C637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RET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9F1EA9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0C2A9E8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6FD028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3786850A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AB79416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SMAD4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FB90196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77E990F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EC28573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2E57F0AA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EAA98A4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SMARCB1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1AE9469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18048E7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17987B6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686532CA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EB86F4A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SMO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49264C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F31F8B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B207CE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82AED0D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D5A4D0C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lastRenderedPageBreak/>
              <w:t>SRC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C4A7AC8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055380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0542C0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34AAA9C2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1D4EF01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STK11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0E1C6B0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090392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7EDB0F6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20DF4759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23F34FF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TP53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DE0D2FC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50AD7CD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C05AD8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41003586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0C0EE5C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i/>
                <w:iCs/>
                <w:sz w:val="16"/>
                <w:szCs w:val="16"/>
              </w:rPr>
              <w:t>VHL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4850EC5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F94831E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F76F0C9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sz w:val="16"/>
                <w:szCs w:val="16"/>
              </w:rPr>
              <w:t>Y</w:t>
            </w:r>
          </w:p>
        </w:tc>
      </w:tr>
      <w:tr w:rsidR="00F82900" w:rsidRPr="006023C3" w14:paraId="158D83DE" w14:textId="77777777" w:rsidTr="00D80BDB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0121BBD" w14:textId="77777777" w:rsidR="00F82900" w:rsidRPr="006023C3" w:rsidRDefault="00F82900" w:rsidP="00D80BDB">
            <w:pPr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b/>
                <w:bCs/>
                <w:sz w:val="16"/>
                <w:szCs w:val="16"/>
              </w:rPr>
              <w:t>Total genes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1BEF522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5CEDA2A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B945BAB" w14:textId="77777777" w:rsidR="00F82900" w:rsidRPr="006023C3" w:rsidRDefault="00F82900" w:rsidP="00D80BDB">
            <w:pPr>
              <w:jc w:val="center"/>
              <w:rPr>
                <w:sz w:val="16"/>
                <w:szCs w:val="16"/>
              </w:rPr>
            </w:pPr>
            <w:r w:rsidRPr="006023C3">
              <w:rPr>
                <w:rFonts w:eastAsia="Arial" w:cs="Arial"/>
                <w:b/>
                <w:bCs/>
                <w:sz w:val="16"/>
                <w:szCs w:val="16"/>
              </w:rPr>
              <w:t>50</w:t>
            </w:r>
          </w:p>
        </w:tc>
      </w:tr>
    </w:tbl>
    <w:p w14:paraId="71089FD5" w14:textId="77777777" w:rsidR="00F82900" w:rsidRDefault="00F82900" w:rsidP="00F82900">
      <w:pPr>
        <w:spacing w:before="60"/>
      </w:pPr>
      <w:r>
        <w:rPr>
          <w:rFonts w:eastAsia="Arial" w:cs="Arial"/>
          <w:sz w:val="16"/>
          <w:szCs w:val="16"/>
        </w:rPr>
        <w:t>Y, gene included in panel; N, gene not included.</w:t>
      </w:r>
    </w:p>
    <w:p w14:paraId="187242F3" w14:textId="77777777" w:rsidR="00F82900" w:rsidRPr="00415503" w:rsidRDefault="00F82900" w:rsidP="006E3CFD">
      <w:pPr>
        <w:spacing w:line="480" w:lineRule="auto"/>
        <w:rPr>
          <w:rFonts w:cs="Arial"/>
          <w:b/>
          <w:bCs/>
        </w:rPr>
      </w:pPr>
    </w:p>
    <w:p w14:paraId="6217ABDE" w14:textId="77777777" w:rsidR="006E3CFD" w:rsidRPr="00AF58F1" w:rsidRDefault="006E3CFD" w:rsidP="006E3CFD">
      <w:pPr>
        <w:spacing w:line="480" w:lineRule="auto"/>
        <w:rPr>
          <w:rFonts w:cs="Arial"/>
          <w:b/>
          <w:bCs/>
        </w:rPr>
      </w:pPr>
      <w:r w:rsidRPr="00AF58F1">
        <w:rPr>
          <w:rFonts w:cs="Arial"/>
          <w:b/>
          <w:bCs/>
        </w:rPr>
        <w:t xml:space="preserve">Supplemental table </w:t>
      </w:r>
      <w:r>
        <w:rPr>
          <w:rFonts w:cs="Arial"/>
          <w:b/>
          <w:bCs/>
        </w:rPr>
        <w:t>3</w:t>
      </w:r>
      <w:r w:rsidRPr="00AF58F1">
        <w:rPr>
          <w:rFonts w:cs="Arial"/>
          <w:b/>
          <w:bCs/>
        </w:rPr>
        <w:t>. Turnaround time from biopsy to the result reported to physician</w:t>
      </w:r>
    </w:p>
    <w:tbl>
      <w:tblPr>
        <w:tblStyle w:val="GridTable5Dark-Accent3"/>
        <w:tblW w:w="7128" w:type="dxa"/>
        <w:tblLook w:val="06A0" w:firstRow="1" w:lastRow="0" w:firstColumn="1" w:lastColumn="0" w:noHBand="1" w:noVBand="1"/>
      </w:tblPr>
      <w:tblGrid>
        <w:gridCol w:w="3415"/>
        <w:gridCol w:w="3713"/>
      </w:tblGrid>
      <w:tr w:rsidR="006E3CFD" w:rsidRPr="00DA2830" w14:paraId="46ABE525" w14:textId="77777777" w:rsidTr="00D80B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hideMark/>
          </w:tcPr>
          <w:p w14:paraId="412942E2" w14:textId="77777777" w:rsidR="006E3CFD" w:rsidRPr="003E0013" w:rsidRDefault="006E3CFD" w:rsidP="00D80BDB">
            <w:pPr>
              <w:spacing w:line="48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713" w:type="dxa"/>
            <w:hideMark/>
          </w:tcPr>
          <w:p w14:paraId="66F7ACC5" w14:textId="77777777" w:rsidR="006E3CFD" w:rsidRPr="003E0013" w:rsidRDefault="006E3CFD" w:rsidP="00D80BD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3E0013">
              <w:rPr>
                <w:rFonts w:cs="Arial"/>
                <w:sz w:val="18"/>
                <w:szCs w:val="18"/>
              </w:rPr>
              <w:t>Days Average (Range) </w:t>
            </w:r>
          </w:p>
        </w:tc>
      </w:tr>
      <w:tr w:rsidR="006E3CFD" w:rsidRPr="00DA2830" w14:paraId="5E6A7EFD" w14:textId="77777777" w:rsidTr="00D80BDB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hideMark/>
          </w:tcPr>
          <w:p w14:paraId="4B82A5A4" w14:textId="77777777" w:rsidR="006E3CFD" w:rsidRPr="003E0013" w:rsidRDefault="006E3CFD" w:rsidP="00D80BDB">
            <w:pPr>
              <w:spacing w:line="480" w:lineRule="auto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3E0013">
              <w:rPr>
                <w:rFonts w:cs="Arial"/>
                <w:color w:val="000000" w:themeColor="text1"/>
                <w:sz w:val="18"/>
                <w:szCs w:val="18"/>
              </w:rPr>
              <w:t xml:space="preserve">Immunohistochemistry </w:t>
            </w:r>
          </w:p>
        </w:tc>
        <w:tc>
          <w:tcPr>
            <w:tcW w:w="3713" w:type="dxa"/>
            <w:hideMark/>
          </w:tcPr>
          <w:p w14:paraId="6E195F50" w14:textId="77777777" w:rsidR="006E3CFD" w:rsidRPr="003E0013" w:rsidRDefault="006E3CFD" w:rsidP="00D80BD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3E0013">
              <w:rPr>
                <w:rFonts w:cs="Arial"/>
                <w:sz w:val="18"/>
                <w:szCs w:val="18"/>
              </w:rPr>
              <w:t>20 (2-121)</w:t>
            </w:r>
          </w:p>
        </w:tc>
      </w:tr>
      <w:tr w:rsidR="006E3CFD" w:rsidRPr="00DA2830" w14:paraId="1271897C" w14:textId="77777777" w:rsidTr="00D80BD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hideMark/>
          </w:tcPr>
          <w:p w14:paraId="3696A493" w14:textId="77777777" w:rsidR="006E3CFD" w:rsidRPr="003E0013" w:rsidRDefault="006E3CFD" w:rsidP="00D80BDB">
            <w:pPr>
              <w:spacing w:line="480" w:lineRule="auto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3E0013">
              <w:rPr>
                <w:rFonts w:cs="Arial"/>
                <w:color w:val="000000" w:themeColor="text1"/>
                <w:sz w:val="18"/>
                <w:szCs w:val="18"/>
              </w:rPr>
              <w:t>Cytogenetics</w:t>
            </w:r>
          </w:p>
        </w:tc>
        <w:tc>
          <w:tcPr>
            <w:tcW w:w="3713" w:type="dxa"/>
            <w:hideMark/>
          </w:tcPr>
          <w:p w14:paraId="4C346E1F" w14:textId="77777777" w:rsidR="006E3CFD" w:rsidRPr="003E0013" w:rsidRDefault="006E3CFD" w:rsidP="00D80BD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3E0013">
              <w:rPr>
                <w:rFonts w:cs="Arial"/>
                <w:sz w:val="18"/>
                <w:szCs w:val="18"/>
              </w:rPr>
              <w:t>20 (5-99)</w:t>
            </w:r>
          </w:p>
        </w:tc>
      </w:tr>
      <w:tr w:rsidR="006E3CFD" w:rsidRPr="00DA2830" w14:paraId="13640C43" w14:textId="77777777" w:rsidTr="00D80BDB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hideMark/>
          </w:tcPr>
          <w:p w14:paraId="28B414F1" w14:textId="77777777" w:rsidR="006E3CFD" w:rsidRPr="003E0013" w:rsidRDefault="006E3CFD" w:rsidP="00D80BDB">
            <w:pPr>
              <w:spacing w:line="480" w:lineRule="auto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3E0013">
              <w:rPr>
                <w:rFonts w:cs="Arial"/>
                <w:color w:val="000000" w:themeColor="text1"/>
                <w:sz w:val="18"/>
                <w:szCs w:val="18"/>
              </w:rPr>
              <w:t>Molecular Diagnostics</w:t>
            </w:r>
          </w:p>
        </w:tc>
        <w:tc>
          <w:tcPr>
            <w:tcW w:w="3713" w:type="dxa"/>
            <w:hideMark/>
          </w:tcPr>
          <w:p w14:paraId="1F94328D" w14:textId="77777777" w:rsidR="006E3CFD" w:rsidRPr="003E0013" w:rsidRDefault="006E3CFD" w:rsidP="00D80BD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3E0013">
              <w:rPr>
                <w:rFonts w:cs="Arial"/>
                <w:sz w:val="18"/>
                <w:szCs w:val="18"/>
              </w:rPr>
              <w:t>21 (8-101)</w:t>
            </w:r>
          </w:p>
        </w:tc>
      </w:tr>
    </w:tbl>
    <w:p w14:paraId="0037334C" w14:textId="1763C1A2" w:rsidR="00F82900" w:rsidRDefault="00F82900" w:rsidP="006E3CFD">
      <w:pPr>
        <w:spacing w:line="480" w:lineRule="auto"/>
        <w:rPr>
          <w:rFonts w:cs="Arial"/>
        </w:rPr>
      </w:pPr>
    </w:p>
    <w:p w14:paraId="69082004" w14:textId="77777777" w:rsidR="00F82900" w:rsidRDefault="00F82900">
      <w:pPr>
        <w:rPr>
          <w:rFonts w:cs="Arial"/>
        </w:rPr>
      </w:pPr>
      <w:r>
        <w:rPr>
          <w:rFonts w:cs="Arial"/>
        </w:rPr>
        <w:br w:type="page"/>
      </w:r>
    </w:p>
    <w:p w14:paraId="23ABF85D" w14:textId="77777777" w:rsidR="006E3CFD" w:rsidRDefault="006E3CFD" w:rsidP="006E3CFD">
      <w:pPr>
        <w:spacing w:line="480" w:lineRule="auto"/>
        <w:rPr>
          <w:rFonts w:cs="Arial"/>
        </w:rPr>
      </w:pPr>
    </w:p>
    <w:p w14:paraId="031969F5" w14:textId="242498E2" w:rsidR="006E3CFD" w:rsidRPr="00E76BFE" w:rsidRDefault="006E3CFD" w:rsidP="006E3CFD">
      <w:pPr>
        <w:spacing w:line="480" w:lineRule="auto"/>
        <w:rPr>
          <w:rFonts w:cs="Arial"/>
          <w:b/>
          <w:bCs/>
        </w:rPr>
      </w:pPr>
      <w:r>
        <w:rPr>
          <w:rFonts w:cs="Arial"/>
          <w:b/>
          <w:bCs/>
        </w:rPr>
        <w:t xml:space="preserve">Supplemental </w:t>
      </w:r>
      <w:r w:rsidRPr="00E76BFE">
        <w:rPr>
          <w:rFonts w:cs="Arial"/>
          <w:b/>
          <w:bCs/>
        </w:rPr>
        <w:t xml:space="preserve">Table </w:t>
      </w:r>
      <w:r w:rsidR="00B50346">
        <w:rPr>
          <w:rFonts w:cs="Arial"/>
          <w:b/>
          <w:bCs/>
        </w:rPr>
        <w:t>4</w:t>
      </w:r>
      <w:r w:rsidRPr="00E76BFE">
        <w:rPr>
          <w:rFonts w:cs="Arial"/>
          <w:b/>
          <w:bCs/>
        </w:rPr>
        <w:t>. The metrics of our measurements and comparison to other reported benchmarks</w:t>
      </w:r>
    </w:p>
    <w:tbl>
      <w:tblPr>
        <w:tblStyle w:val="GridTable5Dark-Accent3"/>
        <w:tblW w:w="9977" w:type="dxa"/>
        <w:tblLayout w:type="fixed"/>
        <w:tblLook w:val="06A0" w:firstRow="1" w:lastRow="0" w:firstColumn="1" w:lastColumn="0" w:noHBand="1" w:noVBand="1"/>
      </w:tblPr>
      <w:tblGrid>
        <w:gridCol w:w="2108"/>
        <w:gridCol w:w="4277"/>
        <w:gridCol w:w="376"/>
        <w:gridCol w:w="3216"/>
      </w:tblGrid>
      <w:tr w:rsidR="006E3CFD" w:rsidRPr="00F85F84" w14:paraId="02A8F8FF" w14:textId="77777777" w:rsidTr="00D80B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01029EB2" w14:textId="77777777" w:rsidR="006E3CFD" w:rsidRPr="00E76BFE" w:rsidRDefault="006E3CFD" w:rsidP="00D80BDB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</w:pPr>
            <w:r w:rsidRPr="00E76BFE">
              <w:rPr>
                <w:rFonts w:cs="Arial"/>
                <w:b w:val="0"/>
                <w:bCs w:val="0"/>
                <w:color w:val="000000" w:themeColor="text1"/>
                <w:sz w:val="18"/>
                <w:szCs w:val="18"/>
                <w14:ligatures w14:val="standardContextual"/>
              </w:rPr>
              <w:t>Metric</w:t>
            </w:r>
          </w:p>
        </w:tc>
        <w:tc>
          <w:tcPr>
            <w:tcW w:w="4653" w:type="dxa"/>
            <w:gridSpan w:val="2"/>
          </w:tcPr>
          <w:p w14:paraId="5C8EB91A" w14:textId="77777777" w:rsidR="006E3CFD" w:rsidRPr="00E76BFE" w:rsidRDefault="006E3CFD" w:rsidP="00D80BDB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</w:pPr>
            <w:r w:rsidRPr="00E76BFE">
              <w:rPr>
                <w:rFonts w:cs="Arial"/>
                <w:b w:val="0"/>
                <w:bCs w:val="0"/>
                <w:color w:val="000000" w:themeColor="text1"/>
                <w:sz w:val="18"/>
                <w:szCs w:val="18"/>
                <w14:ligatures w14:val="standardContextual"/>
              </w:rPr>
              <w:t>Result</w:t>
            </w:r>
          </w:p>
        </w:tc>
        <w:tc>
          <w:tcPr>
            <w:tcW w:w="3216" w:type="dxa"/>
          </w:tcPr>
          <w:p w14:paraId="6A60123F" w14:textId="77777777" w:rsidR="006E3CFD" w:rsidRPr="00E76BFE" w:rsidRDefault="006E3CFD" w:rsidP="00D80BDB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</w:pPr>
            <w:r w:rsidRPr="00E76BFE">
              <w:rPr>
                <w:rFonts w:cs="Arial"/>
                <w:b w:val="0"/>
                <w:bCs w:val="0"/>
                <w:color w:val="000000" w:themeColor="text1"/>
                <w:sz w:val="18"/>
                <w:szCs w:val="18"/>
                <w14:ligatures w14:val="standardContextual"/>
              </w:rPr>
              <w:t>Benchmark comparison</w:t>
            </w:r>
          </w:p>
        </w:tc>
      </w:tr>
      <w:tr w:rsidR="006E3CFD" w:rsidRPr="00F85F84" w14:paraId="298A7771" w14:textId="77777777" w:rsidTr="00D80BDB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2764F6A6" w14:textId="77777777" w:rsidR="006E3CFD" w:rsidRPr="00E76BFE" w:rsidRDefault="006E3CFD" w:rsidP="00D80BDB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</w:pPr>
            <w:r w:rsidRPr="00E76BFE"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  <w:t>Biopsy adequacy</w:t>
            </w:r>
          </w:p>
        </w:tc>
        <w:tc>
          <w:tcPr>
            <w:tcW w:w="4277" w:type="dxa"/>
          </w:tcPr>
          <w:p w14:paraId="675717FE" w14:textId="77777777" w:rsidR="006E3CFD" w:rsidRPr="009C74F5" w:rsidRDefault="006E3CFD" w:rsidP="00D80BD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14:ligatures w14:val="standardContextual"/>
              </w:rPr>
            </w:pP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77 % (98/128) yielded ≥2 viable cores</w:t>
            </w:r>
          </w:p>
        </w:tc>
        <w:tc>
          <w:tcPr>
            <w:tcW w:w="3592" w:type="dxa"/>
            <w:gridSpan w:val="2"/>
          </w:tcPr>
          <w:p w14:paraId="13406C61" w14:textId="77777777" w:rsidR="006E3CFD" w:rsidRPr="009C74F5" w:rsidRDefault="006E3CFD" w:rsidP="00D80BD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14:ligatures w14:val="standardContextual"/>
              </w:rPr>
            </w:pP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NCI</w:t>
            </w:r>
            <w:r w:rsidRPr="009C74F5">
              <w:rPr>
                <w:rFonts w:ascii="Cambria Math" w:hAnsi="Cambria Math" w:cs="Cambria Math"/>
                <w:sz w:val="18"/>
                <w:szCs w:val="18"/>
                <w14:ligatures w14:val="standardContextual"/>
              </w:rPr>
              <w:t>‑</w:t>
            </w: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MATCH 87 %* (DNA only); SAFIR</w:t>
            </w:r>
            <w:r w:rsidRPr="009C74F5">
              <w:rPr>
                <w:rFonts w:ascii="Cambria Math" w:hAnsi="Cambria Math" w:cs="Cambria Math"/>
                <w:sz w:val="18"/>
                <w:szCs w:val="18"/>
                <w14:ligatures w14:val="standardContextual"/>
              </w:rPr>
              <w:t>‑</w:t>
            </w: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2 85 %*</w:t>
            </w:r>
          </w:p>
        </w:tc>
      </w:tr>
      <w:tr w:rsidR="006E3CFD" w:rsidRPr="00F85F84" w14:paraId="6AA42FE6" w14:textId="77777777" w:rsidTr="00D80BDB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4014F85A" w14:textId="77777777" w:rsidR="006E3CFD" w:rsidRPr="00E76BFE" w:rsidRDefault="006E3CFD" w:rsidP="00D80BDB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</w:pPr>
            <w:r w:rsidRPr="00E76BFE"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  <w:t>Turn</w:t>
            </w:r>
            <w:r w:rsidRPr="00E76BFE">
              <w:rPr>
                <w:rFonts w:ascii="Cambria Math" w:hAnsi="Cambria Math" w:cs="Cambria Math"/>
                <w:color w:val="000000" w:themeColor="text1"/>
                <w:sz w:val="18"/>
                <w:szCs w:val="18"/>
                <w14:ligatures w14:val="standardContextual"/>
              </w:rPr>
              <w:t>‑</w:t>
            </w:r>
            <w:r w:rsidRPr="00E76BFE"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  <w:t>around time (TAT)</w:t>
            </w:r>
          </w:p>
        </w:tc>
        <w:tc>
          <w:tcPr>
            <w:tcW w:w="4277" w:type="dxa"/>
          </w:tcPr>
          <w:p w14:paraId="7F88676A" w14:textId="77777777" w:rsidR="006E3CFD" w:rsidRPr="009C74F5" w:rsidRDefault="006E3CFD" w:rsidP="00D80BD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14:ligatures w14:val="standardContextual"/>
              </w:rPr>
            </w:pP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Median 20 days (IQR 16–24) from tissue receipt to molecular</w:t>
            </w:r>
            <w:r w:rsidRPr="009C74F5">
              <w:rPr>
                <w:rFonts w:ascii="Cambria Math" w:hAnsi="Cambria Math" w:cs="Cambria Math"/>
                <w:sz w:val="18"/>
                <w:szCs w:val="18"/>
                <w14:ligatures w14:val="standardContextual"/>
              </w:rPr>
              <w:t>‑</w:t>
            </w: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tumor</w:t>
            </w:r>
            <w:r w:rsidRPr="009C74F5">
              <w:rPr>
                <w:rFonts w:ascii="Cambria Math" w:hAnsi="Cambria Math" w:cs="Cambria Math"/>
                <w:sz w:val="18"/>
                <w:szCs w:val="18"/>
                <w14:ligatures w14:val="standardContextual"/>
              </w:rPr>
              <w:t>‑</w:t>
            </w: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board recommendation</w:t>
            </w:r>
          </w:p>
        </w:tc>
        <w:tc>
          <w:tcPr>
            <w:tcW w:w="3592" w:type="dxa"/>
            <w:gridSpan w:val="2"/>
          </w:tcPr>
          <w:p w14:paraId="2EF43BBB" w14:textId="77777777" w:rsidR="006E3CFD" w:rsidRPr="009C74F5" w:rsidRDefault="006E3CFD" w:rsidP="00D80BD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14:ligatures w14:val="standardContextual"/>
              </w:rPr>
            </w:pP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NCI</w:t>
            </w:r>
            <w:r w:rsidRPr="009C74F5">
              <w:rPr>
                <w:rFonts w:ascii="Cambria Math" w:hAnsi="Cambria Math" w:cs="Cambria Math"/>
                <w:sz w:val="18"/>
                <w:szCs w:val="18"/>
                <w14:ligatures w14:val="standardContextual"/>
              </w:rPr>
              <w:t>‑</w:t>
            </w: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MATCH median 25 days*</w:t>
            </w:r>
          </w:p>
        </w:tc>
      </w:tr>
      <w:tr w:rsidR="006E3CFD" w:rsidRPr="00F85F84" w14:paraId="6D0FAC51" w14:textId="77777777" w:rsidTr="00D80BDB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37CE88E2" w14:textId="77777777" w:rsidR="006E3CFD" w:rsidRPr="00E76BFE" w:rsidRDefault="006E3CFD" w:rsidP="00D80BDB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</w:pPr>
            <w:r w:rsidRPr="00E76BFE"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  <w:t>Patient</w:t>
            </w:r>
            <w:r w:rsidRPr="00E76BFE">
              <w:rPr>
                <w:rFonts w:ascii="Cambria Math" w:hAnsi="Cambria Math" w:cs="Cambria Math"/>
                <w:color w:val="000000" w:themeColor="text1"/>
                <w:sz w:val="18"/>
                <w:szCs w:val="18"/>
                <w14:ligatures w14:val="standardContextual"/>
              </w:rPr>
              <w:t>‑</w:t>
            </w:r>
            <w:r w:rsidRPr="00E76BFE"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  <w:t>level match rate</w:t>
            </w:r>
          </w:p>
        </w:tc>
        <w:tc>
          <w:tcPr>
            <w:tcW w:w="4277" w:type="dxa"/>
          </w:tcPr>
          <w:p w14:paraId="09662963" w14:textId="77777777" w:rsidR="006E3CFD" w:rsidRPr="009C74F5" w:rsidRDefault="006E3CFD" w:rsidP="00D80BD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14:ligatures w14:val="standardContextual"/>
              </w:rPr>
            </w:pP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27 % (35/128) received a biologically matched regimen</w:t>
            </w:r>
          </w:p>
        </w:tc>
        <w:tc>
          <w:tcPr>
            <w:tcW w:w="3592" w:type="dxa"/>
            <w:gridSpan w:val="2"/>
          </w:tcPr>
          <w:p w14:paraId="2F4E61EE" w14:textId="77777777" w:rsidR="006E3CFD" w:rsidRPr="009C74F5" w:rsidRDefault="006E3CFD" w:rsidP="00D80BD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14:ligatures w14:val="standardContextual"/>
              </w:rPr>
            </w:pPr>
            <w:proofErr w:type="gramStart"/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Similar to</w:t>
            </w:r>
            <w:proofErr w:type="gramEnd"/>
            <w:r w:rsidRPr="009C74F5">
              <w:rPr>
                <w:rFonts w:cs="Arial"/>
                <w:sz w:val="18"/>
                <w:szCs w:val="18"/>
                <w14:ligatures w14:val="standardContextual"/>
              </w:rPr>
              <w:t xml:space="preserve"> MSK</w:t>
            </w:r>
            <w:r w:rsidRPr="009C74F5">
              <w:rPr>
                <w:rFonts w:ascii="Cambria Math" w:hAnsi="Cambria Math" w:cs="Cambria Math"/>
                <w:sz w:val="18"/>
                <w:szCs w:val="18"/>
                <w14:ligatures w14:val="standardContextual"/>
              </w:rPr>
              <w:t>‑</w:t>
            </w: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IMPACT 25 %†, higher than SAFIR</w:t>
            </w:r>
            <w:r w:rsidRPr="009C74F5">
              <w:rPr>
                <w:rFonts w:ascii="Cambria Math" w:hAnsi="Cambria Math" w:cs="Cambria Math"/>
                <w:sz w:val="18"/>
                <w:szCs w:val="18"/>
                <w14:ligatures w14:val="standardContextual"/>
              </w:rPr>
              <w:t>‑</w:t>
            </w: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2 19 %*</w:t>
            </w:r>
          </w:p>
        </w:tc>
      </w:tr>
      <w:tr w:rsidR="006E3CFD" w:rsidRPr="00F85F84" w14:paraId="492B8A3E" w14:textId="77777777" w:rsidTr="00D80BDB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0D529CDC" w14:textId="77777777" w:rsidR="006E3CFD" w:rsidRPr="00E76BFE" w:rsidRDefault="006E3CFD" w:rsidP="00D80BDB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</w:pPr>
            <w:r w:rsidRPr="00E76BFE">
              <w:rPr>
                <w:rFonts w:cs="Arial"/>
                <w:color w:val="000000" w:themeColor="text1"/>
                <w:sz w:val="18"/>
                <w:szCs w:val="18"/>
                <w14:ligatures w14:val="standardContextual"/>
              </w:rPr>
              <w:t>Safety</w:t>
            </w:r>
          </w:p>
        </w:tc>
        <w:tc>
          <w:tcPr>
            <w:tcW w:w="4277" w:type="dxa"/>
          </w:tcPr>
          <w:p w14:paraId="355859F2" w14:textId="77777777" w:rsidR="006E3CFD" w:rsidRPr="009C74F5" w:rsidRDefault="006E3CFD" w:rsidP="00D80BD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14:ligatures w14:val="standardContextual"/>
              </w:rPr>
            </w:pP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0 hospitalizations; 1 grade</w:t>
            </w:r>
            <w:r w:rsidRPr="009C74F5">
              <w:rPr>
                <w:rFonts w:ascii="Cambria Math" w:hAnsi="Cambria Math" w:cs="Cambria Math"/>
                <w:sz w:val="18"/>
                <w:szCs w:val="18"/>
                <w14:ligatures w14:val="standardContextual"/>
              </w:rPr>
              <w:t>‑</w:t>
            </w: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1 pneumothorax resolved with overnight observation</w:t>
            </w:r>
          </w:p>
        </w:tc>
        <w:tc>
          <w:tcPr>
            <w:tcW w:w="3592" w:type="dxa"/>
            <w:gridSpan w:val="2"/>
          </w:tcPr>
          <w:p w14:paraId="197F7155" w14:textId="77777777" w:rsidR="006E3CFD" w:rsidRPr="009C74F5" w:rsidRDefault="006E3CFD" w:rsidP="00D80BD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14:ligatures w14:val="standardContextual"/>
              </w:rPr>
            </w:pP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Comparable to literature for image</w:t>
            </w:r>
            <w:r w:rsidRPr="009C74F5">
              <w:rPr>
                <w:rFonts w:ascii="Cambria Math" w:hAnsi="Cambria Math" w:cs="Cambria Math"/>
                <w:sz w:val="18"/>
                <w:szCs w:val="18"/>
                <w14:ligatures w14:val="standardContextual"/>
              </w:rPr>
              <w:t>‑</w:t>
            </w:r>
            <w:r w:rsidRPr="009C74F5">
              <w:rPr>
                <w:rFonts w:cs="Arial"/>
                <w:sz w:val="18"/>
                <w:szCs w:val="18"/>
                <w14:ligatures w14:val="standardContextual"/>
              </w:rPr>
              <w:t>guided biopsies</w:t>
            </w:r>
          </w:p>
        </w:tc>
      </w:tr>
    </w:tbl>
    <w:p w14:paraId="1BC5227C" w14:textId="77777777" w:rsidR="006E3CFD" w:rsidRDefault="006E3CFD">
      <w:pPr>
        <w:jc w:val="both"/>
      </w:pPr>
    </w:p>
    <w:p w14:paraId="792B0DF7" w14:textId="77777777" w:rsidR="006E3CFD" w:rsidRDefault="006E3CFD">
      <w:pPr>
        <w:jc w:val="both"/>
      </w:pPr>
    </w:p>
    <w:sectPr w:rsidR="006E3CFD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6093968">
    <w:abstractNumId w:val="8"/>
  </w:num>
  <w:num w:numId="2" w16cid:durableId="578832308">
    <w:abstractNumId w:val="6"/>
  </w:num>
  <w:num w:numId="3" w16cid:durableId="127164654">
    <w:abstractNumId w:val="5"/>
  </w:num>
  <w:num w:numId="4" w16cid:durableId="829443797">
    <w:abstractNumId w:val="4"/>
  </w:num>
  <w:num w:numId="5" w16cid:durableId="108548813">
    <w:abstractNumId w:val="7"/>
  </w:num>
  <w:num w:numId="6" w16cid:durableId="1227300760">
    <w:abstractNumId w:val="3"/>
  </w:num>
  <w:num w:numId="7" w16cid:durableId="1839422741">
    <w:abstractNumId w:val="2"/>
  </w:num>
  <w:num w:numId="8" w16cid:durableId="1894005546">
    <w:abstractNumId w:val="1"/>
  </w:num>
  <w:num w:numId="9" w16cid:durableId="5511177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69E3"/>
    <w:rsid w:val="002E1644"/>
    <w:rsid w:val="00326F90"/>
    <w:rsid w:val="00447CD2"/>
    <w:rsid w:val="0064178E"/>
    <w:rsid w:val="006E3CFD"/>
    <w:rsid w:val="0080155F"/>
    <w:rsid w:val="00A30050"/>
    <w:rsid w:val="00AA1D8D"/>
    <w:rsid w:val="00B47730"/>
    <w:rsid w:val="00B50346"/>
    <w:rsid w:val="00CB0664"/>
    <w:rsid w:val="00F829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021AED9-4788-F444-927E-27813D21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5Dark-Accent3">
    <w:name w:val="Grid Table 5 Dark Accent 3"/>
    <w:basedOn w:val="TableNormal"/>
    <w:uiPriority w:val="50"/>
    <w:rsid w:val="006E3CFD"/>
    <w:pPr>
      <w:spacing w:after="0" w:line="240" w:lineRule="auto"/>
    </w:pPr>
    <w:rPr>
      <w:sz w:val="24"/>
      <w:szCs w:val="24"/>
      <w:lang w:eastAsia="ko-K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Lim,Bora</cp:lastModifiedBy>
  <cp:revision>7</cp:revision>
  <dcterms:created xsi:type="dcterms:W3CDTF">2013-12-23T23:15:00Z</dcterms:created>
  <dcterms:modified xsi:type="dcterms:W3CDTF">2026-09-29T15:52:00Z</dcterms:modified>
  <cp:category/>
</cp:coreProperties>
</file>