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4255" w14:textId="77777777" w:rsidR="00E3141A" w:rsidRDefault="00E3141A" w:rsidP="00E3141A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Table 3. Patients who underwent the NGS and various subgroup.</w:t>
      </w:r>
    </w:p>
    <w:p w14:paraId="47469583" w14:textId="4927C7EC" w:rsidR="00E3141A" w:rsidRDefault="00E3141A" w:rsidP="00E3141A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6E62C5DA" wp14:editId="5E4D33EE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4" name="_x0000_tole_rId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8F60C29" id="_x0000_tole_rId6" o:spid="_x0000_s1026" style="position:absolute;margin-left:.05pt;margin-top:.05pt;width:50pt;height:50pt;z-index:25165926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OX318r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52CE157D" wp14:editId="471B490E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5" name="_x0000_tole_rId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5A37264" id="_x0000_tole_rId6" o:spid="_x0000_s1026" style="position:absolute;margin-left:.05pt;margin-top:.05pt;width:50pt;height:50pt;z-index:251660288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OX318r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BE9816" wp14:editId="081282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84311225" name="Rectangle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03D5E" id="Rectangle 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tbl>
      <w:tblPr>
        <w:tblW w:w="7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1400"/>
        <w:gridCol w:w="1800"/>
      </w:tblGrid>
      <w:tr w:rsidR="00E3141A" w14:paraId="10633468" w14:textId="77777777" w:rsidTr="00D4292C">
        <w:trPr>
          <w:tblHeader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E2AC3C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F67E59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Alterations, n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59DC40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Patients, n (%)</w:t>
            </w:r>
          </w:p>
        </w:tc>
      </w:tr>
      <w:tr w:rsidR="00E3141A" w14:paraId="0F61044E" w14:textId="77777777" w:rsidTr="00D4292C">
        <w:tc>
          <w:tcPr>
            <w:tcW w:w="7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DE3340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Submitted for sequencing (n = 110)</w:t>
            </w:r>
          </w:p>
        </w:tc>
      </w:tr>
      <w:tr w:rsidR="00E3141A" w14:paraId="21193BA0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EEE6F3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Next-generation sequencing, non-Sequenom panel (n = 81)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1EBE1C" w14:textId="77777777" w:rsidR="00E3141A" w:rsidRDefault="00E3141A" w:rsidP="00D4292C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701D1B" w14:textId="77777777" w:rsidR="00E3141A" w:rsidRDefault="00E3141A" w:rsidP="00D4292C"/>
        </w:tc>
      </w:tr>
      <w:tr w:rsidR="00E3141A" w14:paraId="777F83EF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11200C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Mutations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074BAC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41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EEBAC3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34 (42.0%)</w:t>
            </w:r>
          </w:p>
        </w:tc>
      </w:tr>
      <w:tr w:rsidR="00E3141A" w14:paraId="65456856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F55165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Variants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408D58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7B5A56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7 (8.6%)</w:t>
            </w:r>
          </w:p>
        </w:tc>
      </w:tr>
      <w:tr w:rsidR="00E3141A" w14:paraId="4E49BAA2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C095F1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450B34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22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CB9CC2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10 (12.3%)</w:t>
            </w:r>
          </w:p>
        </w:tc>
      </w:tr>
      <w:tr w:rsidR="00E3141A" w14:paraId="505FDF07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89B1F0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Insufficient DNA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7C4345" w14:textId="77777777" w:rsidR="00E3141A" w:rsidRDefault="00E3141A" w:rsidP="00D4292C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2D63F2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28 (34.6%)</w:t>
            </w:r>
          </w:p>
        </w:tc>
      </w:tr>
      <w:tr w:rsidR="00E3141A" w14:paraId="6743B3B1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FBFE84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Germline polymorphism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5FC1CE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9AC9FC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2 (2.5%)</w:t>
            </w:r>
          </w:p>
        </w:tc>
      </w:tr>
      <w:tr w:rsidR="00E3141A" w14:paraId="65E40CD5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5183C4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Suspected germline polymorphism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38B058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D21E60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15 (18.5%)</w:t>
            </w:r>
          </w:p>
        </w:tc>
      </w:tr>
      <w:tr w:rsidR="00E3141A" w14:paraId="64797F4C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CD3DEA" w14:textId="77777777" w:rsidR="00E3141A" w:rsidRDefault="00E3141A" w:rsidP="00D4292C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Sequenom panel (n = 29)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CD217B" w14:textId="77777777" w:rsidR="00E3141A" w:rsidRDefault="00E3141A" w:rsidP="00D4292C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8A660A" w14:textId="77777777" w:rsidR="00E3141A" w:rsidRDefault="00E3141A" w:rsidP="00D4292C"/>
        </w:tc>
      </w:tr>
      <w:tr w:rsidR="00E3141A" w14:paraId="42CB4F07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157595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Mutations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4C88FA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2FD356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5 (17.2%)</w:t>
            </w:r>
          </w:p>
        </w:tc>
      </w:tr>
      <w:tr w:rsidR="00E3141A" w14:paraId="3C39103B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A38FA5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CA6715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E18F08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4 (13.8%)</w:t>
            </w:r>
          </w:p>
        </w:tc>
      </w:tr>
      <w:tr w:rsidR="00E3141A" w14:paraId="2B5EE7AF" w14:textId="77777777" w:rsidTr="00D4292C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30779B" w14:textId="77777777" w:rsidR="00E3141A" w:rsidRDefault="00E3141A" w:rsidP="00D4292C">
            <w:pPr>
              <w:ind w:left="240"/>
            </w:pPr>
            <w:r>
              <w:rPr>
                <w:rFonts w:ascii="Arial" w:eastAsia="Arial" w:hAnsi="Arial" w:cs="Arial"/>
                <w:sz w:val="20"/>
                <w:szCs w:val="20"/>
              </w:rPr>
              <w:t>Insufficient DNA, all assays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695CCA" w14:textId="77777777" w:rsidR="00E3141A" w:rsidRDefault="00E3141A" w:rsidP="00D4292C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195F04" w14:textId="77777777" w:rsidR="00E3141A" w:rsidRDefault="00E3141A" w:rsidP="00D4292C">
            <w:r>
              <w:rPr>
                <w:rFonts w:ascii="Arial" w:eastAsia="Arial" w:hAnsi="Arial" w:cs="Arial"/>
                <w:sz w:val="20"/>
                <w:szCs w:val="20"/>
              </w:rPr>
              <w:t>6 (20.7%)</w:t>
            </w:r>
          </w:p>
        </w:tc>
      </w:tr>
    </w:tbl>
    <w:p w14:paraId="72EAFD23" w14:textId="77777777" w:rsidR="00E3141A" w:rsidRDefault="00E3141A" w:rsidP="00E3141A">
      <w:pPr>
        <w:spacing w:before="60"/>
      </w:pPr>
      <w:r>
        <w:rPr>
          <w:rFonts w:ascii="Arial" w:eastAsia="Arial" w:hAnsi="Arial" w:cs="Arial"/>
          <w:sz w:val="16"/>
          <w:szCs w:val="16"/>
        </w:rPr>
        <w:t>Alterations are counted per gene result; patients are counted once per category and may appear in more than one category. Percentages use the number of patients tested on each panel.</w:t>
      </w:r>
    </w:p>
    <w:p w14:paraId="3BFE1C61" w14:textId="77777777" w:rsidR="00E3141A" w:rsidRDefault="00E3141A" w:rsidP="00E3141A">
      <w:pPr>
        <w:spacing w:before="60"/>
      </w:pPr>
      <w:r>
        <w:rPr>
          <w:rFonts w:ascii="Arial" w:eastAsia="Arial" w:hAnsi="Arial" w:cs="Arial"/>
          <w:sz w:val="16"/>
          <w:szCs w:val="16"/>
        </w:rPr>
        <w:t>No patient was tested on both panels. Of the 157 analyzed patients, 47 did not have sequencing ordered.</w:t>
      </w:r>
    </w:p>
    <w:p w14:paraId="1E938809" w14:textId="77777777" w:rsidR="00E3141A" w:rsidRDefault="00E3141A" w:rsidP="00E3141A">
      <w:pPr>
        <w:spacing w:before="60"/>
      </w:pPr>
      <w:r>
        <w:rPr>
          <w:rFonts w:ascii="Arial" w:eastAsia="Arial" w:hAnsi="Arial" w:cs="Arial"/>
          <w:sz w:val="16"/>
          <w:szCs w:val="16"/>
        </w:rPr>
        <w:t>Sequenom mutations include four PIK3CA mutations and one PDGFRA mutation detected by single-gene assay. An additional 14 patients had insufficient DNA for at least one, but not all, Sequenom assays.</w:t>
      </w:r>
    </w:p>
    <w:p w14:paraId="1CD69019" w14:textId="77777777" w:rsidR="00E3141A" w:rsidRDefault="00E3141A" w:rsidP="00E3141A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br w:type="page"/>
      </w:r>
    </w:p>
    <w:p w14:paraId="0DDF5CA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1A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15056"/>
    <w:rsid w:val="00B260B7"/>
    <w:rsid w:val="00B85331"/>
    <w:rsid w:val="00C94D66"/>
    <w:rsid w:val="00DE7E69"/>
    <w:rsid w:val="00E023F9"/>
    <w:rsid w:val="00E3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EC09C"/>
  <w15:chartTrackingRefBased/>
  <w15:docId w15:val="{335ABD1F-AFAC-40AB-BF57-8C590855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41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41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4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4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4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4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4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4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4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4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4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4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4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1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4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1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4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1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4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14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4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4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2026-10-14T12:28:00Z</dcterms:created>
  <dcterms:modified xsi:type="dcterms:W3CDTF">2026-10-14T12:29:00Z</dcterms:modified>
</cp:coreProperties>
</file>