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D241" w14:textId="77777777" w:rsidR="00E9707C" w:rsidRDefault="00E9707C" w:rsidP="00E9707C">
      <w:pPr>
        <w:pStyle w:val="Heading1"/>
        <w:spacing w:line="480" w:lineRule="auto"/>
        <w:jc w:val="both"/>
        <w:rPr>
          <w:color w:val="auto"/>
        </w:rPr>
      </w:pPr>
      <w:r>
        <w:rPr>
          <w:rFonts w:ascii="Times New Roman" w:hAnsi="Times New Roman"/>
          <w:color w:val="auto"/>
          <w:sz w:val="22"/>
        </w:rPr>
        <w:t>Appendix A. Construction of Derived Variables Used in the Analysis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123"/>
      </w:tblGrid>
      <w:tr w:rsidR="00E9707C" w14:paraId="7D87A952" w14:textId="77777777" w:rsidTr="00B96889">
        <w:trPr>
          <w:tblHeader/>
          <w:jc w:val="center"/>
        </w:trPr>
        <w:tc>
          <w:tcPr>
            <w:tcW w:w="2948" w:type="dxa"/>
            <w:shd w:val="clear" w:color="auto" w:fill="E7E6E6"/>
            <w:vAlign w:val="center"/>
          </w:tcPr>
          <w:p w14:paraId="63E4DE74" w14:textId="77777777" w:rsidR="00E9707C" w:rsidRDefault="00E9707C" w:rsidP="00B96889">
            <w:pPr>
              <w:jc w:val="both"/>
            </w:pPr>
            <w:r>
              <w:rPr>
                <w:b/>
                <w:sz w:val="17"/>
              </w:rPr>
              <w:t>Derived variable</w:t>
            </w:r>
          </w:p>
        </w:tc>
        <w:tc>
          <w:tcPr>
            <w:tcW w:w="6123" w:type="dxa"/>
            <w:shd w:val="clear" w:color="auto" w:fill="E7E6E6"/>
            <w:vAlign w:val="center"/>
          </w:tcPr>
          <w:p w14:paraId="5E36F5FC" w14:textId="77777777" w:rsidR="00E9707C" w:rsidRDefault="00E9707C" w:rsidP="00B96889">
            <w:pPr>
              <w:jc w:val="both"/>
            </w:pPr>
            <w:r>
              <w:rPr>
                <w:b/>
                <w:sz w:val="17"/>
              </w:rPr>
              <w:t>Construction</w:t>
            </w:r>
          </w:p>
        </w:tc>
      </w:tr>
      <w:tr w:rsidR="00E9707C" w14:paraId="4EAF6923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5877BAC1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Pre-writing support</w:t>
            </w:r>
          </w:p>
        </w:tc>
        <w:tc>
          <w:tcPr>
            <w:tcW w:w="6123" w:type="dxa"/>
            <w:vAlign w:val="center"/>
          </w:tcPr>
          <w:p w14:paraId="044463A5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PreWriting_Brainstorm and PreWriting_TopicExplore</w:t>
            </w:r>
          </w:p>
        </w:tc>
      </w:tr>
      <w:tr w:rsidR="00E9707C" w14:paraId="7E068676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3A614665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Drafting support</w:t>
            </w:r>
          </w:p>
        </w:tc>
        <w:tc>
          <w:tcPr>
            <w:tcW w:w="6123" w:type="dxa"/>
            <w:vAlign w:val="center"/>
          </w:tcPr>
          <w:p w14:paraId="40D672FF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Drafting_SentenceGen and Drafting_ParagraphOrg</w:t>
            </w:r>
          </w:p>
        </w:tc>
      </w:tr>
      <w:tr w:rsidR="00E9707C" w14:paraId="1642D02B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5B61574C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Revising support</w:t>
            </w:r>
          </w:p>
        </w:tc>
        <w:tc>
          <w:tcPr>
            <w:tcW w:w="6123" w:type="dxa"/>
            <w:vAlign w:val="center"/>
          </w:tcPr>
          <w:p w14:paraId="405EF752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Revising_Grammar and Revising_Vocabulary</w:t>
            </w:r>
          </w:p>
        </w:tc>
      </w:tr>
      <w:tr w:rsidR="00E9707C" w14:paraId="1193E59D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1C38D11F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Proofreading support</w:t>
            </w:r>
          </w:p>
        </w:tc>
        <w:tc>
          <w:tcPr>
            <w:tcW w:w="6123" w:type="dxa"/>
            <w:vAlign w:val="center"/>
          </w:tcPr>
          <w:p w14:paraId="4ABB6163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Proofreading_Accuracy</w:t>
            </w:r>
          </w:p>
        </w:tc>
      </w:tr>
      <w:tr w:rsidR="00E9707C" w14:paraId="583DB83B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71DC78EC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Linguistic support</w:t>
            </w:r>
          </w:p>
        </w:tc>
        <w:tc>
          <w:tcPr>
            <w:tcW w:w="6123" w:type="dxa"/>
            <w:vAlign w:val="center"/>
          </w:tcPr>
          <w:p w14:paraId="3217DB1D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Ling_Grammar_Support and Ling_Vocab_Support</w:t>
            </w:r>
          </w:p>
        </w:tc>
      </w:tr>
      <w:tr w:rsidR="00E9707C" w14:paraId="1E36C9BD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52D1A153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Cognitive support</w:t>
            </w:r>
          </w:p>
        </w:tc>
        <w:tc>
          <w:tcPr>
            <w:tcW w:w="6123" w:type="dxa"/>
            <w:vAlign w:val="center"/>
          </w:tcPr>
          <w:p w14:paraId="4F26CA96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Cog_Idea_Support and Cog_Org_Support</w:t>
            </w:r>
          </w:p>
        </w:tc>
      </w:tr>
      <w:tr w:rsidR="00E9707C" w14:paraId="45F557C7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36E62B0E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Affective support</w:t>
            </w:r>
          </w:p>
        </w:tc>
        <w:tc>
          <w:tcPr>
            <w:tcW w:w="6123" w:type="dxa"/>
            <w:vAlign w:val="center"/>
          </w:tcPr>
          <w:p w14:paraId="370E984B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Aff_Confidence and Aff_Anxiety_Reduction</w:t>
            </w:r>
          </w:p>
        </w:tc>
      </w:tr>
      <w:tr w:rsidR="00E9707C" w14:paraId="0F774EA1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703541A9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Overall AI support</w:t>
            </w:r>
          </w:p>
        </w:tc>
        <w:tc>
          <w:tcPr>
            <w:tcW w:w="6123" w:type="dxa"/>
            <w:vAlign w:val="center"/>
          </w:tcPr>
          <w:p w14:paraId="4624DE77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the six linguistic, cognitive, and affective support items</w:t>
            </w:r>
          </w:p>
        </w:tc>
      </w:tr>
      <w:tr w:rsidR="00E9707C" w14:paraId="382B0397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6F103055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Self-regulated writing</w:t>
            </w:r>
          </w:p>
        </w:tc>
        <w:tc>
          <w:tcPr>
            <w:tcW w:w="6123" w:type="dxa"/>
            <w:vAlign w:val="center"/>
          </w:tcPr>
          <w:p w14:paraId="5B1B0F69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SRL_Planning, SRL_Monitoring, SRL_Evaluation, and SRL_Revision</w:t>
            </w:r>
          </w:p>
        </w:tc>
      </w:tr>
      <w:tr w:rsidR="00E9707C" w14:paraId="5846B9EC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65358687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Challenges</w:t>
            </w:r>
          </w:p>
        </w:tc>
        <w:tc>
          <w:tcPr>
            <w:tcW w:w="6123" w:type="dxa"/>
            <w:vAlign w:val="center"/>
          </w:tcPr>
          <w:p w14:paraId="5176DE9B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Mean of Chall_Overreliance, Chall_Verification, Chall_Integrity, and Chall_CriticalEngagement</w:t>
            </w:r>
          </w:p>
        </w:tc>
      </w:tr>
      <w:tr w:rsidR="00E9707C" w14:paraId="7C699DBB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2C5775DE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Tool breadth</w:t>
            </w:r>
          </w:p>
        </w:tc>
        <w:tc>
          <w:tcPr>
            <w:tcW w:w="6123" w:type="dxa"/>
            <w:vAlign w:val="center"/>
          </w:tcPr>
          <w:p w14:paraId="3251850A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Count of the six binary tool-use indicators</w:t>
            </w:r>
          </w:p>
        </w:tc>
      </w:tr>
      <w:tr w:rsidR="00E9707C" w14:paraId="4E79D591" w14:textId="77777777" w:rsidTr="00B96889">
        <w:trPr>
          <w:cantSplit/>
          <w:jc w:val="center"/>
        </w:trPr>
        <w:tc>
          <w:tcPr>
            <w:tcW w:w="2948" w:type="dxa"/>
            <w:vAlign w:val="center"/>
          </w:tcPr>
          <w:p w14:paraId="7AD50B9C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AI frequency ordinal</w:t>
            </w:r>
          </w:p>
        </w:tc>
        <w:tc>
          <w:tcPr>
            <w:tcW w:w="6123" w:type="dxa"/>
            <w:vAlign w:val="center"/>
          </w:tcPr>
          <w:p w14:paraId="5A2B6977" w14:textId="77777777" w:rsidR="00E9707C" w:rsidRDefault="00E9707C" w:rsidP="00B96889">
            <w:pPr>
              <w:jc w:val="both"/>
            </w:pPr>
            <w:r>
              <w:rPr>
                <w:sz w:val="17"/>
              </w:rPr>
              <w:t>Rare = 1, Occasional = 2, Frequent = 3</w:t>
            </w:r>
          </w:p>
        </w:tc>
      </w:tr>
    </w:tbl>
    <w:p w14:paraId="330305A0" w14:textId="77777777" w:rsidR="00E9707C" w:rsidRDefault="00E9707C" w:rsidP="00E9707C">
      <w:pPr>
        <w:jc w:val="both"/>
      </w:pPr>
    </w:p>
    <w:p w14:paraId="0965C14F" w14:textId="77777777" w:rsidR="008B07A6" w:rsidRDefault="008B07A6"/>
    <w:sectPr w:rsidR="008B07A6" w:rsidSect="00E9707C">
      <w:footerReference w:type="default" r:id="rId4"/>
      <w:pgSz w:w="11906" w:h="16838"/>
      <w:pgMar w:top="1247" w:right="1417" w:bottom="1247" w:left="1417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9ED3" w14:textId="77777777" w:rsidR="00E9707C" w:rsidRDefault="00E9707C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7C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C5300"/>
    <w:rsid w:val="00CE738E"/>
    <w:rsid w:val="00D31E7D"/>
    <w:rsid w:val="00E9707C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3A9F"/>
  <w15:chartTrackingRefBased/>
  <w15:docId w15:val="{E5DFC7E2-F963-494A-BF8B-4485E3FC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07C"/>
    <w:pPr>
      <w:spacing w:after="200" w:line="276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07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07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07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07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07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07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07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07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07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7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07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7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07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7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07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7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07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9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07C"/>
    <w:rPr>
      <w:rFonts w:ascii="Times New Roman" w:eastAsiaTheme="minorEastAsia" w:hAnsi="Times New Roman"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97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2026-10-01T11:50:00Z</dcterms:created>
  <dcterms:modified xsi:type="dcterms:W3CDTF">2026-10-01T11:50:00Z</dcterms:modified>
</cp:coreProperties>
</file>