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8F7AE">
      <w:pPr>
        <w:jc w:val="both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Additional file 1. Learning objectives of the telemedicine education program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70CBF7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552B3E4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Learning Objectives</w:t>
            </w:r>
          </w:p>
        </w:tc>
      </w:tr>
      <w:tr w14:paraId="4BE52B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F472C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Knowledge</w:t>
            </w:r>
          </w:p>
        </w:tc>
      </w:tr>
      <w:tr w14:paraId="4184CA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tcBorders>
              <w:top w:val="single" w:color="auto" w:sz="4" w:space="0"/>
            </w:tcBorders>
            <w:vAlign w:val="center"/>
          </w:tcPr>
          <w:p w14:paraId="31D4887C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Defines the concept of telemedicine, its historical development, and basic terminology.</w:t>
            </w:r>
          </w:p>
        </w:tc>
      </w:tr>
      <w:tr w14:paraId="61618A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vAlign w:val="center"/>
          </w:tcPr>
          <w:p w14:paraId="1E4BEA20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Explains the areas of use and types of telemedicine applications.</w:t>
            </w:r>
          </w:p>
        </w:tc>
      </w:tr>
      <w:tr w14:paraId="3F4E0E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vAlign w:val="center"/>
          </w:tcPr>
          <w:p w14:paraId="7612838F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Explains the advantages and limitations of telemedicine applications.</w:t>
            </w:r>
          </w:p>
        </w:tc>
      </w:tr>
      <w:tr w14:paraId="4C8EBA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vAlign w:val="center"/>
          </w:tcPr>
          <w:p w14:paraId="30872B23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Explains patient privacy, ethical principles, and legal responsibilities in telemedicine practice.</w:t>
            </w:r>
          </w:p>
        </w:tc>
      </w:tr>
      <w:tr w14:paraId="3F6C27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tcBorders>
              <w:bottom w:val="single" w:color="auto" w:sz="4" w:space="0"/>
            </w:tcBorders>
            <w:vAlign w:val="center"/>
          </w:tcPr>
          <w:p w14:paraId="1A836FF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Describes the basic technological infrastructure and systems used in telemedicine applications.</w:t>
            </w:r>
          </w:p>
        </w:tc>
      </w:tr>
      <w:tr w14:paraId="702E0E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3E1811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Skills</w:t>
            </w:r>
          </w:p>
        </w:tc>
      </w:tr>
      <w:tr w14:paraId="7D591A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tcBorders>
              <w:top w:val="single" w:color="auto" w:sz="4" w:space="0"/>
            </w:tcBorders>
            <w:vAlign w:val="center"/>
          </w:tcPr>
          <w:p w14:paraId="31FACB61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Identifies patients suitable for telemedicine and refers them for an in-person examination when necessary.</w:t>
            </w:r>
          </w:p>
        </w:tc>
      </w:tr>
      <w:tr w14:paraId="134A0E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vAlign w:val="center"/>
          </w:tcPr>
          <w:p w14:paraId="5E523863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Performs a structured and systematic history-taking and physical examination in the telemedicine setting.</w:t>
            </w:r>
          </w:p>
        </w:tc>
      </w:tr>
      <w:tr w14:paraId="2A8482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vAlign w:val="center"/>
          </w:tcPr>
          <w:p w14:paraId="1B0BB0A6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Establishes effective patient–physician communication during a telemedicine consultation.</w:t>
            </w:r>
          </w:p>
        </w:tc>
      </w:tr>
      <w:tr w14:paraId="066F3A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tcBorders>
              <w:bottom w:val="single" w:color="auto" w:sz="4" w:space="0"/>
            </w:tcBorders>
            <w:vAlign w:val="center"/>
          </w:tcPr>
          <w:p w14:paraId="388CA3A8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Develops appropriate solutions to technical problems encountered during telemedicine consultations.</w:t>
            </w:r>
          </w:p>
        </w:tc>
      </w:tr>
      <w:tr w14:paraId="4D3A38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326AD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 Attitudes</w:t>
            </w:r>
          </w:p>
        </w:tc>
      </w:tr>
      <w:tr w14:paraId="2D4BC3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tcBorders>
              <w:top w:val="single" w:color="auto" w:sz="4" w:space="0"/>
            </w:tcBorders>
            <w:vAlign w:val="center"/>
          </w:tcPr>
          <w:p w14:paraId="4D9020EB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Demonstrates professional conduct regarding patient privacy and data security.</w:t>
            </w:r>
          </w:p>
        </w:tc>
      </w:tr>
      <w:tr w14:paraId="4FDE8D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vAlign w:val="center"/>
          </w:tcPr>
          <w:p w14:paraId="4EA5F616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Demonstrates awareness of adherence to ethical principles in telemedicine practice.</w:t>
            </w:r>
          </w:p>
        </w:tc>
      </w:tr>
      <w:tr w14:paraId="539E30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6" w:type="dxa"/>
            <w:vAlign w:val="center"/>
          </w:tcPr>
          <w:p w14:paraId="27D5E425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Embraces digital health applications as part of professional development.</w:t>
            </w:r>
          </w:p>
        </w:tc>
      </w:tr>
    </w:tbl>
    <w:p w14:paraId="76BDBFB3">
      <w:pPr>
        <w:jc w:val="both"/>
        <w:rPr>
          <w:sz w:val="24"/>
          <w:szCs w:val="24"/>
        </w:rPr>
      </w:pPr>
    </w:p>
    <w:p w14:paraId="1FA6B93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Additional file 2. Alignment of competencies, learning outcomes, teaching methods, and assessment methods in the telemedicine education program</w:t>
      </w:r>
    </w:p>
    <w:tbl>
      <w:tblPr>
        <w:tblStyle w:val="12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35"/>
        <w:gridCol w:w="3969"/>
        <w:gridCol w:w="2209"/>
        <w:gridCol w:w="1683"/>
      </w:tblGrid>
      <w:tr w14:paraId="1FEE0C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BDF7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CanMEDS Competency</w:t>
            </w:r>
          </w:p>
        </w:tc>
        <w:tc>
          <w:tcPr>
            <w:tcW w:w="393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C059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Learning Outcomes</w:t>
            </w:r>
          </w:p>
        </w:tc>
        <w:tc>
          <w:tcPr>
            <w:tcW w:w="21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2FDF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Teaching Methods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9E38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Assessment Methods</w:t>
            </w:r>
          </w:p>
        </w:tc>
      </w:tr>
      <w:tr w14:paraId="64A131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60" w:type="dxa"/>
            <w:vAlign w:val="center"/>
          </w:tcPr>
          <w:p w14:paraId="0A55852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Medical Expert</w:t>
            </w:r>
          </w:p>
        </w:tc>
        <w:tc>
          <w:tcPr>
            <w:tcW w:w="3939" w:type="dxa"/>
            <w:vAlign w:val="center"/>
          </w:tcPr>
          <w:p w14:paraId="0DE1A6C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Defines the concept of telemedicine, its historical development, and basic terminology.</w:t>
            </w:r>
          </w:p>
        </w:tc>
        <w:tc>
          <w:tcPr>
            <w:tcW w:w="2179" w:type="dxa"/>
            <w:vAlign w:val="center"/>
          </w:tcPr>
          <w:p w14:paraId="24C7B49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Lecture</w:t>
            </w:r>
          </w:p>
        </w:tc>
        <w:tc>
          <w:tcPr>
            <w:tcW w:w="0" w:type="auto"/>
            <w:vAlign w:val="center"/>
          </w:tcPr>
          <w:p w14:paraId="1C68340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Multiple-choice questions</w:t>
            </w:r>
          </w:p>
        </w:tc>
      </w:tr>
      <w:tr w14:paraId="7EB557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60" w:type="dxa"/>
            <w:vAlign w:val="center"/>
          </w:tcPr>
          <w:p w14:paraId="16E2F21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Medical Expert</w:t>
            </w:r>
          </w:p>
        </w:tc>
        <w:tc>
          <w:tcPr>
            <w:tcW w:w="3939" w:type="dxa"/>
            <w:vAlign w:val="center"/>
          </w:tcPr>
          <w:p w14:paraId="1B6E7C0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Explains the areas of use and types of telemedicine applications.</w:t>
            </w:r>
          </w:p>
        </w:tc>
        <w:tc>
          <w:tcPr>
            <w:tcW w:w="2179" w:type="dxa"/>
            <w:vAlign w:val="center"/>
          </w:tcPr>
          <w:p w14:paraId="7898F54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Lecture, Video demonstration</w:t>
            </w:r>
          </w:p>
        </w:tc>
        <w:tc>
          <w:tcPr>
            <w:tcW w:w="0" w:type="auto"/>
            <w:vAlign w:val="center"/>
          </w:tcPr>
          <w:p w14:paraId="1F07863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Multiple-choice questions</w:t>
            </w:r>
          </w:p>
        </w:tc>
      </w:tr>
      <w:tr w14:paraId="0C11E8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60" w:type="dxa"/>
            <w:vAlign w:val="center"/>
          </w:tcPr>
          <w:p w14:paraId="0DEF9F4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Medical Expert</w:t>
            </w:r>
          </w:p>
        </w:tc>
        <w:tc>
          <w:tcPr>
            <w:tcW w:w="3939" w:type="dxa"/>
            <w:vAlign w:val="center"/>
          </w:tcPr>
          <w:p w14:paraId="3CBED7F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Explains the advantages and limitations of telemedicine applications.</w:t>
            </w:r>
          </w:p>
        </w:tc>
        <w:tc>
          <w:tcPr>
            <w:tcW w:w="2179" w:type="dxa"/>
            <w:vAlign w:val="center"/>
          </w:tcPr>
          <w:p w14:paraId="0070D34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Lecture</w:t>
            </w:r>
          </w:p>
        </w:tc>
        <w:tc>
          <w:tcPr>
            <w:tcW w:w="0" w:type="auto"/>
            <w:vAlign w:val="center"/>
          </w:tcPr>
          <w:p w14:paraId="0366713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Multiple-choice questions</w:t>
            </w:r>
          </w:p>
        </w:tc>
      </w:tr>
      <w:tr w14:paraId="485ECF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60" w:type="dxa"/>
            <w:vAlign w:val="center"/>
          </w:tcPr>
          <w:p w14:paraId="260BB1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Medical Expert</w:t>
            </w:r>
          </w:p>
        </w:tc>
        <w:tc>
          <w:tcPr>
            <w:tcW w:w="3939" w:type="dxa"/>
            <w:vAlign w:val="center"/>
          </w:tcPr>
          <w:p w14:paraId="29B1C02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Describes the basic technological infrastructure and systems used in telemedicine applications.</w:t>
            </w:r>
          </w:p>
        </w:tc>
        <w:tc>
          <w:tcPr>
            <w:tcW w:w="2179" w:type="dxa"/>
            <w:vAlign w:val="center"/>
          </w:tcPr>
          <w:p w14:paraId="232575A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Lecture, Video demonstration, Simulation-based learning</w:t>
            </w:r>
          </w:p>
        </w:tc>
        <w:tc>
          <w:tcPr>
            <w:tcW w:w="0" w:type="auto"/>
            <w:vAlign w:val="center"/>
          </w:tcPr>
          <w:p w14:paraId="6F20620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Multiple-choice questions</w:t>
            </w:r>
          </w:p>
        </w:tc>
      </w:tr>
      <w:tr w14:paraId="64FFC1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60" w:type="dxa"/>
            <w:vAlign w:val="center"/>
          </w:tcPr>
          <w:p w14:paraId="783B5FB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Professional</w:t>
            </w:r>
          </w:p>
        </w:tc>
        <w:tc>
          <w:tcPr>
            <w:tcW w:w="3939" w:type="dxa"/>
            <w:vAlign w:val="center"/>
          </w:tcPr>
          <w:p w14:paraId="18D4292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Explains patient privacy, ethical principles, and legal responsibilities in telemedicine practice.</w:t>
            </w:r>
          </w:p>
        </w:tc>
        <w:tc>
          <w:tcPr>
            <w:tcW w:w="2179" w:type="dxa"/>
            <w:vAlign w:val="center"/>
          </w:tcPr>
          <w:p w14:paraId="1E3B9B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Lecture, Clinical observation, Simulation-based learning</w:t>
            </w:r>
          </w:p>
        </w:tc>
        <w:tc>
          <w:tcPr>
            <w:tcW w:w="0" w:type="auto"/>
            <w:vAlign w:val="center"/>
          </w:tcPr>
          <w:p w14:paraId="6FBDF22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Multiple-choice questions, Checklist</w:t>
            </w:r>
          </w:p>
        </w:tc>
      </w:tr>
      <w:tr w14:paraId="7D7BD9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60" w:type="dxa"/>
            <w:vAlign w:val="center"/>
          </w:tcPr>
          <w:p w14:paraId="42A84A1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Professional</w:t>
            </w:r>
          </w:p>
        </w:tc>
        <w:tc>
          <w:tcPr>
            <w:tcW w:w="3939" w:type="dxa"/>
            <w:vAlign w:val="center"/>
          </w:tcPr>
          <w:p w14:paraId="4D2E61D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Demonstrates professional conduct regarding patient privacy and data security.</w:t>
            </w:r>
          </w:p>
        </w:tc>
        <w:tc>
          <w:tcPr>
            <w:tcW w:w="2179" w:type="dxa"/>
            <w:vAlign w:val="center"/>
          </w:tcPr>
          <w:p w14:paraId="076D468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Lecture, Clinical observation, Simulation-based learning</w:t>
            </w:r>
          </w:p>
        </w:tc>
        <w:tc>
          <w:tcPr>
            <w:tcW w:w="0" w:type="auto"/>
            <w:vAlign w:val="center"/>
          </w:tcPr>
          <w:p w14:paraId="0636C04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Checklist</w:t>
            </w:r>
          </w:p>
        </w:tc>
      </w:tr>
      <w:tr w14:paraId="5F7F1F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60" w:type="dxa"/>
            <w:vAlign w:val="center"/>
          </w:tcPr>
          <w:p w14:paraId="1358F44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Health Advocate</w:t>
            </w:r>
          </w:p>
        </w:tc>
        <w:tc>
          <w:tcPr>
            <w:tcW w:w="3939" w:type="dxa"/>
            <w:vAlign w:val="center"/>
          </w:tcPr>
          <w:p w14:paraId="569FBB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Embraces digital health applications as part of professional development.</w:t>
            </w:r>
          </w:p>
        </w:tc>
        <w:tc>
          <w:tcPr>
            <w:tcW w:w="2179" w:type="dxa"/>
            <w:vAlign w:val="center"/>
          </w:tcPr>
          <w:p w14:paraId="48E645E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Lecture, Clinical observation</w:t>
            </w:r>
          </w:p>
        </w:tc>
        <w:tc>
          <w:tcPr>
            <w:tcW w:w="0" w:type="auto"/>
            <w:vAlign w:val="center"/>
          </w:tcPr>
          <w:p w14:paraId="45155C3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Multiple-choice questions</w:t>
            </w:r>
          </w:p>
        </w:tc>
      </w:tr>
      <w:tr w14:paraId="057A37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60" w:type="dxa"/>
            <w:vAlign w:val="center"/>
          </w:tcPr>
          <w:p w14:paraId="2ADC6EA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Collaborator</w:t>
            </w:r>
          </w:p>
        </w:tc>
        <w:tc>
          <w:tcPr>
            <w:tcW w:w="3939" w:type="dxa"/>
            <w:vAlign w:val="center"/>
          </w:tcPr>
          <w:p w14:paraId="658D939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Identifies patients suitable for telemedicine and refers them for an in-person examination when necessary.</w:t>
            </w:r>
          </w:p>
        </w:tc>
        <w:tc>
          <w:tcPr>
            <w:tcW w:w="2179" w:type="dxa"/>
            <w:vAlign w:val="center"/>
          </w:tcPr>
          <w:p w14:paraId="03641E6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Lecture, Clinical observation, Simulation-based learning</w:t>
            </w:r>
          </w:p>
        </w:tc>
        <w:tc>
          <w:tcPr>
            <w:tcW w:w="0" w:type="auto"/>
            <w:vAlign w:val="center"/>
          </w:tcPr>
          <w:p w14:paraId="32EE929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Multiple-choice questions, Checklist</w:t>
            </w:r>
          </w:p>
        </w:tc>
      </w:tr>
      <w:tr w14:paraId="4E60C2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60" w:type="dxa"/>
            <w:vAlign w:val="center"/>
          </w:tcPr>
          <w:p w14:paraId="3C9F78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Medical Expert</w:t>
            </w:r>
          </w:p>
        </w:tc>
        <w:tc>
          <w:tcPr>
            <w:tcW w:w="3939" w:type="dxa"/>
            <w:vAlign w:val="center"/>
          </w:tcPr>
          <w:p w14:paraId="4CD79FE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Performs a structured and systematic history-taking and physical examination in the telemedicine setting.</w:t>
            </w:r>
          </w:p>
        </w:tc>
        <w:tc>
          <w:tcPr>
            <w:tcW w:w="2179" w:type="dxa"/>
            <w:vAlign w:val="center"/>
          </w:tcPr>
          <w:p w14:paraId="071E510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Lecture, Simulation-based learning</w:t>
            </w:r>
          </w:p>
        </w:tc>
        <w:tc>
          <w:tcPr>
            <w:tcW w:w="0" w:type="auto"/>
            <w:vAlign w:val="center"/>
          </w:tcPr>
          <w:p w14:paraId="3116AFB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Checklist</w:t>
            </w:r>
          </w:p>
        </w:tc>
      </w:tr>
      <w:tr w14:paraId="4BBC7B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60" w:type="dxa"/>
            <w:vAlign w:val="center"/>
          </w:tcPr>
          <w:p w14:paraId="711AFD9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Medical Expert</w:t>
            </w:r>
          </w:p>
        </w:tc>
        <w:tc>
          <w:tcPr>
            <w:tcW w:w="3939" w:type="dxa"/>
            <w:vAlign w:val="center"/>
          </w:tcPr>
          <w:p w14:paraId="338031A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Explains the technical requirements necessary for the use of telemedicine.</w:t>
            </w:r>
          </w:p>
        </w:tc>
        <w:tc>
          <w:tcPr>
            <w:tcW w:w="2179" w:type="dxa"/>
            <w:vAlign w:val="center"/>
          </w:tcPr>
          <w:p w14:paraId="57FE71D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Lecture, Video demonstration, Clinical observation, Simulation-based learning</w:t>
            </w:r>
          </w:p>
        </w:tc>
        <w:tc>
          <w:tcPr>
            <w:tcW w:w="0" w:type="auto"/>
            <w:vAlign w:val="center"/>
          </w:tcPr>
          <w:p w14:paraId="5761531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Multiple-choice questions, Checklist</w:t>
            </w:r>
          </w:p>
        </w:tc>
      </w:tr>
      <w:tr w14:paraId="21BE09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 w14:paraId="18DA026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tr-TR" w:eastAsia="tr-TR"/>
              </w:rPr>
              <w:t>Communicator</w:t>
            </w:r>
          </w:p>
        </w:tc>
        <w:tc>
          <w:tcPr>
            <w:tcW w:w="3939" w:type="dxa"/>
            <w:tcBorders>
              <w:bottom w:val="single" w:color="auto" w:sz="4" w:space="0"/>
            </w:tcBorders>
            <w:vAlign w:val="center"/>
          </w:tcPr>
          <w:p w14:paraId="7E9A6E9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Establishes effective patient–physician communication during a telemedicine consultation.</w:t>
            </w:r>
          </w:p>
        </w:tc>
        <w:tc>
          <w:tcPr>
            <w:tcW w:w="2179" w:type="dxa"/>
            <w:tcBorders>
              <w:bottom w:val="single" w:color="auto" w:sz="4" w:space="0"/>
            </w:tcBorders>
            <w:vAlign w:val="center"/>
          </w:tcPr>
          <w:p w14:paraId="0591CD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Clinical observation, Simulation-based learning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vAlign w:val="center"/>
          </w:tcPr>
          <w:p w14:paraId="457B2EC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tr-TR" w:eastAsia="tr-TR"/>
              </w:rPr>
              <w:t>Checklist</w:t>
            </w:r>
          </w:p>
        </w:tc>
      </w:tr>
    </w:tbl>
    <w:p w14:paraId="1D2EB17B">
      <w:pPr>
        <w:jc w:val="both"/>
        <w:rPr>
          <w:sz w:val="24"/>
          <w:szCs w:val="24"/>
        </w:rPr>
      </w:pPr>
    </w:p>
    <w:sectPr>
      <w:pgSz w:w="12240" w:h="15840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46B4"/>
    <w:rsid w:val="00034616"/>
    <w:rsid w:val="0006063C"/>
    <w:rsid w:val="0015074B"/>
    <w:rsid w:val="0029639D"/>
    <w:rsid w:val="00326F90"/>
    <w:rsid w:val="003A3331"/>
    <w:rsid w:val="006B24BE"/>
    <w:rsid w:val="00AA1D8D"/>
    <w:rsid w:val="00AB285C"/>
    <w:rsid w:val="00AE77A6"/>
    <w:rsid w:val="00B47730"/>
    <w:rsid w:val="00CB0664"/>
    <w:rsid w:val="00D038F8"/>
    <w:rsid w:val="00EA788A"/>
    <w:rsid w:val="00FC693F"/>
    <w:rsid w:val="7CCB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Üst Bilgi Char"/>
    <w:basedOn w:val="11"/>
    <w:link w:val="19"/>
    <w:uiPriority w:val="99"/>
  </w:style>
  <w:style w:type="character" w:customStyle="1" w:styleId="136">
    <w:name w:val="Alt Bilgi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Başlık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Başlık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Başlık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Konu Başlığı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Altyazı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Gövde Metni Char"/>
    <w:basedOn w:val="11"/>
    <w:link w:val="13"/>
    <w:qFormat/>
    <w:uiPriority w:val="99"/>
  </w:style>
  <w:style w:type="character" w:customStyle="1" w:styleId="145">
    <w:name w:val="Gövde Metni 2 Char"/>
    <w:basedOn w:val="11"/>
    <w:link w:val="14"/>
    <w:qFormat/>
    <w:uiPriority w:val="99"/>
  </w:style>
  <w:style w:type="character" w:customStyle="1" w:styleId="146">
    <w:name w:val="Gövde Metni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kro Metni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Alıntı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Başlık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Başlık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Başlık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Başlık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Başlık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Başlık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Güçlü Alıntı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364</Words>
  <Characters>2887</Characters>
  <Lines>23</Lines>
  <Paragraphs>6</Paragraphs>
  <TotalTime>1</TotalTime>
  <ScaleCrop>false</ScaleCrop>
  <LinksUpToDate>false</LinksUpToDate>
  <CharactersWithSpaces>3185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2026-09-04T10:13:00Z</dcterms:created>
  <dc:creator>python-docx</dc:creator>
  <dc:description>generated by python-docx</dc:description>
  <cp:lastModifiedBy>rahimemerve uçar</cp:lastModifiedBy>
  <dcterms:modified xsi:type="dcterms:W3CDTF">2026-09-04T20:00:53Z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EF5D044170A14EB998D00E62BA6CF43D_13</vt:lpwstr>
  </property>
</Properties>
</file>