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C7AF01" w14:textId="77777777" w:rsidR="006F22A4" w:rsidRDefault="006F22A4" w:rsidP="006F22A4">
      <w:pPr>
        <w:pStyle w:val="Titre1"/>
      </w:pPr>
      <w:proofErr w:type="spellStart"/>
      <w:r>
        <w:t>Supplementary</w:t>
      </w:r>
      <w:proofErr w:type="spellEnd"/>
      <w:r>
        <w:t xml:space="preserve"> Figures</w:t>
      </w:r>
    </w:p>
    <w:p w14:paraId="05917C47" w14:textId="77777777" w:rsidR="006F22A4" w:rsidRDefault="006F22A4" w:rsidP="006F22A4"/>
    <w:p w14:paraId="39596B23" w14:textId="77777777" w:rsidR="006F22A4" w:rsidRDefault="006F22A4" w:rsidP="006F22A4">
      <w:pPr>
        <w:jc w:val="center"/>
      </w:pPr>
    </w:p>
    <w:p w14:paraId="366FF229" w14:textId="77777777" w:rsidR="006F22A4" w:rsidRDefault="006F22A4" w:rsidP="006F22A4">
      <w:pPr>
        <w:rPr>
          <w:b/>
          <w:bCs/>
          <w:sz w:val="24"/>
          <w:szCs w:val="24"/>
        </w:rPr>
      </w:pPr>
    </w:p>
    <w:p w14:paraId="7FA9DD91" w14:textId="77777777" w:rsidR="006F22A4" w:rsidRDefault="006F22A4" w:rsidP="006F22A4">
      <w:pPr>
        <w:jc w:val="left"/>
      </w:pPr>
      <w:r>
        <w:rPr>
          <w:noProof/>
        </w:rPr>
        <w:drawing>
          <wp:inline distT="114300" distB="114300" distL="114300" distR="114300" wp14:anchorId="264C2534" wp14:editId="523C0FE2">
            <wp:extent cx="5731200" cy="5588000"/>
            <wp:effectExtent l="0" t="0" r="0" b="0"/>
            <wp:docPr id="14"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4"/>
                    <a:srcRect/>
                    <a:stretch>
                      <a:fillRect/>
                    </a:stretch>
                  </pic:blipFill>
                  <pic:spPr>
                    <a:xfrm>
                      <a:off x="0" y="0"/>
                      <a:ext cx="5731200" cy="5588000"/>
                    </a:xfrm>
                    <a:prstGeom prst="rect">
                      <a:avLst/>
                    </a:prstGeom>
                    <a:ln/>
                  </pic:spPr>
                </pic:pic>
              </a:graphicData>
            </a:graphic>
          </wp:inline>
        </w:drawing>
      </w:r>
    </w:p>
    <w:p w14:paraId="5663F0B8" w14:textId="77777777" w:rsidR="00F5411D" w:rsidRDefault="006F22A4" w:rsidP="00F5411D">
      <w:pPr>
        <w:jc w:val="left"/>
        <w:rPr>
          <w:b/>
          <w:bCs/>
          <w:sz w:val="24"/>
          <w:szCs w:val="24"/>
          <w:lang w:val="en-CA"/>
        </w:rPr>
      </w:pPr>
      <w:r w:rsidRPr="00537A43">
        <w:rPr>
          <w:b/>
          <w:bCs/>
          <w:sz w:val="24"/>
          <w:szCs w:val="24"/>
          <w:lang w:val="en-CA"/>
        </w:rPr>
        <w:t>Figure S1.</w:t>
      </w:r>
      <w:r w:rsidRPr="00537A43">
        <w:rPr>
          <w:sz w:val="24"/>
          <w:szCs w:val="24"/>
          <w:lang w:val="en-CA"/>
        </w:rPr>
        <w:t xml:space="preserve"> </w:t>
      </w:r>
      <w:r w:rsidRPr="00537A43">
        <w:rPr>
          <w:b/>
          <w:bCs/>
          <w:sz w:val="24"/>
          <w:szCs w:val="24"/>
          <w:lang w:val="en-CA"/>
        </w:rPr>
        <w:t xml:space="preserve">Correlation and systematic bias of recurrent CNV effect </w:t>
      </w:r>
      <w:proofErr w:type="gramStart"/>
      <w:r w:rsidRPr="00537A43">
        <w:rPr>
          <w:b/>
          <w:bCs/>
          <w:sz w:val="24"/>
          <w:szCs w:val="24"/>
          <w:lang w:val="en-CA"/>
        </w:rPr>
        <w:t>estimates</w:t>
      </w:r>
      <w:proofErr w:type="gramEnd"/>
      <w:r w:rsidRPr="00537A43">
        <w:rPr>
          <w:b/>
          <w:bCs/>
          <w:sz w:val="24"/>
          <w:szCs w:val="24"/>
          <w:lang w:val="en-CA"/>
        </w:rPr>
        <w:t xml:space="preserve"> across ASD analyses </w:t>
      </w:r>
      <w:r w:rsidRPr="00537A43">
        <w:rPr>
          <w:b/>
          <w:bCs/>
          <w:sz w:val="24"/>
          <w:szCs w:val="24"/>
          <w:lang w:val="en-CA"/>
        </w:rPr>
        <w:br/>
      </w:r>
    </w:p>
    <w:p w14:paraId="32A5F93D" w14:textId="784DA947" w:rsidR="006F22A4" w:rsidRPr="00F5411D" w:rsidRDefault="006F22A4" w:rsidP="00F5411D">
      <w:pPr>
        <w:rPr>
          <w:b/>
          <w:bCs/>
          <w:sz w:val="24"/>
          <w:szCs w:val="24"/>
          <w:lang w:val="en-CA"/>
        </w:rPr>
      </w:pPr>
      <w:r w:rsidRPr="00537A43">
        <w:rPr>
          <w:b/>
          <w:bCs/>
          <w:sz w:val="24"/>
          <w:szCs w:val="24"/>
          <w:lang w:val="en-CA"/>
        </w:rPr>
        <w:t>(A)</w:t>
      </w:r>
      <w:r w:rsidRPr="00537A43">
        <w:rPr>
          <w:sz w:val="24"/>
          <w:szCs w:val="24"/>
          <w:lang w:val="en-CA"/>
        </w:rPr>
        <w:t xml:space="preserve"> Comparison of effect size estimates for recurrent CNVs between unrelated case-control and family-based analyses. </w:t>
      </w:r>
      <w:r w:rsidRPr="00537A43">
        <w:rPr>
          <w:i/>
          <w:iCs/>
          <w:sz w:val="24"/>
          <w:szCs w:val="24"/>
          <w:lang w:val="en-CA"/>
        </w:rPr>
        <w:t>R</w:t>
      </w:r>
      <w:r w:rsidRPr="00537A43">
        <w:rPr>
          <w:sz w:val="24"/>
          <w:szCs w:val="24"/>
          <w:lang w:val="en-CA"/>
        </w:rPr>
        <w:t xml:space="preserve"> indicates the Pearson correlation between the two sets of estimates, while ICC represents the intraclass correlation coefficient as a measure of concordance. </w:t>
      </w:r>
      <w:r w:rsidRPr="00537A43">
        <w:rPr>
          <w:b/>
          <w:bCs/>
          <w:sz w:val="24"/>
          <w:szCs w:val="24"/>
          <w:lang w:val="en-CA"/>
        </w:rPr>
        <w:t>(B)</w:t>
      </w:r>
      <w:r w:rsidRPr="00537A43">
        <w:rPr>
          <w:sz w:val="24"/>
          <w:szCs w:val="24"/>
          <w:lang w:val="en-CA"/>
        </w:rPr>
        <w:t xml:space="preserve"> Bland–Altman plot showing the agreement between two analyses. The </w:t>
      </w:r>
      <w:r w:rsidRPr="00537A43">
        <w:rPr>
          <w:sz w:val="24"/>
          <w:szCs w:val="24"/>
          <w:lang w:val="en-CA"/>
        </w:rPr>
        <w:lastRenderedPageBreak/>
        <w:t xml:space="preserve">mean difference represents the systematic bias between the two analyses and is derived from a paired </w:t>
      </w:r>
      <w:r w:rsidRPr="00537A43">
        <w:rPr>
          <w:i/>
          <w:iCs/>
          <w:sz w:val="24"/>
          <w:szCs w:val="24"/>
          <w:lang w:val="en-CA"/>
        </w:rPr>
        <w:t>t</w:t>
      </w:r>
      <w:r w:rsidRPr="00537A43">
        <w:rPr>
          <w:sz w:val="24"/>
          <w:szCs w:val="24"/>
          <w:lang w:val="en-CA"/>
        </w:rPr>
        <w:t xml:space="preserve">-test comparing the two sets of estimates. </w:t>
      </w:r>
      <w:r w:rsidRPr="00537A43">
        <w:rPr>
          <w:b/>
          <w:bCs/>
          <w:sz w:val="24"/>
          <w:szCs w:val="24"/>
          <w:lang w:val="en-CA"/>
        </w:rPr>
        <w:t>(C–D)</w:t>
      </w:r>
      <w:r w:rsidRPr="00537A43">
        <w:rPr>
          <w:sz w:val="24"/>
          <w:szCs w:val="24"/>
          <w:lang w:val="en-CA"/>
        </w:rPr>
        <w:t xml:space="preserve"> Same as A–</w:t>
      </w:r>
      <w:proofErr w:type="gramStart"/>
      <w:r w:rsidRPr="00537A43">
        <w:rPr>
          <w:sz w:val="24"/>
          <w:szCs w:val="24"/>
          <w:lang w:val="en-CA"/>
        </w:rPr>
        <w:t>B, but</w:t>
      </w:r>
      <w:proofErr w:type="gramEnd"/>
      <w:r w:rsidRPr="00537A43">
        <w:rPr>
          <w:sz w:val="24"/>
          <w:szCs w:val="24"/>
          <w:lang w:val="en-CA"/>
        </w:rPr>
        <w:t xml:space="preserve"> comparing extra-familial and exome-based (</w:t>
      </w:r>
      <w:proofErr w:type="spellStart"/>
      <w:r w:rsidRPr="00537A43">
        <w:rPr>
          <w:sz w:val="24"/>
          <w:szCs w:val="24"/>
          <w:lang w:val="en-CA"/>
        </w:rPr>
        <w:t>xHMM</w:t>
      </w:r>
      <w:proofErr w:type="spellEnd"/>
      <w:r w:rsidRPr="00537A43">
        <w:rPr>
          <w:sz w:val="24"/>
          <w:szCs w:val="24"/>
          <w:lang w:val="en-CA"/>
        </w:rPr>
        <w:t>) estimates.</w:t>
      </w:r>
    </w:p>
    <w:p w14:paraId="245772DA" w14:textId="77777777" w:rsidR="006F22A4" w:rsidRPr="00537A43" w:rsidRDefault="006F22A4" w:rsidP="00F5411D">
      <w:pPr>
        <w:spacing w:line="360" w:lineRule="auto"/>
        <w:rPr>
          <w:sz w:val="24"/>
          <w:szCs w:val="24"/>
          <w:lang w:val="en-CA"/>
        </w:rPr>
      </w:pPr>
      <w:r w:rsidRPr="00537A43">
        <w:rPr>
          <w:lang w:val="en-CA"/>
        </w:rPr>
        <w:br w:type="page"/>
      </w:r>
    </w:p>
    <w:p w14:paraId="49DDD8EE" w14:textId="77777777" w:rsidR="006F22A4" w:rsidRDefault="006F22A4" w:rsidP="006F22A4">
      <w:pPr>
        <w:spacing w:line="360" w:lineRule="auto"/>
        <w:rPr>
          <w:sz w:val="24"/>
          <w:szCs w:val="24"/>
        </w:rPr>
      </w:pPr>
      <w:r>
        <w:rPr>
          <w:noProof/>
          <w:sz w:val="24"/>
          <w:szCs w:val="24"/>
        </w:rPr>
        <w:lastRenderedPageBreak/>
        <w:drawing>
          <wp:inline distT="114300" distB="114300" distL="114300" distR="114300" wp14:anchorId="653A42B1" wp14:editId="071D683B">
            <wp:extent cx="5731200" cy="7416800"/>
            <wp:effectExtent l="0" t="0" r="0" b="0"/>
            <wp:docPr id="10"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5"/>
                    <a:srcRect/>
                    <a:stretch>
                      <a:fillRect/>
                    </a:stretch>
                  </pic:blipFill>
                  <pic:spPr>
                    <a:xfrm>
                      <a:off x="0" y="0"/>
                      <a:ext cx="5731200" cy="7416800"/>
                    </a:xfrm>
                    <a:prstGeom prst="rect">
                      <a:avLst/>
                    </a:prstGeom>
                    <a:ln/>
                  </pic:spPr>
                </pic:pic>
              </a:graphicData>
            </a:graphic>
          </wp:inline>
        </w:drawing>
      </w:r>
    </w:p>
    <w:p w14:paraId="5ED80417" w14:textId="0EA5A04C" w:rsidR="006F22A4" w:rsidRPr="00F5411D" w:rsidRDefault="006F22A4" w:rsidP="00F5411D">
      <w:pPr>
        <w:jc w:val="left"/>
        <w:rPr>
          <w:b/>
          <w:bCs/>
          <w:sz w:val="24"/>
          <w:szCs w:val="24"/>
          <w:lang w:val="en-CA"/>
        </w:rPr>
      </w:pPr>
      <w:r w:rsidRPr="00537A43">
        <w:rPr>
          <w:b/>
          <w:bCs/>
          <w:sz w:val="24"/>
          <w:szCs w:val="24"/>
          <w:lang w:val="en-CA"/>
        </w:rPr>
        <w:t>Figure S2.</w:t>
      </w:r>
      <w:r w:rsidRPr="00537A43">
        <w:rPr>
          <w:sz w:val="24"/>
          <w:szCs w:val="24"/>
          <w:lang w:val="en-CA"/>
        </w:rPr>
        <w:t xml:space="preserve"> </w:t>
      </w:r>
      <w:r w:rsidRPr="00537A43">
        <w:rPr>
          <w:b/>
          <w:bCs/>
          <w:sz w:val="24"/>
          <w:szCs w:val="24"/>
          <w:lang w:val="en-CA"/>
        </w:rPr>
        <w:t>Overlap of individuals across analyses</w:t>
      </w:r>
      <w:r w:rsidRPr="00537A43">
        <w:rPr>
          <w:b/>
          <w:bCs/>
          <w:sz w:val="24"/>
          <w:szCs w:val="24"/>
          <w:lang w:val="en-CA"/>
        </w:rPr>
        <w:br/>
        <w:t xml:space="preserve">(A) </w:t>
      </w:r>
      <w:r w:rsidRPr="00537A43">
        <w:rPr>
          <w:sz w:val="24"/>
          <w:szCs w:val="24"/>
          <w:lang w:val="en-CA"/>
        </w:rPr>
        <w:t xml:space="preserve">Venn diagram showing the overlap of all individuals across the three analytical </w:t>
      </w:r>
      <w:r w:rsidRPr="00537A43">
        <w:rPr>
          <w:sz w:val="24"/>
          <w:szCs w:val="24"/>
          <w:lang w:val="en-CA"/>
        </w:rPr>
        <w:lastRenderedPageBreak/>
        <w:t>datasets: unrelated, family-based (related), and exome-based (</w:t>
      </w:r>
      <w:proofErr w:type="spellStart"/>
      <w:r w:rsidRPr="00537A43">
        <w:rPr>
          <w:sz w:val="24"/>
          <w:szCs w:val="24"/>
          <w:lang w:val="en-CA"/>
        </w:rPr>
        <w:t>xHMM</w:t>
      </w:r>
      <w:proofErr w:type="spellEnd"/>
      <w:r w:rsidRPr="00537A43">
        <w:rPr>
          <w:sz w:val="24"/>
          <w:szCs w:val="24"/>
          <w:lang w:val="en-CA"/>
        </w:rPr>
        <w:t xml:space="preserve">). </w:t>
      </w:r>
      <w:r w:rsidRPr="00537A43">
        <w:rPr>
          <w:b/>
          <w:bCs/>
          <w:sz w:val="24"/>
          <w:szCs w:val="24"/>
          <w:lang w:val="en-CA"/>
        </w:rPr>
        <w:t>(B)</w:t>
      </w:r>
      <w:r w:rsidRPr="00537A43">
        <w:rPr>
          <w:sz w:val="24"/>
          <w:szCs w:val="24"/>
          <w:lang w:val="en-CA"/>
        </w:rPr>
        <w:t xml:space="preserve"> Same as A but restricted to individuals with an ASD diagnosis.</w:t>
      </w:r>
      <w:r w:rsidRPr="00537A43">
        <w:rPr>
          <w:lang w:val="en-CA"/>
        </w:rPr>
        <w:br w:type="page"/>
      </w:r>
    </w:p>
    <w:p w14:paraId="2021DA32" w14:textId="77777777" w:rsidR="006F22A4" w:rsidRPr="00537A43" w:rsidRDefault="006F22A4" w:rsidP="006F22A4">
      <w:pPr>
        <w:rPr>
          <w:b/>
          <w:bCs/>
          <w:sz w:val="24"/>
          <w:szCs w:val="24"/>
          <w:lang w:val="en-CA"/>
        </w:rPr>
      </w:pPr>
      <w:r>
        <w:rPr>
          <w:noProof/>
          <w:sz w:val="24"/>
          <w:szCs w:val="24"/>
        </w:rPr>
        <w:lastRenderedPageBreak/>
        <w:drawing>
          <wp:inline distT="114300" distB="114300" distL="114300" distR="114300" wp14:anchorId="0E345071" wp14:editId="07FEAA96">
            <wp:extent cx="5731200" cy="5359400"/>
            <wp:effectExtent l="0" t="0" r="0" b="0"/>
            <wp:docPr id="13"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6"/>
                    <a:srcRect/>
                    <a:stretch>
                      <a:fillRect/>
                    </a:stretch>
                  </pic:blipFill>
                  <pic:spPr>
                    <a:xfrm>
                      <a:off x="0" y="0"/>
                      <a:ext cx="5731200" cy="5359400"/>
                    </a:xfrm>
                    <a:prstGeom prst="rect">
                      <a:avLst/>
                    </a:prstGeom>
                    <a:ln/>
                  </pic:spPr>
                </pic:pic>
              </a:graphicData>
            </a:graphic>
          </wp:inline>
        </w:drawing>
      </w:r>
      <w:r w:rsidRPr="00537A43">
        <w:rPr>
          <w:b/>
          <w:bCs/>
          <w:sz w:val="24"/>
          <w:szCs w:val="24"/>
          <w:lang w:val="en-CA"/>
        </w:rPr>
        <w:t xml:space="preserve">Figure S3. </w:t>
      </w:r>
      <w:proofErr w:type="spellStart"/>
      <w:r w:rsidRPr="00537A43">
        <w:rPr>
          <w:b/>
          <w:bCs/>
          <w:sz w:val="24"/>
          <w:szCs w:val="24"/>
          <w:lang w:val="en-CA"/>
        </w:rPr>
        <w:t>Downsampling</w:t>
      </w:r>
      <w:proofErr w:type="spellEnd"/>
      <w:r w:rsidRPr="00537A43">
        <w:rPr>
          <w:b/>
          <w:bCs/>
          <w:sz w:val="24"/>
          <w:szCs w:val="24"/>
          <w:lang w:val="en-CA"/>
        </w:rPr>
        <w:t xml:space="preserve"> of the unrelated case-control dataset to the family-based sample size.</w:t>
      </w:r>
    </w:p>
    <w:p w14:paraId="4DBC82F6" w14:textId="77777777" w:rsidR="006F22A4" w:rsidRPr="00537A43" w:rsidRDefault="006F22A4" w:rsidP="006F22A4">
      <w:pPr>
        <w:rPr>
          <w:sz w:val="24"/>
          <w:szCs w:val="24"/>
          <w:lang w:val="en-CA"/>
        </w:rPr>
      </w:pPr>
      <w:r w:rsidRPr="00537A43">
        <w:rPr>
          <w:sz w:val="24"/>
          <w:szCs w:val="24"/>
          <w:lang w:val="en-CA"/>
        </w:rPr>
        <w:t xml:space="preserve">To test whether the greater number of associations detected in the unrelated case-control design reflects design properties rather than sample size alone, we repeatedly </w:t>
      </w:r>
      <w:proofErr w:type="spellStart"/>
      <w:r w:rsidRPr="00537A43">
        <w:rPr>
          <w:sz w:val="24"/>
          <w:szCs w:val="24"/>
          <w:lang w:val="en-CA"/>
        </w:rPr>
        <w:t>downsampled</w:t>
      </w:r>
      <w:proofErr w:type="spellEnd"/>
      <w:r w:rsidRPr="00537A43">
        <w:rPr>
          <w:sz w:val="24"/>
          <w:szCs w:val="24"/>
          <w:lang w:val="en-CA"/>
        </w:rPr>
        <w:t xml:space="preserve"> the unrelated dataset to match the family-based case: control ratio and sample size (N = 500 iterations) and re-ran the ASD CNV-GWAS in each iteration. </w:t>
      </w:r>
    </w:p>
    <w:p w14:paraId="53F8E631" w14:textId="77777777" w:rsidR="006F22A4" w:rsidRPr="00537A43" w:rsidRDefault="006F22A4" w:rsidP="006F22A4">
      <w:pPr>
        <w:rPr>
          <w:sz w:val="24"/>
          <w:szCs w:val="24"/>
          <w:lang w:val="en-CA"/>
        </w:rPr>
      </w:pPr>
      <w:r w:rsidRPr="00537A43">
        <w:rPr>
          <w:b/>
          <w:bCs/>
          <w:sz w:val="24"/>
          <w:szCs w:val="24"/>
          <w:lang w:val="en-CA"/>
        </w:rPr>
        <w:t xml:space="preserve">(A) </w:t>
      </w:r>
      <w:r w:rsidRPr="00537A43">
        <w:rPr>
          <w:sz w:val="24"/>
          <w:szCs w:val="24"/>
          <w:lang w:val="en-CA"/>
        </w:rPr>
        <w:t xml:space="preserve">Distribution of the number of significant gene clusters (FDR &lt; 0.05) across the 500 </w:t>
      </w:r>
      <w:proofErr w:type="spellStart"/>
      <w:r w:rsidRPr="00537A43">
        <w:rPr>
          <w:sz w:val="24"/>
          <w:szCs w:val="24"/>
          <w:lang w:val="en-CA"/>
        </w:rPr>
        <w:t>downsampled</w:t>
      </w:r>
      <w:proofErr w:type="spellEnd"/>
      <w:r w:rsidRPr="00537A43">
        <w:rPr>
          <w:sz w:val="24"/>
          <w:szCs w:val="24"/>
          <w:lang w:val="en-CA"/>
        </w:rPr>
        <w:t xml:space="preserve"> iterations. The dashed red line indicates the count observed in the family-based analysis (N = 15; empirical P = 0.002). </w:t>
      </w:r>
      <w:r w:rsidRPr="00537A43">
        <w:rPr>
          <w:b/>
          <w:bCs/>
          <w:sz w:val="24"/>
          <w:szCs w:val="24"/>
          <w:lang w:val="en-CA"/>
        </w:rPr>
        <w:t>(B)</w:t>
      </w:r>
      <w:r w:rsidRPr="00537A43">
        <w:rPr>
          <w:sz w:val="24"/>
          <w:szCs w:val="24"/>
          <w:lang w:val="en-CA"/>
        </w:rPr>
        <w:t xml:space="preserve"> Same as </w:t>
      </w:r>
      <w:r w:rsidRPr="00537A43">
        <w:rPr>
          <w:b/>
          <w:bCs/>
          <w:sz w:val="24"/>
          <w:szCs w:val="24"/>
          <w:lang w:val="en-CA"/>
        </w:rPr>
        <w:t>(A)</w:t>
      </w:r>
      <w:r w:rsidRPr="00537A43">
        <w:rPr>
          <w:sz w:val="24"/>
          <w:szCs w:val="24"/>
          <w:lang w:val="en-CA"/>
        </w:rPr>
        <w:t xml:space="preserve"> for the number of significant genes (family-based N = 133; empirical P = 0.006). </w:t>
      </w:r>
      <w:r w:rsidRPr="00537A43">
        <w:rPr>
          <w:b/>
          <w:bCs/>
          <w:sz w:val="24"/>
          <w:szCs w:val="24"/>
          <w:lang w:val="en-CA"/>
        </w:rPr>
        <w:t>(C)</w:t>
      </w:r>
      <w:r w:rsidRPr="00537A43">
        <w:rPr>
          <w:sz w:val="24"/>
          <w:szCs w:val="24"/>
          <w:lang w:val="en-CA"/>
        </w:rPr>
        <w:t xml:space="preserve"> Correlation between per-cluster odds ratios from the full unrelated analysis and the mean across </w:t>
      </w:r>
      <w:proofErr w:type="spellStart"/>
      <w:r w:rsidRPr="00537A43">
        <w:rPr>
          <w:sz w:val="24"/>
          <w:szCs w:val="24"/>
          <w:lang w:val="en-CA"/>
        </w:rPr>
        <w:t>downsampled</w:t>
      </w:r>
      <w:proofErr w:type="spellEnd"/>
      <w:r w:rsidRPr="00537A43">
        <w:rPr>
          <w:sz w:val="24"/>
          <w:szCs w:val="24"/>
          <w:lang w:val="en-CA"/>
        </w:rPr>
        <w:t xml:space="preserve"> iterations. </w:t>
      </w:r>
      <w:r w:rsidRPr="00537A43">
        <w:rPr>
          <w:b/>
          <w:bCs/>
          <w:sz w:val="24"/>
          <w:szCs w:val="24"/>
          <w:lang w:val="en-CA"/>
        </w:rPr>
        <w:t>(D)</w:t>
      </w:r>
      <w:r w:rsidRPr="00537A43">
        <w:rPr>
          <w:sz w:val="24"/>
          <w:szCs w:val="24"/>
          <w:lang w:val="en-CA"/>
        </w:rPr>
        <w:t xml:space="preserve"> Correlation between per-cluster odds ratios from the full family-based analysis and the </w:t>
      </w:r>
      <w:proofErr w:type="spellStart"/>
      <w:r w:rsidRPr="00537A43">
        <w:rPr>
          <w:sz w:val="24"/>
          <w:szCs w:val="24"/>
          <w:lang w:val="en-CA"/>
        </w:rPr>
        <w:t>downsampled</w:t>
      </w:r>
      <w:proofErr w:type="spellEnd"/>
      <w:r w:rsidRPr="00537A43">
        <w:rPr>
          <w:sz w:val="24"/>
          <w:szCs w:val="24"/>
          <w:lang w:val="en-CA"/>
        </w:rPr>
        <w:t xml:space="preserve"> unrelated estimates.</w:t>
      </w:r>
      <w:r w:rsidRPr="00537A43">
        <w:rPr>
          <w:lang w:val="en-CA"/>
        </w:rPr>
        <w:br w:type="page"/>
      </w:r>
    </w:p>
    <w:p w14:paraId="0EA3C2F1" w14:textId="77777777" w:rsidR="006F22A4" w:rsidRDefault="006F22A4" w:rsidP="006F22A4">
      <w:pPr>
        <w:rPr>
          <w:sz w:val="24"/>
          <w:szCs w:val="24"/>
        </w:rPr>
      </w:pPr>
      <w:r>
        <w:rPr>
          <w:noProof/>
          <w:sz w:val="24"/>
          <w:szCs w:val="24"/>
        </w:rPr>
        <w:lastRenderedPageBreak/>
        <w:drawing>
          <wp:inline distT="114300" distB="114300" distL="114300" distR="114300" wp14:anchorId="4FE3046C" wp14:editId="532D8B75">
            <wp:extent cx="5731200" cy="7785100"/>
            <wp:effectExtent l="0" t="0" r="0" b="0"/>
            <wp:docPr id="11"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7"/>
                    <a:srcRect/>
                    <a:stretch>
                      <a:fillRect/>
                    </a:stretch>
                  </pic:blipFill>
                  <pic:spPr>
                    <a:xfrm>
                      <a:off x="0" y="0"/>
                      <a:ext cx="5731200" cy="7785100"/>
                    </a:xfrm>
                    <a:prstGeom prst="rect">
                      <a:avLst/>
                    </a:prstGeom>
                    <a:ln/>
                  </pic:spPr>
                </pic:pic>
              </a:graphicData>
            </a:graphic>
          </wp:inline>
        </w:drawing>
      </w:r>
    </w:p>
    <w:p w14:paraId="3B7A428F" w14:textId="77777777" w:rsidR="006F22A4" w:rsidRPr="00537A43" w:rsidRDefault="006F22A4" w:rsidP="006F22A4">
      <w:pPr>
        <w:rPr>
          <w:b/>
          <w:bCs/>
          <w:sz w:val="24"/>
          <w:szCs w:val="24"/>
          <w:lang w:val="en-CA"/>
        </w:rPr>
      </w:pPr>
      <w:r w:rsidRPr="00537A43">
        <w:rPr>
          <w:b/>
          <w:bCs/>
          <w:sz w:val="24"/>
          <w:szCs w:val="24"/>
          <w:lang w:val="en-CA"/>
        </w:rPr>
        <w:t>Figure S4.</w:t>
      </w:r>
      <w:r w:rsidRPr="00537A43">
        <w:rPr>
          <w:sz w:val="24"/>
          <w:szCs w:val="24"/>
          <w:lang w:val="en-CA"/>
        </w:rPr>
        <w:t xml:space="preserve"> </w:t>
      </w:r>
      <w:r w:rsidRPr="00537A43">
        <w:rPr>
          <w:b/>
          <w:bCs/>
          <w:sz w:val="24"/>
          <w:szCs w:val="24"/>
          <w:lang w:val="en-CA"/>
        </w:rPr>
        <w:t>Correlation and systematic bias of gene cluster estimates across ASD analyses</w:t>
      </w:r>
    </w:p>
    <w:p w14:paraId="5C584BD4" w14:textId="77777777" w:rsidR="006F22A4" w:rsidRPr="00537A43" w:rsidRDefault="006F22A4" w:rsidP="006F22A4">
      <w:pPr>
        <w:rPr>
          <w:sz w:val="24"/>
          <w:szCs w:val="24"/>
          <w:lang w:val="en-CA"/>
        </w:rPr>
      </w:pPr>
      <w:r w:rsidRPr="00537A43">
        <w:rPr>
          <w:b/>
          <w:bCs/>
          <w:sz w:val="24"/>
          <w:szCs w:val="24"/>
          <w:lang w:val="en-CA"/>
        </w:rPr>
        <w:lastRenderedPageBreak/>
        <w:t xml:space="preserve">(A) </w:t>
      </w:r>
      <w:r w:rsidRPr="00537A43">
        <w:rPr>
          <w:sz w:val="24"/>
          <w:szCs w:val="24"/>
          <w:lang w:val="en-CA"/>
        </w:rPr>
        <w:t xml:space="preserve">Comparison of effect size estimates for gene clusters between extra-familial and intra-familial datasets. </w:t>
      </w:r>
      <w:r w:rsidRPr="00537A43">
        <w:rPr>
          <w:i/>
          <w:iCs/>
          <w:sz w:val="24"/>
          <w:szCs w:val="24"/>
          <w:lang w:val="en-CA"/>
        </w:rPr>
        <w:t>R</w:t>
      </w:r>
      <w:r w:rsidRPr="00537A43">
        <w:rPr>
          <w:sz w:val="24"/>
          <w:szCs w:val="24"/>
          <w:lang w:val="en-CA"/>
        </w:rPr>
        <w:t xml:space="preserve"> indicates the Pearson correlation between the two sets of estimates, while ICC represents the intraclass correlation coefficient as a measure of concordance.</w:t>
      </w:r>
    </w:p>
    <w:p w14:paraId="4261E2BA" w14:textId="77777777" w:rsidR="006F22A4" w:rsidRPr="00537A43" w:rsidRDefault="006F22A4" w:rsidP="006F22A4">
      <w:pPr>
        <w:rPr>
          <w:sz w:val="24"/>
          <w:szCs w:val="24"/>
          <w:lang w:val="en-CA"/>
        </w:rPr>
      </w:pPr>
      <w:r w:rsidRPr="00537A43">
        <w:rPr>
          <w:b/>
          <w:bCs/>
          <w:sz w:val="24"/>
          <w:szCs w:val="24"/>
          <w:lang w:val="en-CA"/>
        </w:rPr>
        <w:t xml:space="preserve">(B) </w:t>
      </w:r>
      <w:r w:rsidRPr="00537A43">
        <w:rPr>
          <w:sz w:val="24"/>
          <w:szCs w:val="24"/>
          <w:lang w:val="en-CA"/>
        </w:rPr>
        <w:t xml:space="preserve">Bland–Altman plot showing the agreement between two analyses (extra- and intra-familial analyses). The mean difference represents the systematic bias between the two analyses and is derived from a paired </w:t>
      </w:r>
      <w:r w:rsidRPr="00537A43">
        <w:rPr>
          <w:i/>
          <w:iCs/>
          <w:sz w:val="24"/>
          <w:szCs w:val="24"/>
          <w:lang w:val="en-CA"/>
        </w:rPr>
        <w:t>t</w:t>
      </w:r>
      <w:r w:rsidRPr="00537A43">
        <w:rPr>
          <w:sz w:val="24"/>
          <w:szCs w:val="24"/>
          <w:lang w:val="en-CA"/>
        </w:rPr>
        <w:t xml:space="preserve">-test comparing the two sets of estimates. </w:t>
      </w:r>
      <w:r w:rsidRPr="00537A43">
        <w:rPr>
          <w:b/>
          <w:bCs/>
          <w:sz w:val="24"/>
          <w:szCs w:val="24"/>
          <w:lang w:val="en-CA"/>
        </w:rPr>
        <w:t>(C–</w:t>
      </w:r>
      <w:proofErr w:type="gramStart"/>
      <w:r w:rsidRPr="00537A43">
        <w:rPr>
          <w:b/>
          <w:bCs/>
          <w:sz w:val="24"/>
          <w:szCs w:val="24"/>
          <w:lang w:val="en-CA"/>
        </w:rPr>
        <w:t>D )</w:t>
      </w:r>
      <w:r w:rsidRPr="00537A43">
        <w:rPr>
          <w:sz w:val="24"/>
          <w:szCs w:val="24"/>
          <w:lang w:val="en-CA"/>
        </w:rPr>
        <w:t>Same</w:t>
      </w:r>
      <w:proofErr w:type="gramEnd"/>
      <w:r w:rsidRPr="00537A43">
        <w:rPr>
          <w:sz w:val="24"/>
          <w:szCs w:val="24"/>
          <w:lang w:val="en-CA"/>
        </w:rPr>
        <w:t xml:space="preserve"> as A–B but comparing European-only extra-familial and intra-familial estimates. </w:t>
      </w:r>
      <w:r w:rsidRPr="00537A43">
        <w:rPr>
          <w:b/>
          <w:bCs/>
          <w:sz w:val="24"/>
          <w:szCs w:val="24"/>
          <w:lang w:val="en-CA"/>
        </w:rPr>
        <w:t>(E–</w:t>
      </w:r>
      <w:proofErr w:type="gramStart"/>
      <w:r w:rsidRPr="00537A43">
        <w:rPr>
          <w:b/>
          <w:bCs/>
          <w:sz w:val="24"/>
          <w:szCs w:val="24"/>
          <w:lang w:val="en-CA"/>
        </w:rPr>
        <w:t xml:space="preserve">F) </w:t>
      </w:r>
      <w:r w:rsidRPr="00537A43">
        <w:rPr>
          <w:sz w:val="24"/>
          <w:szCs w:val="24"/>
          <w:lang w:val="en-CA"/>
        </w:rPr>
        <w:t xml:space="preserve"> Same</w:t>
      </w:r>
      <w:proofErr w:type="gramEnd"/>
      <w:r w:rsidRPr="00537A43">
        <w:rPr>
          <w:sz w:val="24"/>
          <w:szCs w:val="24"/>
          <w:lang w:val="en-CA"/>
        </w:rPr>
        <w:t xml:space="preserve"> as A–B but comparing extra-familial and exome-based (</w:t>
      </w:r>
      <w:proofErr w:type="spellStart"/>
      <w:r w:rsidRPr="00537A43">
        <w:rPr>
          <w:sz w:val="24"/>
          <w:szCs w:val="24"/>
          <w:lang w:val="en-CA"/>
        </w:rPr>
        <w:t>xHMM</w:t>
      </w:r>
      <w:proofErr w:type="spellEnd"/>
      <w:r w:rsidRPr="00537A43">
        <w:rPr>
          <w:sz w:val="24"/>
          <w:szCs w:val="24"/>
          <w:lang w:val="en-CA"/>
        </w:rPr>
        <w:t>) estimates.</w:t>
      </w:r>
      <w:r w:rsidRPr="00537A43">
        <w:rPr>
          <w:lang w:val="en-CA"/>
        </w:rPr>
        <w:br w:type="page"/>
      </w:r>
    </w:p>
    <w:p w14:paraId="4043C3D3" w14:textId="77777777" w:rsidR="006F22A4" w:rsidRDefault="006F22A4" w:rsidP="006F22A4">
      <w:pPr>
        <w:spacing w:line="360" w:lineRule="auto"/>
        <w:rPr>
          <w:sz w:val="24"/>
          <w:szCs w:val="24"/>
        </w:rPr>
      </w:pPr>
      <w:r>
        <w:rPr>
          <w:noProof/>
          <w:sz w:val="24"/>
          <w:szCs w:val="24"/>
        </w:rPr>
        <w:lastRenderedPageBreak/>
        <w:drawing>
          <wp:inline distT="114300" distB="114300" distL="114300" distR="114300" wp14:anchorId="154BFABF" wp14:editId="1EDF32CD">
            <wp:extent cx="5731200" cy="3378200"/>
            <wp:effectExtent l="0" t="0" r="0" b="0"/>
            <wp:docPr id="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5731200" cy="3378200"/>
                    </a:xfrm>
                    <a:prstGeom prst="rect">
                      <a:avLst/>
                    </a:prstGeom>
                    <a:ln/>
                  </pic:spPr>
                </pic:pic>
              </a:graphicData>
            </a:graphic>
          </wp:inline>
        </w:drawing>
      </w:r>
    </w:p>
    <w:p w14:paraId="02BC4FB8" w14:textId="77777777" w:rsidR="006F22A4" w:rsidRPr="00537A43" w:rsidRDefault="006F22A4" w:rsidP="006F22A4">
      <w:pPr>
        <w:rPr>
          <w:b/>
          <w:bCs/>
          <w:sz w:val="24"/>
          <w:szCs w:val="24"/>
          <w:lang w:val="en-CA"/>
        </w:rPr>
      </w:pPr>
      <w:r w:rsidRPr="00537A43">
        <w:rPr>
          <w:b/>
          <w:bCs/>
          <w:sz w:val="24"/>
          <w:szCs w:val="24"/>
          <w:lang w:val="en-CA"/>
        </w:rPr>
        <w:t>Figure S5.</w:t>
      </w:r>
      <w:r w:rsidRPr="00537A43">
        <w:rPr>
          <w:sz w:val="24"/>
          <w:szCs w:val="24"/>
          <w:lang w:val="en-CA"/>
        </w:rPr>
        <w:t xml:space="preserve"> </w:t>
      </w:r>
      <w:r w:rsidRPr="00537A43">
        <w:rPr>
          <w:b/>
          <w:bCs/>
          <w:sz w:val="24"/>
          <w:szCs w:val="24"/>
          <w:lang w:val="en-CA"/>
        </w:rPr>
        <w:t>Overlap of significant gene clusters across ASD analyses.</w:t>
      </w:r>
    </w:p>
    <w:p w14:paraId="0D4B0610" w14:textId="77777777" w:rsidR="006F22A4" w:rsidRPr="00537A43" w:rsidRDefault="006F22A4" w:rsidP="006F22A4">
      <w:pPr>
        <w:rPr>
          <w:sz w:val="24"/>
          <w:szCs w:val="24"/>
          <w:lang w:val="en-CA"/>
        </w:rPr>
      </w:pPr>
      <w:r w:rsidRPr="00537A43">
        <w:rPr>
          <w:sz w:val="24"/>
          <w:szCs w:val="24"/>
          <w:lang w:val="en-CA"/>
        </w:rPr>
        <w:t xml:space="preserve">Upset plot showing the overlap of significant gene clusters (FDR q &lt; 0.05) across ASD analyses. UNR and UNR adj IQ represent clusters identified with unrelated controls without and with adjustment for cognitive ability, respectively. FAM refers to the family-based analysis and </w:t>
      </w:r>
      <w:proofErr w:type="spellStart"/>
      <w:r w:rsidRPr="00537A43">
        <w:rPr>
          <w:sz w:val="24"/>
          <w:szCs w:val="24"/>
          <w:lang w:val="en-CA"/>
        </w:rPr>
        <w:t>xHMM</w:t>
      </w:r>
      <w:proofErr w:type="spellEnd"/>
      <w:r w:rsidRPr="00537A43">
        <w:rPr>
          <w:sz w:val="24"/>
          <w:szCs w:val="24"/>
          <w:lang w:val="en-CA"/>
        </w:rPr>
        <w:t xml:space="preserve"> to the sensitivity analysis using whole-exome CNV calls from SPARK. SFARI genes and </w:t>
      </w:r>
      <w:proofErr w:type="spellStart"/>
      <w:r w:rsidRPr="00537A43">
        <w:rPr>
          <w:sz w:val="24"/>
          <w:szCs w:val="24"/>
          <w:lang w:val="en-CA"/>
        </w:rPr>
        <w:t>rCNV</w:t>
      </w:r>
      <w:proofErr w:type="spellEnd"/>
      <w:r w:rsidRPr="00537A43">
        <w:rPr>
          <w:sz w:val="24"/>
          <w:szCs w:val="24"/>
          <w:lang w:val="en-CA"/>
        </w:rPr>
        <w:t xml:space="preserve"> genes denote clusters overlapping genes from the SFARI database or the recurrent CNV list, respectively.</w:t>
      </w:r>
      <w:r w:rsidRPr="00537A43">
        <w:rPr>
          <w:lang w:val="en-CA"/>
        </w:rPr>
        <w:br w:type="page"/>
      </w:r>
    </w:p>
    <w:p w14:paraId="12343A7B" w14:textId="77777777" w:rsidR="006F22A4" w:rsidRDefault="006F22A4" w:rsidP="006F22A4">
      <w:pPr>
        <w:rPr>
          <w:b/>
          <w:bCs/>
          <w:sz w:val="24"/>
          <w:szCs w:val="24"/>
        </w:rPr>
      </w:pPr>
      <w:r>
        <w:rPr>
          <w:b/>
          <w:bCs/>
          <w:noProof/>
          <w:sz w:val="24"/>
          <w:szCs w:val="24"/>
        </w:rPr>
        <w:lastRenderedPageBreak/>
        <w:drawing>
          <wp:inline distT="114300" distB="114300" distL="114300" distR="114300" wp14:anchorId="73ACABE6" wp14:editId="424B970F">
            <wp:extent cx="5731200" cy="2578100"/>
            <wp:effectExtent l="0" t="0" r="0" b="0"/>
            <wp:docPr id="1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5731200" cy="2578100"/>
                    </a:xfrm>
                    <a:prstGeom prst="rect">
                      <a:avLst/>
                    </a:prstGeom>
                    <a:ln/>
                  </pic:spPr>
                </pic:pic>
              </a:graphicData>
            </a:graphic>
          </wp:inline>
        </w:drawing>
      </w:r>
    </w:p>
    <w:p w14:paraId="78B440A9" w14:textId="77777777" w:rsidR="006F22A4" w:rsidRPr="00537A43" w:rsidRDefault="006F22A4" w:rsidP="006F22A4">
      <w:pPr>
        <w:rPr>
          <w:b/>
          <w:bCs/>
          <w:sz w:val="24"/>
          <w:szCs w:val="24"/>
          <w:lang w:val="en-CA"/>
        </w:rPr>
      </w:pPr>
      <w:r w:rsidRPr="00537A43">
        <w:rPr>
          <w:b/>
          <w:bCs/>
          <w:sz w:val="24"/>
          <w:szCs w:val="24"/>
          <w:lang w:val="en-CA"/>
        </w:rPr>
        <w:t>Figure S6.</w:t>
      </w:r>
      <w:r w:rsidRPr="00537A43">
        <w:rPr>
          <w:sz w:val="24"/>
          <w:szCs w:val="24"/>
          <w:lang w:val="en-CA"/>
        </w:rPr>
        <w:t xml:space="preserve"> </w:t>
      </w:r>
      <w:r w:rsidRPr="00537A43">
        <w:rPr>
          <w:b/>
          <w:bCs/>
          <w:sz w:val="24"/>
          <w:szCs w:val="24"/>
          <w:lang w:val="en-CA"/>
        </w:rPr>
        <w:t>ASD CNV-GWAS estimates before and after adjustment for cognitive ability</w:t>
      </w:r>
    </w:p>
    <w:p w14:paraId="362188FF" w14:textId="77777777" w:rsidR="006F22A4" w:rsidRPr="00537A43" w:rsidRDefault="006F22A4" w:rsidP="006F22A4">
      <w:pPr>
        <w:rPr>
          <w:sz w:val="24"/>
          <w:szCs w:val="24"/>
          <w:lang w:val="en-CA"/>
        </w:rPr>
      </w:pPr>
      <w:r w:rsidRPr="00537A43">
        <w:rPr>
          <w:b/>
          <w:bCs/>
          <w:sz w:val="24"/>
          <w:szCs w:val="24"/>
          <w:lang w:val="en-CA"/>
        </w:rPr>
        <w:t xml:space="preserve">(A) </w:t>
      </w:r>
      <w:r w:rsidRPr="00537A43">
        <w:rPr>
          <w:sz w:val="24"/>
          <w:szCs w:val="24"/>
          <w:lang w:val="en-CA"/>
        </w:rPr>
        <w:t>Comparison of effect size estimates for gene clusters in the unrelated case-control analysis of ASD, without and with adjustment for cognitive ability. R indicates the Pearson correlation between the two sets of estimates, while ICC represents the intraclass correlation coefficient as a measure of concordance.</w:t>
      </w:r>
    </w:p>
    <w:p w14:paraId="3F916897" w14:textId="77777777" w:rsidR="006F22A4" w:rsidRPr="00537A43" w:rsidRDefault="006F22A4" w:rsidP="006F22A4">
      <w:pPr>
        <w:rPr>
          <w:b/>
          <w:bCs/>
          <w:sz w:val="24"/>
          <w:szCs w:val="24"/>
          <w:lang w:val="en-CA"/>
        </w:rPr>
      </w:pPr>
      <w:r w:rsidRPr="00537A43">
        <w:rPr>
          <w:b/>
          <w:bCs/>
          <w:sz w:val="24"/>
          <w:szCs w:val="24"/>
          <w:lang w:val="en-CA"/>
        </w:rPr>
        <w:t xml:space="preserve">(B) </w:t>
      </w:r>
      <w:r w:rsidRPr="00537A43">
        <w:rPr>
          <w:sz w:val="24"/>
          <w:szCs w:val="24"/>
          <w:lang w:val="en-CA"/>
        </w:rPr>
        <w:t xml:space="preserve">Bland–Altman plot showing the agreement between two analyses. The mean difference represents the systematic bias between the two analyses and is derived from a paired </w:t>
      </w:r>
      <w:r w:rsidRPr="00537A43">
        <w:rPr>
          <w:i/>
          <w:iCs/>
          <w:sz w:val="24"/>
          <w:szCs w:val="24"/>
          <w:lang w:val="en-CA"/>
        </w:rPr>
        <w:t>t</w:t>
      </w:r>
      <w:r w:rsidRPr="00537A43">
        <w:rPr>
          <w:sz w:val="24"/>
          <w:szCs w:val="24"/>
          <w:lang w:val="en-CA"/>
        </w:rPr>
        <w:t>-test comparing the two sets of estimates.</w:t>
      </w:r>
    </w:p>
    <w:p w14:paraId="48664D69" w14:textId="77777777" w:rsidR="006F22A4" w:rsidRPr="00537A43" w:rsidRDefault="006F22A4" w:rsidP="006F22A4">
      <w:pPr>
        <w:rPr>
          <w:sz w:val="24"/>
          <w:szCs w:val="24"/>
          <w:lang w:val="en-CA"/>
        </w:rPr>
      </w:pPr>
    </w:p>
    <w:p w14:paraId="17B485D8" w14:textId="77777777" w:rsidR="006F22A4" w:rsidRPr="00537A43" w:rsidRDefault="006F22A4" w:rsidP="006F22A4">
      <w:pPr>
        <w:spacing w:line="360" w:lineRule="auto"/>
        <w:rPr>
          <w:sz w:val="24"/>
          <w:szCs w:val="24"/>
          <w:lang w:val="en-CA"/>
        </w:rPr>
      </w:pPr>
    </w:p>
    <w:p w14:paraId="037F7B00" w14:textId="77777777" w:rsidR="006F22A4" w:rsidRPr="00537A43" w:rsidRDefault="006F22A4" w:rsidP="006F22A4">
      <w:pPr>
        <w:spacing w:line="360" w:lineRule="auto"/>
        <w:rPr>
          <w:sz w:val="24"/>
          <w:szCs w:val="24"/>
          <w:lang w:val="en-CA"/>
        </w:rPr>
      </w:pPr>
    </w:p>
    <w:p w14:paraId="4C9E6612" w14:textId="77777777" w:rsidR="006F22A4" w:rsidRPr="00537A43" w:rsidRDefault="006F22A4" w:rsidP="006F22A4">
      <w:pPr>
        <w:spacing w:line="360" w:lineRule="auto"/>
        <w:rPr>
          <w:sz w:val="24"/>
          <w:szCs w:val="24"/>
          <w:lang w:val="en-CA"/>
        </w:rPr>
      </w:pPr>
    </w:p>
    <w:p w14:paraId="73BEADC8" w14:textId="77777777" w:rsidR="006F22A4" w:rsidRPr="00537A43" w:rsidRDefault="006F22A4" w:rsidP="006F22A4">
      <w:pPr>
        <w:rPr>
          <w:b/>
          <w:bCs/>
          <w:sz w:val="24"/>
          <w:szCs w:val="24"/>
          <w:lang w:val="en-CA"/>
        </w:rPr>
      </w:pPr>
    </w:p>
    <w:p w14:paraId="751DCB69" w14:textId="77777777" w:rsidR="006F22A4" w:rsidRPr="00537A43" w:rsidRDefault="006F22A4" w:rsidP="006F22A4">
      <w:pPr>
        <w:rPr>
          <w:b/>
          <w:bCs/>
          <w:sz w:val="24"/>
          <w:szCs w:val="24"/>
          <w:lang w:val="en-CA"/>
        </w:rPr>
      </w:pPr>
    </w:p>
    <w:p w14:paraId="131181CB" w14:textId="77777777" w:rsidR="006F22A4" w:rsidRPr="00537A43" w:rsidRDefault="006F22A4" w:rsidP="006F22A4">
      <w:pPr>
        <w:spacing w:line="360" w:lineRule="auto"/>
        <w:jc w:val="center"/>
        <w:rPr>
          <w:sz w:val="24"/>
          <w:szCs w:val="24"/>
          <w:lang w:val="en-CA"/>
        </w:rPr>
      </w:pPr>
      <w:r w:rsidRPr="00537A43">
        <w:rPr>
          <w:lang w:val="en-CA"/>
        </w:rPr>
        <w:br w:type="page"/>
      </w:r>
    </w:p>
    <w:p w14:paraId="21AD0BF5" w14:textId="77777777" w:rsidR="006F22A4" w:rsidRDefault="006F22A4" w:rsidP="006F22A4">
      <w:pPr>
        <w:spacing w:line="360" w:lineRule="auto"/>
        <w:jc w:val="center"/>
        <w:rPr>
          <w:sz w:val="24"/>
          <w:szCs w:val="24"/>
        </w:rPr>
      </w:pPr>
      <w:r>
        <w:rPr>
          <w:noProof/>
          <w:sz w:val="24"/>
          <w:szCs w:val="24"/>
        </w:rPr>
        <w:lastRenderedPageBreak/>
        <w:drawing>
          <wp:inline distT="114300" distB="114300" distL="114300" distR="114300" wp14:anchorId="68EEE1B4" wp14:editId="2F55ACA1">
            <wp:extent cx="5443750" cy="9302115"/>
            <wp:effectExtent l="0" t="0" r="0" b="0"/>
            <wp:docPr id="12"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0"/>
                    <a:srcRect/>
                    <a:stretch>
                      <a:fillRect/>
                    </a:stretch>
                  </pic:blipFill>
                  <pic:spPr>
                    <a:xfrm>
                      <a:off x="0" y="0"/>
                      <a:ext cx="5443750" cy="9302115"/>
                    </a:xfrm>
                    <a:prstGeom prst="rect">
                      <a:avLst/>
                    </a:prstGeom>
                    <a:ln/>
                  </pic:spPr>
                </pic:pic>
              </a:graphicData>
            </a:graphic>
          </wp:inline>
        </w:drawing>
      </w:r>
      <w:r>
        <w:br w:type="page"/>
      </w:r>
    </w:p>
    <w:p w14:paraId="06B08D39" w14:textId="77777777" w:rsidR="006F22A4" w:rsidRDefault="006F22A4" w:rsidP="006F22A4">
      <w:pPr>
        <w:spacing w:line="360" w:lineRule="auto"/>
        <w:jc w:val="center"/>
        <w:rPr>
          <w:sz w:val="24"/>
          <w:szCs w:val="24"/>
        </w:rPr>
      </w:pPr>
      <w:r>
        <w:rPr>
          <w:noProof/>
          <w:sz w:val="24"/>
          <w:szCs w:val="24"/>
        </w:rPr>
        <w:lastRenderedPageBreak/>
        <w:drawing>
          <wp:inline distT="114300" distB="114300" distL="114300" distR="114300" wp14:anchorId="04CC6818" wp14:editId="30C21EC3">
            <wp:extent cx="5443750" cy="9302115"/>
            <wp:effectExtent l="0" t="0" r="0" b="0"/>
            <wp:docPr id="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1"/>
                    <a:srcRect/>
                    <a:stretch>
                      <a:fillRect/>
                    </a:stretch>
                  </pic:blipFill>
                  <pic:spPr>
                    <a:xfrm>
                      <a:off x="0" y="0"/>
                      <a:ext cx="5443750" cy="9302115"/>
                    </a:xfrm>
                    <a:prstGeom prst="rect">
                      <a:avLst/>
                    </a:prstGeom>
                    <a:ln/>
                  </pic:spPr>
                </pic:pic>
              </a:graphicData>
            </a:graphic>
          </wp:inline>
        </w:drawing>
      </w:r>
    </w:p>
    <w:p w14:paraId="3E2687AB" w14:textId="77777777" w:rsidR="006F22A4" w:rsidRDefault="006F22A4" w:rsidP="006F22A4">
      <w:pPr>
        <w:spacing w:line="360" w:lineRule="auto"/>
        <w:jc w:val="center"/>
        <w:rPr>
          <w:sz w:val="24"/>
          <w:szCs w:val="24"/>
        </w:rPr>
      </w:pPr>
      <w:r>
        <w:rPr>
          <w:noProof/>
          <w:sz w:val="24"/>
          <w:szCs w:val="24"/>
        </w:rPr>
        <w:lastRenderedPageBreak/>
        <w:drawing>
          <wp:inline distT="114300" distB="114300" distL="114300" distR="114300" wp14:anchorId="2222E19A" wp14:editId="2F35A4B7">
            <wp:extent cx="5443750" cy="9302115"/>
            <wp:effectExtent l="0" t="0" r="0" b="0"/>
            <wp:docPr id="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5443750" cy="9302115"/>
                    </a:xfrm>
                    <a:prstGeom prst="rect">
                      <a:avLst/>
                    </a:prstGeom>
                    <a:ln/>
                  </pic:spPr>
                </pic:pic>
              </a:graphicData>
            </a:graphic>
          </wp:inline>
        </w:drawing>
      </w:r>
    </w:p>
    <w:p w14:paraId="672F7B4B" w14:textId="77777777" w:rsidR="006F22A4" w:rsidRDefault="006F22A4" w:rsidP="006F22A4">
      <w:pPr>
        <w:spacing w:line="360" w:lineRule="auto"/>
        <w:jc w:val="center"/>
        <w:rPr>
          <w:sz w:val="24"/>
          <w:szCs w:val="24"/>
        </w:rPr>
      </w:pPr>
      <w:r>
        <w:rPr>
          <w:noProof/>
          <w:sz w:val="24"/>
          <w:szCs w:val="24"/>
        </w:rPr>
        <w:lastRenderedPageBreak/>
        <w:drawing>
          <wp:inline distT="114300" distB="114300" distL="114300" distR="114300" wp14:anchorId="37FCDD2B" wp14:editId="7ABD888B">
            <wp:extent cx="5443750" cy="9302115"/>
            <wp:effectExtent l="0" t="0" r="0" b="0"/>
            <wp:docPr id="1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a:stretch>
                      <a:fillRect/>
                    </a:stretch>
                  </pic:blipFill>
                  <pic:spPr>
                    <a:xfrm>
                      <a:off x="0" y="0"/>
                      <a:ext cx="5443750" cy="9302115"/>
                    </a:xfrm>
                    <a:prstGeom prst="rect">
                      <a:avLst/>
                    </a:prstGeom>
                    <a:ln/>
                  </pic:spPr>
                </pic:pic>
              </a:graphicData>
            </a:graphic>
          </wp:inline>
        </w:drawing>
      </w:r>
    </w:p>
    <w:p w14:paraId="2399D3B9" w14:textId="77777777" w:rsidR="006F22A4" w:rsidRDefault="006F22A4" w:rsidP="006F22A4">
      <w:pPr>
        <w:spacing w:line="360" w:lineRule="auto"/>
        <w:jc w:val="center"/>
        <w:rPr>
          <w:sz w:val="24"/>
          <w:szCs w:val="24"/>
        </w:rPr>
      </w:pPr>
      <w:r>
        <w:rPr>
          <w:noProof/>
          <w:sz w:val="24"/>
          <w:szCs w:val="24"/>
        </w:rPr>
        <w:lastRenderedPageBreak/>
        <w:drawing>
          <wp:inline distT="114300" distB="114300" distL="114300" distR="114300" wp14:anchorId="542C391A" wp14:editId="3F9776FB">
            <wp:extent cx="5443750" cy="9302115"/>
            <wp:effectExtent l="0" t="0" r="0" b="0"/>
            <wp:docPr id="18"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4"/>
                    <a:srcRect/>
                    <a:stretch>
                      <a:fillRect/>
                    </a:stretch>
                  </pic:blipFill>
                  <pic:spPr>
                    <a:xfrm>
                      <a:off x="0" y="0"/>
                      <a:ext cx="5443750" cy="9302115"/>
                    </a:xfrm>
                    <a:prstGeom prst="rect">
                      <a:avLst/>
                    </a:prstGeom>
                    <a:ln/>
                  </pic:spPr>
                </pic:pic>
              </a:graphicData>
            </a:graphic>
          </wp:inline>
        </w:drawing>
      </w:r>
    </w:p>
    <w:p w14:paraId="5F5C3420" w14:textId="77777777" w:rsidR="006F22A4" w:rsidRPr="00EF2E4D" w:rsidRDefault="006F22A4" w:rsidP="006F22A4">
      <w:pPr>
        <w:rPr>
          <w:b/>
          <w:bCs/>
          <w:sz w:val="24"/>
          <w:szCs w:val="24"/>
          <w:lang w:val="en-CA"/>
        </w:rPr>
      </w:pPr>
      <w:r w:rsidRPr="00EF2E4D">
        <w:rPr>
          <w:b/>
          <w:bCs/>
          <w:sz w:val="24"/>
          <w:szCs w:val="24"/>
          <w:lang w:val="en-CA"/>
        </w:rPr>
        <w:lastRenderedPageBreak/>
        <w:t>Figure S7.</w:t>
      </w:r>
      <w:r w:rsidRPr="00EF2E4D">
        <w:rPr>
          <w:sz w:val="24"/>
          <w:szCs w:val="24"/>
          <w:lang w:val="en-CA"/>
        </w:rPr>
        <w:t xml:space="preserve"> </w:t>
      </w:r>
      <w:r w:rsidRPr="00EF2E4D">
        <w:rPr>
          <w:b/>
          <w:bCs/>
          <w:sz w:val="24"/>
          <w:szCs w:val="24"/>
          <w:lang w:val="en-CA"/>
        </w:rPr>
        <w:t xml:space="preserve"> Novel ASD-associated loci without prior evidence of association with neurodevelopmental or psychiatric conditions.</w:t>
      </w:r>
    </w:p>
    <w:p w14:paraId="6F489A3F" w14:textId="77777777" w:rsidR="006F22A4" w:rsidRPr="00EF2E4D" w:rsidRDefault="006F22A4" w:rsidP="006F22A4">
      <w:pPr>
        <w:rPr>
          <w:sz w:val="24"/>
          <w:szCs w:val="24"/>
          <w:lang w:val="en-CA"/>
        </w:rPr>
      </w:pPr>
      <w:r w:rsidRPr="00EF2E4D">
        <w:rPr>
          <w:sz w:val="24"/>
          <w:szCs w:val="24"/>
          <w:lang w:val="en-CA"/>
        </w:rPr>
        <w:t>Each panel</w:t>
      </w:r>
      <w:r w:rsidRPr="00EF2E4D">
        <w:rPr>
          <w:b/>
          <w:bCs/>
          <w:sz w:val="24"/>
          <w:szCs w:val="24"/>
          <w:lang w:val="en-CA"/>
        </w:rPr>
        <w:t xml:space="preserve"> (A–J)</w:t>
      </w:r>
      <w:r w:rsidRPr="00EF2E4D">
        <w:rPr>
          <w:sz w:val="24"/>
          <w:szCs w:val="24"/>
          <w:lang w:val="en-CA"/>
        </w:rPr>
        <w:t xml:space="preserve"> displays a genomic locus identified in the unrelated ASD CNV-GWAS: </w:t>
      </w:r>
      <w:r w:rsidRPr="00EF2E4D">
        <w:rPr>
          <w:b/>
          <w:bCs/>
          <w:sz w:val="24"/>
          <w:szCs w:val="24"/>
          <w:lang w:val="en-CA"/>
        </w:rPr>
        <w:t>(A)</w:t>
      </w:r>
      <w:r w:rsidRPr="00EF2E4D">
        <w:rPr>
          <w:sz w:val="24"/>
          <w:szCs w:val="24"/>
          <w:lang w:val="en-CA"/>
        </w:rPr>
        <w:t xml:space="preserve"> Del. 4q13, </w:t>
      </w:r>
      <w:r w:rsidRPr="00EF2E4D">
        <w:rPr>
          <w:b/>
          <w:bCs/>
          <w:sz w:val="24"/>
          <w:szCs w:val="24"/>
          <w:lang w:val="en-CA"/>
        </w:rPr>
        <w:t>(B)</w:t>
      </w:r>
      <w:r w:rsidRPr="00EF2E4D">
        <w:rPr>
          <w:sz w:val="24"/>
          <w:szCs w:val="24"/>
          <w:lang w:val="en-CA"/>
        </w:rPr>
        <w:t xml:space="preserve"> Del. 16q23, </w:t>
      </w:r>
      <w:r w:rsidRPr="00EF2E4D">
        <w:rPr>
          <w:b/>
          <w:bCs/>
          <w:sz w:val="24"/>
          <w:szCs w:val="24"/>
          <w:lang w:val="en-CA"/>
        </w:rPr>
        <w:t xml:space="preserve">(C) </w:t>
      </w:r>
      <w:r w:rsidRPr="00EF2E4D">
        <w:rPr>
          <w:sz w:val="24"/>
          <w:szCs w:val="24"/>
          <w:lang w:val="en-CA"/>
        </w:rPr>
        <w:t xml:space="preserve">Del. 19q13, </w:t>
      </w:r>
      <w:r w:rsidRPr="00EF2E4D">
        <w:rPr>
          <w:b/>
          <w:bCs/>
          <w:sz w:val="24"/>
          <w:szCs w:val="24"/>
          <w:lang w:val="en-CA"/>
        </w:rPr>
        <w:t>(D)</w:t>
      </w:r>
      <w:r w:rsidRPr="00EF2E4D">
        <w:rPr>
          <w:sz w:val="24"/>
          <w:szCs w:val="24"/>
          <w:lang w:val="en-CA"/>
        </w:rPr>
        <w:t xml:space="preserve"> Dup. 1p22,</w:t>
      </w:r>
      <w:r w:rsidRPr="00EF2E4D">
        <w:rPr>
          <w:b/>
          <w:bCs/>
          <w:sz w:val="24"/>
          <w:szCs w:val="24"/>
          <w:lang w:val="en-CA"/>
        </w:rPr>
        <w:t xml:space="preserve"> (E)</w:t>
      </w:r>
      <w:r w:rsidRPr="00EF2E4D">
        <w:rPr>
          <w:sz w:val="24"/>
          <w:szCs w:val="24"/>
          <w:lang w:val="en-CA"/>
        </w:rPr>
        <w:t xml:space="preserve"> Dup. 3q13, </w:t>
      </w:r>
      <w:r w:rsidRPr="00EF2E4D">
        <w:rPr>
          <w:b/>
          <w:bCs/>
          <w:sz w:val="24"/>
          <w:szCs w:val="24"/>
          <w:lang w:val="en-CA"/>
        </w:rPr>
        <w:t>(F)</w:t>
      </w:r>
      <w:r w:rsidRPr="00EF2E4D">
        <w:rPr>
          <w:sz w:val="24"/>
          <w:szCs w:val="24"/>
          <w:lang w:val="en-CA"/>
        </w:rPr>
        <w:t xml:space="preserve"> Dup. 6p21, </w:t>
      </w:r>
      <w:r w:rsidRPr="00EF2E4D">
        <w:rPr>
          <w:b/>
          <w:bCs/>
          <w:sz w:val="24"/>
          <w:szCs w:val="24"/>
          <w:lang w:val="en-CA"/>
        </w:rPr>
        <w:t>(G)</w:t>
      </w:r>
      <w:r w:rsidRPr="00EF2E4D">
        <w:rPr>
          <w:sz w:val="24"/>
          <w:szCs w:val="24"/>
          <w:lang w:val="en-CA"/>
        </w:rPr>
        <w:t xml:space="preserve"> Dup. 6q14,</w:t>
      </w:r>
      <w:r w:rsidRPr="00EF2E4D">
        <w:rPr>
          <w:b/>
          <w:bCs/>
          <w:sz w:val="24"/>
          <w:szCs w:val="24"/>
          <w:lang w:val="en-CA"/>
        </w:rPr>
        <w:t xml:space="preserve"> (H)</w:t>
      </w:r>
      <w:r w:rsidRPr="00EF2E4D">
        <w:rPr>
          <w:sz w:val="24"/>
          <w:szCs w:val="24"/>
          <w:lang w:val="en-CA"/>
        </w:rPr>
        <w:t xml:space="preserve"> Dup. 7p21, </w:t>
      </w:r>
      <w:r w:rsidRPr="00EF2E4D">
        <w:rPr>
          <w:b/>
          <w:bCs/>
          <w:sz w:val="24"/>
          <w:szCs w:val="24"/>
          <w:lang w:val="en-CA"/>
        </w:rPr>
        <w:t>(I)</w:t>
      </w:r>
      <w:r w:rsidRPr="00EF2E4D">
        <w:rPr>
          <w:sz w:val="24"/>
          <w:szCs w:val="24"/>
          <w:lang w:val="en-CA"/>
        </w:rPr>
        <w:t xml:space="preserve"> Dup. 8p22,</w:t>
      </w:r>
      <w:r w:rsidRPr="00EF2E4D">
        <w:rPr>
          <w:b/>
          <w:bCs/>
          <w:sz w:val="24"/>
          <w:szCs w:val="24"/>
          <w:lang w:val="en-CA"/>
        </w:rPr>
        <w:t xml:space="preserve"> (J) </w:t>
      </w:r>
      <w:r w:rsidRPr="00EF2E4D">
        <w:rPr>
          <w:sz w:val="24"/>
          <w:szCs w:val="24"/>
          <w:lang w:val="en-CA"/>
        </w:rPr>
        <w:t>Dup. 19q13.</w:t>
      </w:r>
    </w:p>
    <w:p w14:paraId="4F524EEF" w14:textId="77777777" w:rsidR="006F22A4" w:rsidRPr="00537A43" w:rsidRDefault="006F22A4" w:rsidP="006F22A4">
      <w:pPr>
        <w:rPr>
          <w:sz w:val="24"/>
          <w:szCs w:val="24"/>
          <w:lang w:val="en-CA"/>
        </w:rPr>
      </w:pPr>
      <w:r w:rsidRPr="00EF2E4D">
        <w:rPr>
          <w:rFonts w:eastAsia="Gungsuh"/>
          <w:sz w:val="24"/>
          <w:szCs w:val="24"/>
          <w:lang w:val="en-CA"/>
        </w:rPr>
        <w:t>For each locus, tracks display from top to bottom: segmental duplications, gene annotations colour-coded by LOEUF score, gene-level association statistics (−log₁₀ p-value), odds ratios, and CNV frequencies in cases (red) and controls (cyan). The dashed horizontal line indicates the Bonferroni significance threshold. Vertical lines denote the boundaries of the ASD-associated gene cluster. All association statistics are derived from the unrelated case-control analysis.</w:t>
      </w:r>
      <w:r w:rsidRPr="00537A43">
        <w:rPr>
          <w:rFonts w:ascii="Gungsuh" w:eastAsia="Gungsuh" w:hAnsi="Gungsuh" w:cs="Gungsuh"/>
          <w:sz w:val="24"/>
          <w:szCs w:val="24"/>
          <w:lang w:val="en-CA"/>
        </w:rPr>
        <w:t xml:space="preserve"> </w:t>
      </w:r>
      <w:r w:rsidRPr="00537A43">
        <w:rPr>
          <w:lang w:val="en-CA"/>
        </w:rPr>
        <w:br w:type="page"/>
      </w:r>
    </w:p>
    <w:p w14:paraId="23AAFDD1" w14:textId="77777777" w:rsidR="006F22A4" w:rsidRPr="00537A43" w:rsidRDefault="006F22A4" w:rsidP="006F22A4">
      <w:pPr>
        <w:rPr>
          <w:sz w:val="24"/>
          <w:szCs w:val="24"/>
          <w:lang w:val="en-CA"/>
        </w:rPr>
      </w:pPr>
    </w:p>
    <w:p w14:paraId="71D81057" w14:textId="77777777" w:rsidR="006F22A4" w:rsidRPr="00537A43" w:rsidRDefault="006F22A4" w:rsidP="006F22A4">
      <w:pPr>
        <w:rPr>
          <w:b/>
          <w:bCs/>
          <w:sz w:val="24"/>
          <w:szCs w:val="24"/>
          <w:lang w:val="en-CA"/>
        </w:rPr>
      </w:pPr>
      <w:r>
        <w:rPr>
          <w:noProof/>
        </w:rPr>
        <w:drawing>
          <wp:anchor distT="0" distB="0" distL="0" distR="0" simplePos="0" relativeHeight="251659264" behindDoc="0" locked="0" layoutInCell="1" hidden="0" allowOverlap="1" wp14:anchorId="30BC6189" wp14:editId="45F6A341">
            <wp:simplePos x="0" y="0"/>
            <wp:positionH relativeFrom="column">
              <wp:posOffset>-781049</wp:posOffset>
            </wp:positionH>
            <wp:positionV relativeFrom="paragraph">
              <wp:posOffset>0</wp:posOffset>
            </wp:positionV>
            <wp:extent cx="7332898" cy="3938588"/>
            <wp:effectExtent l="0" t="0" r="0" b="0"/>
            <wp:wrapSquare wrapText="bothSides" distT="0" distB="0" distL="0" distR="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5"/>
                    <a:srcRect/>
                    <a:stretch>
                      <a:fillRect/>
                    </a:stretch>
                  </pic:blipFill>
                  <pic:spPr>
                    <a:xfrm>
                      <a:off x="0" y="0"/>
                      <a:ext cx="7332898" cy="3938588"/>
                    </a:xfrm>
                    <a:prstGeom prst="rect">
                      <a:avLst/>
                    </a:prstGeom>
                    <a:ln/>
                  </pic:spPr>
                </pic:pic>
              </a:graphicData>
            </a:graphic>
          </wp:anchor>
        </w:drawing>
      </w:r>
    </w:p>
    <w:p w14:paraId="08F7DC82" w14:textId="77777777" w:rsidR="006F22A4" w:rsidRPr="00537A43" w:rsidRDefault="006F22A4" w:rsidP="006F22A4">
      <w:pPr>
        <w:rPr>
          <w:b/>
          <w:bCs/>
          <w:sz w:val="24"/>
          <w:szCs w:val="24"/>
          <w:lang w:val="en-CA"/>
        </w:rPr>
      </w:pPr>
      <w:r w:rsidRPr="00537A43">
        <w:rPr>
          <w:b/>
          <w:bCs/>
          <w:sz w:val="24"/>
          <w:szCs w:val="24"/>
          <w:lang w:val="en-CA"/>
        </w:rPr>
        <w:t>Figure S8. Gene expression across tissues for genes in novel ASD-associated loci</w:t>
      </w:r>
    </w:p>
    <w:p w14:paraId="27D3274B" w14:textId="77777777" w:rsidR="006F22A4" w:rsidRPr="00537A43" w:rsidRDefault="006F22A4" w:rsidP="006F22A4">
      <w:pPr>
        <w:rPr>
          <w:sz w:val="24"/>
          <w:szCs w:val="24"/>
          <w:lang w:val="en-CA"/>
        </w:rPr>
      </w:pPr>
      <w:r w:rsidRPr="00537A43">
        <w:rPr>
          <w:sz w:val="24"/>
          <w:szCs w:val="24"/>
          <w:lang w:val="en-CA"/>
        </w:rPr>
        <w:t xml:space="preserve">Each column represents a gene included in one of the 14 novel ASD-associated loci identified by the unrelated ASD CNV-GWAS and detected in </w:t>
      </w:r>
      <w:proofErr w:type="spellStart"/>
      <w:r w:rsidRPr="00537A43">
        <w:rPr>
          <w:sz w:val="24"/>
          <w:szCs w:val="24"/>
          <w:lang w:val="en-CA"/>
        </w:rPr>
        <w:t>GTEx</w:t>
      </w:r>
      <w:proofErr w:type="spellEnd"/>
      <w:r w:rsidRPr="00537A43">
        <w:rPr>
          <w:sz w:val="24"/>
          <w:szCs w:val="24"/>
          <w:lang w:val="en-CA"/>
        </w:rPr>
        <w:t xml:space="preserve"> tissues. Gene expression data are derived from </w:t>
      </w:r>
      <w:proofErr w:type="spellStart"/>
      <w:r w:rsidRPr="00537A43">
        <w:rPr>
          <w:sz w:val="24"/>
          <w:szCs w:val="24"/>
          <w:lang w:val="en-CA"/>
        </w:rPr>
        <w:t>GTEx</w:t>
      </w:r>
      <w:proofErr w:type="spellEnd"/>
      <w:r w:rsidRPr="00537A43">
        <w:rPr>
          <w:sz w:val="24"/>
          <w:szCs w:val="24"/>
          <w:lang w:val="en-CA"/>
        </w:rPr>
        <w:t xml:space="preserve"> v10 (</w:t>
      </w:r>
      <w:proofErr w:type="spellStart"/>
      <w:r w:rsidRPr="00537A43">
        <w:rPr>
          <w:sz w:val="24"/>
          <w:szCs w:val="24"/>
          <w:lang w:val="en-CA"/>
        </w:rPr>
        <w:t>RNASeQC</w:t>
      </w:r>
      <w:proofErr w:type="spellEnd"/>
      <w:r w:rsidRPr="00537A43">
        <w:rPr>
          <w:sz w:val="24"/>
          <w:szCs w:val="24"/>
          <w:lang w:val="en-CA"/>
        </w:rPr>
        <w:t xml:space="preserve"> v2.4.2, median TPM across donors) and scaled per gene using min-max normalization. Genes are grouped by genomic region (columns), and tissues are shown in rows. The bottom bar indicates the Loss-of-Function Observed/Expected Upper bound Fraction (LOEUF).</w:t>
      </w:r>
      <w:r w:rsidRPr="00537A43">
        <w:rPr>
          <w:lang w:val="en-CA"/>
        </w:rPr>
        <w:br w:type="page"/>
      </w:r>
    </w:p>
    <w:p w14:paraId="6A972755" w14:textId="77777777" w:rsidR="006F22A4" w:rsidRDefault="006F22A4" w:rsidP="006F22A4">
      <w:pPr>
        <w:rPr>
          <w:sz w:val="24"/>
          <w:szCs w:val="24"/>
        </w:rPr>
      </w:pPr>
      <w:r>
        <w:rPr>
          <w:noProof/>
          <w:sz w:val="24"/>
          <w:szCs w:val="24"/>
        </w:rPr>
        <w:lastRenderedPageBreak/>
        <w:drawing>
          <wp:inline distT="114300" distB="114300" distL="114300" distR="114300" wp14:anchorId="21E1D054" wp14:editId="6F01E694">
            <wp:extent cx="5731200" cy="4343400"/>
            <wp:effectExtent l="0" t="0" r="0" b="0"/>
            <wp:docPr id="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6"/>
                    <a:srcRect/>
                    <a:stretch>
                      <a:fillRect/>
                    </a:stretch>
                  </pic:blipFill>
                  <pic:spPr>
                    <a:xfrm>
                      <a:off x="0" y="0"/>
                      <a:ext cx="5731200" cy="4343400"/>
                    </a:xfrm>
                    <a:prstGeom prst="rect">
                      <a:avLst/>
                    </a:prstGeom>
                    <a:ln/>
                  </pic:spPr>
                </pic:pic>
              </a:graphicData>
            </a:graphic>
          </wp:inline>
        </w:drawing>
      </w:r>
    </w:p>
    <w:p w14:paraId="43CCE5D5" w14:textId="77777777" w:rsidR="006F22A4" w:rsidRPr="00537A43" w:rsidRDefault="006F22A4" w:rsidP="006F22A4">
      <w:pPr>
        <w:rPr>
          <w:b/>
          <w:bCs/>
          <w:sz w:val="24"/>
          <w:szCs w:val="24"/>
          <w:lang w:val="en-CA"/>
        </w:rPr>
      </w:pPr>
      <w:r w:rsidRPr="00537A43">
        <w:rPr>
          <w:b/>
          <w:bCs/>
          <w:sz w:val="24"/>
          <w:szCs w:val="24"/>
          <w:lang w:val="en-CA"/>
        </w:rPr>
        <w:t>Figure S9. Quality control filtering of CNVs with heterogeneous frequencies</w:t>
      </w:r>
    </w:p>
    <w:p w14:paraId="269A032F" w14:textId="77777777" w:rsidR="006F22A4" w:rsidRPr="00537A43" w:rsidRDefault="006F22A4" w:rsidP="006F22A4">
      <w:pPr>
        <w:rPr>
          <w:sz w:val="24"/>
          <w:szCs w:val="24"/>
          <w:lang w:val="en-CA"/>
        </w:rPr>
      </w:pPr>
      <w:r w:rsidRPr="00537A43">
        <w:rPr>
          <w:b/>
          <w:bCs/>
          <w:sz w:val="24"/>
          <w:szCs w:val="24"/>
          <w:lang w:val="en-CA"/>
        </w:rPr>
        <w:t xml:space="preserve">(A) </w:t>
      </w:r>
      <w:r w:rsidRPr="00537A43">
        <w:rPr>
          <w:sz w:val="24"/>
          <w:szCs w:val="24"/>
          <w:lang w:val="en-CA"/>
        </w:rPr>
        <w:t xml:space="preserve">Number of CNVs for deletions (DEL) and duplications (DUP) before and after applying our filtering process, which excludes CNVs with heterogeneous frequencies across technologies, cohorts, and batches. </w:t>
      </w:r>
      <w:r w:rsidRPr="00537A43">
        <w:rPr>
          <w:b/>
          <w:bCs/>
          <w:sz w:val="24"/>
          <w:szCs w:val="24"/>
          <w:lang w:val="en-CA"/>
        </w:rPr>
        <w:t xml:space="preserve">(B) </w:t>
      </w:r>
      <w:r w:rsidRPr="00537A43">
        <w:rPr>
          <w:sz w:val="24"/>
          <w:szCs w:val="24"/>
          <w:lang w:val="en-CA"/>
        </w:rPr>
        <w:t xml:space="preserve">Composition of the dataset before and after filtering. Non-genic CNVs (orange) do not encompass any gene. Complete genes (purple) are CNVs fully encompassing at least one gene. Overlapping genes (green) are CNVs partially overlapping (disrupting) one or more genes. </w:t>
      </w:r>
      <w:r w:rsidRPr="00537A43">
        <w:rPr>
          <w:b/>
          <w:bCs/>
          <w:sz w:val="24"/>
          <w:szCs w:val="24"/>
          <w:lang w:val="en-CA"/>
        </w:rPr>
        <w:t>(C)</w:t>
      </w:r>
      <w:r w:rsidRPr="00537A43">
        <w:rPr>
          <w:sz w:val="24"/>
          <w:szCs w:val="24"/>
          <w:lang w:val="en-CA"/>
        </w:rPr>
        <w:t xml:space="preserve"> Fraction of CNVs removed from the dataset for each category (</w:t>
      </w:r>
      <w:proofErr w:type="gramStart"/>
      <w:r w:rsidRPr="00537A43">
        <w:rPr>
          <w:sz w:val="24"/>
          <w:szCs w:val="24"/>
          <w:lang w:val="en-CA"/>
        </w:rPr>
        <w:t>Non-genic</w:t>
      </w:r>
      <w:proofErr w:type="gramEnd"/>
      <w:r w:rsidRPr="00537A43">
        <w:rPr>
          <w:sz w:val="24"/>
          <w:szCs w:val="24"/>
          <w:lang w:val="en-CA"/>
        </w:rPr>
        <w:t xml:space="preserve"> CNVs, Complete genes, and Overlapping genes), separately for deletions (DEL) and duplications (DUP). </w:t>
      </w:r>
      <w:r w:rsidRPr="00537A43">
        <w:rPr>
          <w:b/>
          <w:bCs/>
          <w:sz w:val="24"/>
          <w:szCs w:val="24"/>
          <w:lang w:val="en-CA"/>
        </w:rPr>
        <w:t>(D)</w:t>
      </w:r>
      <w:r w:rsidRPr="00537A43">
        <w:rPr>
          <w:sz w:val="24"/>
          <w:szCs w:val="24"/>
          <w:lang w:val="en-CA"/>
        </w:rPr>
        <w:t xml:space="preserve"> Same as (C), but computed on unique CNVs only, representing the genetic diversity removed from the dataset. </w:t>
      </w:r>
      <w:r w:rsidRPr="00537A43">
        <w:rPr>
          <w:b/>
          <w:bCs/>
          <w:sz w:val="24"/>
          <w:szCs w:val="24"/>
          <w:lang w:val="en-CA"/>
        </w:rPr>
        <w:t>(E-H)</w:t>
      </w:r>
      <w:r w:rsidRPr="00537A43">
        <w:rPr>
          <w:sz w:val="24"/>
          <w:szCs w:val="24"/>
          <w:lang w:val="en-CA"/>
        </w:rPr>
        <w:t xml:space="preserve"> Fraction of CNVs removed across bins of </w:t>
      </w:r>
      <w:r w:rsidRPr="00537A43">
        <w:rPr>
          <w:b/>
          <w:bCs/>
          <w:sz w:val="24"/>
          <w:szCs w:val="24"/>
          <w:lang w:val="en-CA"/>
        </w:rPr>
        <w:t>(E)</w:t>
      </w:r>
      <w:r w:rsidRPr="00537A43">
        <w:rPr>
          <w:sz w:val="24"/>
          <w:szCs w:val="24"/>
          <w:lang w:val="en-CA"/>
        </w:rPr>
        <w:t xml:space="preserve"> median number of probes across technologies, </w:t>
      </w:r>
      <w:r w:rsidRPr="00537A43">
        <w:rPr>
          <w:b/>
          <w:bCs/>
          <w:sz w:val="24"/>
          <w:szCs w:val="24"/>
          <w:lang w:val="en-CA"/>
        </w:rPr>
        <w:t>(F)</w:t>
      </w:r>
      <w:r w:rsidRPr="00537A43">
        <w:rPr>
          <w:sz w:val="24"/>
          <w:szCs w:val="24"/>
          <w:lang w:val="en-CA"/>
        </w:rPr>
        <w:t xml:space="preserve"> likelihood score of the CNV call, </w:t>
      </w:r>
      <w:r w:rsidRPr="00537A43">
        <w:rPr>
          <w:b/>
          <w:bCs/>
          <w:sz w:val="24"/>
          <w:szCs w:val="24"/>
          <w:lang w:val="en-CA"/>
        </w:rPr>
        <w:t>(G)</w:t>
      </w:r>
      <w:r w:rsidRPr="00537A43">
        <w:rPr>
          <w:sz w:val="24"/>
          <w:szCs w:val="24"/>
          <w:lang w:val="en-CA"/>
        </w:rPr>
        <w:t xml:space="preserve"> CNV size, and </w:t>
      </w:r>
      <w:r w:rsidRPr="00537A43">
        <w:rPr>
          <w:b/>
          <w:bCs/>
          <w:sz w:val="24"/>
          <w:szCs w:val="24"/>
          <w:lang w:val="en-CA"/>
        </w:rPr>
        <w:t>(H)</w:t>
      </w:r>
      <w:r w:rsidRPr="00537A43">
        <w:rPr>
          <w:sz w:val="24"/>
          <w:szCs w:val="24"/>
          <w:lang w:val="en-CA"/>
        </w:rPr>
        <w:t xml:space="preserve"> CNV frequency in the general population, separately for deletions (red) and duplications (blue). CNVs were divided into 20 equally sized bins based on quantiles of each variable.</w:t>
      </w:r>
      <w:r w:rsidRPr="00537A43">
        <w:rPr>
          <w:lang w:val="en-CA"/>
        </w:rPr>
        <w:br w:type="page"/>
      </w:r>
    </w:p>
    <w:p w14:paraId="7D78DDA4" w14:textId="77777777" w:rsidR="006F22A4" w:rsidRDefault="006F22A4" w:rsidP="006F22A4">
      <w:pPr>
        <w:rPr>
          <w:sz w:val="24"/>
          <w:szCs w:val="24"/>
        </w:rPr>
      </w:pPr>
      <w:r>
        <w:rPr>
          <w:noProof/>
          <w:sz w:val="24"/>
          <w:szCs w:val="24"/>
        </w:rPr>
        <w:lastRenderedPageBreak/>
        <w:drawing>
          <wp:inline distT="114300" distB="114300" distL="114300" distR="114300" wp14:anchorId="36F7A138" wp14:editId="54F0B8EF">
            <wp:extent cx="5731200" cy="58547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5731200" cy="5854700"/>
                    </a:xfrm>
                    <a:prstGeom prst="rect">
                      <a:avLst/>
                    </a:prstGeom>
                    <a:ln/>
                  </pic:spPr>
                </pic:pic>
              </a:graphicData>
            </a:graphic>
          </wp:inline>
        </w:drawing>
      </w:r>
    </w:p>
    <w:p w14:paraId="20DBC5EE" w14:textId="77777777" w:rsidR="006F22A4" w:rsidRPr="00EF2E4D" w:rsidRDefault="006F22A4" w:rsidP="006F22A4">
      <w:pPr>
        <w:rPr>
          <w:b/>
          <w:bCs/>
          <w:sz w:val="24"/>
          <w:szCs w:val="24"/>
          <w:lang w:val="en-CA"/>
        </w:rPr>
      </w:pPr>
      <w:r w:rsidRPr="00EF2E4D">
        <w:rPr>
          <w:b/>
          <w:bCs/>
          <w:sz w:val="24"/>
          <w:szCs w:val="24"/>
          <w:lang w:val="en-CA"/>
        </w:rPr>
        <w:t>Figure S10. Power analysis for the minimum carrier threshold used in the recurrent CNV and CNV-GWAS analyses.</w:t>
      </w:r>
    </w:p>
    <w:p w14:paraId="2A44FDC6" w14:textId="77777777" w:rsidR="006F22A4" w:rsidRPr="00EF2E4D" w:rsidRDefault="006F22A4" w:rsidP="006F22A4">
      <w:pPr>
        <w:rPr>
          <w:sz w:val="24"/>
          <w:szCs w:val="24"/>
          <w:lang w:val="en-CA"/>
        </w:rPr>
      </w:pPr>
      <w:r w:rsidRPr="00EF2E4D">
        <w:rPr>
          <w:sz w:val="24"/>
          <w:szCs w:val="24"/>
          <w:lang w:val="en-CA"/>
        </w:rPr>
        <w:t xml:space="preserve">Power calculations were performed using the unrelated control dataset with the </w:t>
      </w:r>
      <w:proofErr w:type="spellStart"/>
      <w:r w:rsidRPr="00EF2E4D">
        <w:rPr>
          <w:sz w:val="24"/>
          <w:szCs w:val="24"/>
          <w:lang w:val="en-CA"/>
        </w:rPr>
        <w:t>genpwr</w:t>
      </w:r>
      <w:proofErr w:type="spellEnd"/>
      <w:r w:rsidRPr="00EF2E4D">
        <w:rPr>
          <w:sz w:val="24"/>
          <w:szCs w:val="24"/>
          <w:lang w:val="en-CA"/>
        </w:rPr>
        <w:t xml:space="preserve"> R package, with a logistic regression model and dominant true and test models, across a range of carrier counts (10–200) and odds ratios. </w:t>
      </w:r>
      <w:r w:rsidRPr="00EF2E4D">
        <w:rPr>
          <w:b/>
          <w:bCs/>
          <w:sz w:val="24"/>
          <w:szCs w:val="24"/>
          <w:lang w:val="en-CA"/>
        </w:rPr>
        <w:t>(A–B)</w:t>
      </w:r>
      <w:r w:rsidRPr="00EF2E4D">
        <w:rPr>
          <w:sz w:val="24"/>
          <w:szCs w:val="24"/>
          <w:lang w:val="en-CA"/>
        </w:rPr>
        <w:t xml:space="preserve"> Power calculations for the Recurrent CNV analysis, using the Bonferroni threshold (p &lt; 8.9e-04). </w:t>
      </w:r>
      <w:r w:rsidRPr="00EF2E4D">
        <w:rPr>
          <w:b/>
          <w:bCs/>
          <w:sz w:val="24"/>
          <w:szCs w:val="24"/>
          <w:lang w:val="en-CA"/>
        </w:rPr>
        <w:t>(A)</w:t>
      </w:r>
      <w:r w:rsidRPr="00EF2E4D">
        <w:rPr>
          <w:sz w:val="24"/>
          <w:szCs w:val="24"/>
          <w:lang w:val="en-CA"/>
        </w:rPr>
        <w:t xml:space="preserve"> Statistical power to detect associations as a function of the number of carriers, shown for odds ratios of 2, 3, 4, and 5. </w:t>
      </w:r>
      <w:r w:rsidRPr="00EF2E4D">
        <w:rPr>
          <w:b/>
          <w:bCs/>
          <w:sz w:val="24"/>
          <w:szCs w:val="24"/>
          <w:lang w:val="en-CA"/>
        </w:rPr>
        <w:t>(B)</w:t>
      </w:r>
      <w:r w:rsidRPr="00EF2E4D">
        <w:rPr>
          <w:sz w:val="24"/>
          <w:szCs w:val="24"/>
          <w:lang w:val="en-CA"/>
        </w:rPr>
        <w:t xml:space="preserve"> Minimum odds ratio that can be detected with 80% power as a function of the number of carriers. </w:t>
      </w:r>
      <w:r w:rsidRPr="00EF2E4D">
        <w:rPr>
          <w:b/>
          <w:bCs/>
          <w:sz w:val="24"/>
          <w:szCs w:val="24"/>
          <w:lang w:val="en-CA"/>
        </w:rPr>
        <w:t>(C–D)</w:t>
      </w:r>
      <w:r w:rsidRPr="00EF2E4D">
        <w:rPr>
          <w:rFonts w:eastAsia="Gungsuh"/>
          <w:sz w:val="24"/>
          <w:szCs w:val="24"/>
          <w:lang w:val="en-CA"/>
        </w:rPr>
        <w:t xml:space="preserve"> Same analyses for the CNV-GWAS, using the FDR-corrected significance threshold (p = 1.3e-02). At the minimum threshold of 15 carriers used in this </w:t>
      </w:r>
      <w:r w:rsidRPr="00EF2E4D">
        <w:rPr>
          <w:rFonts w:eastAsia="Gungsuh"/>
          <w:sz w:val="24"/>
          <w:szCs w:val="24"/>
          <w:lang w:val="en-CA"/>
        </w:rPr>
        <w:lastRenderedPageBreak/>
        <w:t xml:space="preserve">study, both analyses were well-powered (&gt;80%) to detect large-effect </w:t>
      </w:r>
      <w:proofErr w:type="gramStart"/>
      <w:r w:rsidRPr="00EF2E4D">
        <w:rPr>
          <w:rFonts w:eastAsia="Gungsuh"/>
          <w:sz w:val="24"/>
          <w:szCs w:val="24"/>
          <w:lang w:val="en-CA"/>
        </w:rPr>
        <w:t>CNVs  (</w:t>
      </w:r>
      <w:proofErr w:type="gramEnd"/>
      <w:r w:rsidRPr="00EF2E4D">
        <w:rPr>
          <w:rFonts w:eastAsia="Gungsuh"/>
          <w:sz w:val="24"/>
          <w:szCs w:val="24"/>
          <w:lang w:val="en-CA"/>
        </w:rPr>
        <w:t>OR ≥ 7.0 for recurrent CNVs; OR ≥ 5.2 for the CNV-GWAS).</w:t>
      </w:r>
    </w:p>
    <w:p w14:paraId="33C86541" w14:textId="77777777" w:rsidR="006F22A4" w:rsidRPr="00EF2E4D" w:rsidRDefault="006F22A4" w:rsidP="006F22A4">
      <w:pPr>
        <w:shd w:val="clear" w:color="auto" w:fill="FFFFFF"/>
        <w:spacing w:line="360" w:lineRule="auto"/>
        <w:rPr>
          <w:sz w:val="24"/>
          <w:szCs w:val="24"/>
          <w:lang w:val="en-CA"/>
        </w:rPr>
      </w:pPr>
    </w:p>
    <w:p w14:paraId="29E13DAA" w14:textId="77777777" w:rsidR="006F22A4" w:rsidRPr="00EF2E4D" w:rsidRDefault="006F22A4" w:rsidP="006F22A4">
      <w:pPr>
        <w:rPr>
          <w:sz w:val="24"/>
          <w:szCs w:val="24"/>
          <w:lang w:val="en-CA"/>
        </w:rPr>
      </w:pPr>
      <w:r w:rsidRPr="00EF2E4D">
        <w:rPr>
          <w:lang w:val="en-CA"/>
        </w:rPr>
        <w:br w:type="page"/>
      </w:r>
    </w:p>
    <w:p w14:paraId="41076E70" w14:textId="77777777" w:rsidR="006F22A4" w:rsidRPr="00EF2E4D" w:rsidRDefault="006F22A4" w:rsidP="006F22A4">
      <w:pPr>
        <w:rPr>
          <w:sz w:val="24"/>
          <w:szCs w:val="24"/>
          <w:lang w:val="en-CA"/>
        </w:rPr>
      </w:pPr>
    </w:p>
    <w:p w14:paraId="552483B2" w14:textId="77777777" w:rsidR="006F22A4" w:rsidRDefault="006F22A4" w:rsidP="006F22A4">
      <w:pPr>
        <w:rPr>
          <w:b/>
          <w:bCs/>
          <w:sz w:val="24"/>
          <w:szCs w:val="24"/>
        </w:rPr>
      </w:pPr>
      <w:r>
        <w:rPr>
          <w:b/>
          <w:bCs/>
          <w:noProof/>
          <w:sz w:val="24"/>
          <w:szCs w:val="24"/>
        </w:rPr>
        <w:drawing>
          <wp:inline distT="114300" distB="114300" distL="114300" distR="114300" wp14:anchorId="31F38FA1" wp14:editId="67D9CF0E">
            <wp:extent cx="5731200" cy="2032000"/>
            <wp:effectExtent l="0" t="0" r="0" b="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5731200" cy="2032000"/>
                    </a:xfrm>
                    <a:prstGeom prst="rect">
                      <a:avLst/>
                    </a:prstGeom>
                    <a:ln/>
                  </pic:spPr>
                </pic:pic>
              </a:graphicData>
            </a:graphic>
          </wp:inline>
        </w:drawing>
      </w:r>
    </w:p>
    <w:p w14:paraId="74DD28AA" w14:textId="77777777" w:rsidR="006F22A4" w:rsidRPr="00EF2E4D" w:rsidRDefault="006F22A4" w:rsidP="006F22A4">
      <w:pPr>
        <w:rPr>
          <w:b/>
          <w:bCs/>
          <w:sz w:val="24"/>
          <w:szCs w:val="24"/>
          <w:lang w:val="en-CA"/>
        </w:rPr>
      </w:pPr>
      <w:r w:rsidRPr="00EF2E4D">
        <w:rPr>
          <w:b/>
          <w:bCs/>
          <w:sz w:val="24"/>
          <w:szCs w:val="24"/>
          <w:lang w:val="en-CA"/>
        </w:rPr>
        <w:t>Figure S11.</w:t>
      </w:r>
      <w:r w:rsidRPr="00EF2E4D">
        <w:rPr>
          <w:sz w:val="24"/>
          <w:szCs w:val="24"/>
          <w:lang w:val="en-CA"/>
        </w:rPr>
        <w:t xml:space="preserve"> </w:t>
      </w:r>
      <w:r w:rsidRPr="00EF2E4D">
        <w:rPr>
          <w:b/>
          <w:bCs/>
          <w:sz w:val="24"/>
          <w:szCs w:val="24"/>
          <w:lang w:val="en-CA"/>
        </w:rPr>
        <w:t>Selection of the r² threshold for gene cluster definition</w:t>
      </w:r>
    </w:p>
    <w:p w14:paraId="636DFC44" w14:textId="77777777" w:rsidR="006F22A4" w:rsidRPr="00EF2E4D" w:rsidRDefault="006F22A4" w:rsidP="006F22A4">
      <w:pPr>
        <w:rPr>
          <w:sz w:val="24"/>
          <w:szCs w:val="24"/>
          <w:lang w:val="en-CA"/>
        </w:rPr>
      </w:pPr>
      <w:r w:rsidRPr="00EF2E4D">
        <w:rPr>
          <w:sz w:val="24"/>
          <w:szCs w:val="24"/>
          <w:lang w:val="en-CA"/>
        </w:rPr>
        <w:t>Gene clusters were defined by grouping genes encompassed within CNVs shared by the same carriers, based on the squared Pearson correlation coefficient (r²) between carrier frequencies. To select an appropriate threshold, clusters obtained across a range of r² values (0.2–0.8) were evaluated based on the total number of clusters, the proportion of multi-gene clusters, and their ability to capture the gene sets of known recurrent CNVs. This clustering was performed on all genes encompassed within CNVs across the genome, independent of the minimum carrier count threshold applied in the CNV-GWAS. The number of clusters shown here is therefore not directly comparable to the number of clusters tested in the ASD CNV-GWAS.</w:t>
      </w:r>
    </w:p>
    <w:p w14:paraId="000EC571" w14:textId="0D7395F2" w:rsidR="00BB7279" w:rsidRPr="006F22A4" w:rsidRDefault="006F22A4" w:rsidP="006F22A4">
      <w:pPr>
        <w:rPr>
          <w:lang w:val="en-CA"/>
        </w:rPr>
      </w:pPr>
      <w:r w:rsidRPr="00EF2E4D">
        <w:rPr>
          <w:b/>
          <w:bCs/>
          <w:sz w:val="24"/>
          <w:szCs w:val="24"/>
          <w:lang w:val="en-CA"/>
        </w:rPr>
        <w:t>(A)</w:t>
      </w:r>
      <w:r w:rsidRPr="00EF2E4D">
        <w:rPr>
          <w:sz w:val="24"/>
          <w:szCs w:val="24"/>
          <w:lang w:val="en-CA"/>
        </w:rPr>
        <w:t xml:space="preserve"> Number of gene clusters identified genome-wide at each threshold. </w:t>
      </w:r>
      <w:r w:rsidRPr="00EF2E4D">
        <w:rPr>
          <w:b/>
          <w:bCs/>
          <w:sz w:val="24"/>
          <w:szCs w:val="24"/>
          <w:lang w:val="en-CA"/>
        </w:rPr>
        <w:t>(B)</w:t>
      </w:r>
      <w:r w:rsidRPr="00EF2E4D">
        <w:rPr>
          <w:sz w:val="24"/>
          <w:szCs w:val="24"/>
          <w:lang w:val="en-CA"/>
        </w:rPr>
        <w:t xml:space="preserve"> Percentage of clusters containing more than one gene at each threshold. </w:t>
      </w:r>
      <w:r w:rsidRPr="00EF2E4D">
        <w:rPr>
          <w:b/>
          <w:bCs/>
          <w:sz w:val="24"/>
          <w:szCs w:val="24"/>
          <w:lang w:val="en-CA"/>
        </w:rPr>
        <w:t>(C)</w:t>
      </w:r>
      <w:r w:rsidRPr="00EF2E4D">
        <w:rPr>
          <w:sz w:val="24"/>
          <w:szCs w:val="24"/>
          <w:lang w:val="en-CA"/>
        </w:rPr>
        <w:t xml:space="preserve"> Sensitivity and specificity of clusters in capturing recurrent CNV gene sets at each threshold. For each recurrent CNV, sensitivity and specificity were computed using the largest overlapping cluster, then averaged across all recurrent CNVs. An r² threshold of 0.5 was selected within the range yielding comparable sensitivity and specificity, balanced against the total number and multi-gene composition of clusters.</w:t>
      </w:r>
    </w:p>
    <w:sectPr w:rsidR="00BB7279" w:rsidRPr="006F22A4">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ungsuh">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2A4"/>
    <w:rsid w:val="002B0622"/>
    <w:rsid w:val="006F22A4"/>
    <w:rsid w:val="00BB7279"/>
    <w:rsid w:val="00D310C9"/>
    <w:rsid w:val="00F5411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4:docId w14:val="4EFFC019"/>
  <w15:chartTrackingRefBased/>
  <w15:docId w15:val="{DF8A0C62-0C49-9E44-8CDA-D550E0ADD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22A4"/>
    <w:pPr>
      <w:spacing w:line="276" w:lineRule="auto"/>
      <w:jc w:val="both"/>
    </w:pPr>
    <w:rPr>
      <w:rFonts w:ascii="Times New Roman" w:eastAsia="Times New Roman" w:hAnsi="Times New Roman" w:cs="Times New Roman"/>
      <w:kern w:val="0"/>
      <w:sz w:val="22"/>
      <w:szCs w:val="22"/>
      <w:lang w:val="fr" w:eastAsia="fr-CA"/>
      <w14:ligatures w14:val="none"/>
    </w:rPr>
  </w:style>
  <w:style w:type="paragraph" w:styleId="Titre1">
    <w:name w:val="heading 1"/>
    <w:basedOn w:val="Normal"/>
    <w:next w:val="Normal"/>
    <w:link w:val="Titre1Car"/>
    <w:uiPriority w:val="9"/>
    <w:qFormat/>
    <w:rsid w:val="006F22A4"/>
    <w:pPr>
      <w:keepNext/>
      <w:keepLines/>
      <w:spacing w:before="360" w:after="80" w:line="240" w:lineRule="auto"/>
      <w:jc w:val="left"/>
      <w:outlineLvl w:val="0"/>
    </w:pPr>
    <w:rPr>
      <w:rFonts w:asciiTheme="majorHAnsi" w:eastAsiaTheme="majorEastAsia" w:hAnsiTheme="majorHAnsi" w:cstheme="majorBidi"/>
      <w:color w:val="0F4761" w:themeColor="accent1" w:themeShade="BF"/>
      <w:kern w:val="2"/>
      <w:sz w:val="40"/>
      <w:szCs w:val="40"/>
      <w:lang w:val="fr-CA" w:eastAsia="en-US"/>
      <w14:ligatures w14:val="standardContextual"/>
    </w:rPr>
  </w:style>
  <w:style w:type="paragraph" w:styleId="Titre2">
    <w:name w:val="heading 2"/>
    <w:basedOn w:val="Normal"/>
    <w:next w:val="Normal"/>
    <w:link w:val="Titre2Car"/>
    <w:uiPriority w:val="9"/>
    <w:semiHidden/>
    <w:unhideWhenUsed/>
    <w:qFormat/>
    <w:rsid w:val="006F22A4"/>
    <w:pPr>
      <w:keepNext/>
      <w:keepLines/>
      <w:spacing w:before="160" w:after="80" w:line="240" w:lineRule="auto"/>
      <w:jc w:val="left"/>
      <w:outlineLvl w:val="1"/>
    </w:pPr>
    <w:rPr>
      <w:rFonts w:asciiTheme="majorHAnsi" w:eastAsiaTheme="majorEastAsia" w:hAnsiTheme="majorHAnsi" w:cstheme="majorBidi"/>
      <w:color w:val="0F4761" w:themeColor="accent1" w:themeShade="BF"/>
      <w:kern w:val="2"/>
      <w:sz w:val="32"/>
      <w:szCs w:val="32"/>
      <w:lang w:val="fr-CA" w:eastAsia="en-US"/>
      <w14:ligatures w14:val="standardContextual"/>
    </w:rPr>
  </w:style>
  <w:style w:type="paragraph" w:styleId="Titre3">
    <w:name w:val="heading 3"/>
    <w:basedOn w:val="Normal"/>
    <w:next w:val="Normal"/>
    <w:link w:val="Titre3Car"/>
    <w:uiPriority w:val="9"/>
    <w:semiHidden/>
    <w:unhideWhenUsed/>
    <w:qFormat/>
    <w:rsid w:val="006F22A4"/>
    <w:pPr>
      <w:keepNext/>
      <w:keepLines/>
      <w:spacing w:before="160" w:after="80" w:line="240" w:lineRule="auto"/>
      <w:jc w:val="left"/>
      <w:outlineLvl w:val="2"/>
    </w:pPr>
    <w:rPr>
      <w:rFonts w:asciiTheme="minorHAnsi" w:eastAsiaTheme="majorEastAsia" w:hAnsiTheme="minorHAnsi" w:cstheme="majorBidi"/>
      <w:color w:val="0F4761" w:themeColor="accent1" w:themeShade="BF"/>
      <w:kern w:val="2"/>
      <w:sz w:val="28"/>
      <w:szCs w:val="28"/>
      <w:lang w:val="fr-CA" w:eastAsia="en-US"/>
      <w14:ligatures w14:val="standardContextual"/>
    </w:rPr>
  </w:style>
  <w:style w:type="paragraph" w:styleId="Titre4">
    <w:name w:val="heading 4"/>
    <w:basedOn w:val="Normal"/>
    <w:next w:val="Normal"/>
    <w:link w:val="Titre4Car"/>
    <w:uiPriority w:val="9"/>
    <w:semiHidden/>
    <w:unhideWhenUsed/>
    <w:qFormat/>
    <w:rsid w:val="006F22A4"/>
    <w:pPr>
      <w:keepNext/>
      <w:keepLines/>
      <w:spacing w:before="80" w:after="40" w:line="240" w:lineRule="auto"/>
      <w:jc w:val="left"/>
      <w:outlineLvl w:val="3"/>
    </w:pPr>
    <w:rPr>
      <w:rFonts w:asciiTheme="minorHAnsi" w:eastAsiaTheme="majorEastAsia" w:hAnsiTheme="minorHAnsi" w:cstheme="majorBidi"/>
      <w:i/>
      <w:iCs/>
      <w:color w:val="0F4761" w:themeColor="accent1" w:themeShade="BF"/>
      <w:kern w:val="2"/>
      <w:sz w:val="24"/>
      <w:szCs w:val="24"/>
      <w:lang w:val="fr-CA" w:eastAsia="en-US"/>
      <w14:ligatures w14:val="standardContextual"/>
    </w:rPr>
  </w:style>
  <w:style w:type="paragraph" w:styleId="Titre5">
    <w:name w:val="heading 5"/>
    <w:basedOn w:val="Normal"/>
    <w:next w:val="Normal"/>
    <w:link w:val="Titre5Car"/>
    <w:uiPriority w:val="9"/>
    <w:semiHidden/>
    <w:unhideWhenUsed/>
    <w:qFormat/>
    <w:rsid w:val="006F22A4"/>
    <w:pPr>
      <w:keepNext/>
      <w:keepLines/>
      <w:spacing w:before="80" w:after="40" w:line="240" w:lineRule="auto"/>
      <w:jc w:val="left"/>
      <w:outlineLvl w:val="4"/>
    </w:pPr>
    <w:rPr>
      <w:rFonts w:asciiTheme="minorHAnsi" w:eastAsiaTheme="majorEastAsia" w:hAnsiTheme="minorHAnsi" w:cstheme="majorBidi"/>
      <w:color w:val="0F4761" w:themeColor="accent1" w:themeShade="BF"/>
      <w:kern w:val="2"/>
      <w:sz w:val="24"/>
      <w:szCs w:val="24"/>
      <w:lang w:val="fr-CA" w:eastAsia="en-US"/>
      <w14:ligatures w14:val="standardContextual"/>
    </w:rPr>
  </w:style>
  <w:style w:type="paragraph" w:styleId="Titre6">
    <w:name w:val="heading 6"/>
    <w:basedOn w:val="Normal"/>
    <w:next w:val="Normal"/>
    <w:link w:val="Titre6Car"/>
    <w:uiPriority w:val="9"/>
    <w:semiHidden/>
    <w:unhideWhenUsed/>
    <w:qFormat/>
    <w:rsid w:val="006F22A4"/>
    <w:pPr>
      <w:keepNext/>
      <w:keepLines/>
      <w:spacing w:before="40" w:line="240" w:lineRule="auto"/>
      <w:jc w:val="left"/>
      <w:outlineLvl w:val="5"/>
    </w:pPr>
    <w:rPr>
      <w:rFonts w:asciiTheme="minorHAnsi" w:eastAsiaTheme="majorEastAsia" w:hAnsiTheme="minorHAnsi" w:cstheme="majorBidi"/>
      <w:i/>
      <w:iCs/>
      <w:color w:val="595959" w:themeColor="text1" w:themeTint="A6"/>
      <w:kern w:val="2"/>
      <w:sz w:val="24"/>
      <w:szCs w:val="24"/>
      <w:lang w:val="fr-CA" w:eastAsia="en-US"/>
      <w14:ligatures w14:val="standardContextual"/>
    </w:rPr>
  </w:style>
  <w:style w:type="paragraph" w:styleId="Titre7">
    <w:name w:val="heading 7"/>
    <w:basedOn w:val="Normal"/>
    <w:next w:val="Normal"/>
    <w:link w:val="Titre7Car"/>
    <w:uiPriority w:val="9"/>
    <w:semiHidden/>
    <w:unhideWhenUsed/>
    <w:qFormat/>
    <w:rsid w:val="006F22A4"/>
    <w:pPr>
      <w:keepNext/>
      <w:keepLines/>
      <w:spacing w:before="40" w:line="240" w:lineRule="auto"/>
      <w:jc w:val="left"/>
      <w:outlineLvl w:val="6"/>
    </w:pPr>
    <w:rPr>
      <w:rFonts w:asciiTheme="minorHAnsi" w:eastAsiaTheme="majorEastAsia" w:hAnsiTheme="minorHAnsi" w:cstheme="majorBidi"/>
      <w:color w:val="595959" w:themeColor="text1" w:themeTint="A6"/>
      <w:kern w:val="2"/>
      <w:sz w:val="24"/>
      <w:szCs w:val="24"/>
      <w:lang w:val="fr-CA" w:eastAsia="en-US"/>
      <w14:ligatures w14:val="standardContextual"/>
    </w:rPr>
  </w:style>
  <w:style w:type="paragraph" w:styleId="Titre8">
    <w:name w:val="heading 8"/>
    <w:basedOn w:val="Normal"/>
    <w:next w:val="Normal"/>
    <w:link w:val="Titre8Car"/>
    <w:uiPriority w:val="9"/>
    <w:semiHidden/>
    <w:unhideWhenUsed/>
    <w:qFormat/>
    <w:rsid w:val="006F22A4"/>
    <w:pPr>
      <w:keepNext/>
      <w:keepLines/>
      <w:spacing w:line="240" w:lineRule="auto"/>
      <w:jc w:val="left"/>
      <w:outlineLvl w:val="7"/>
    </w:pPr>
    <w:rPr>
      <w:rFonts w:asciiTheme="minorHAnsi" w:eastAsiaTheme="majorEastAsia" w:hAnsiTheme="minorHAnsi" w:cstheme="majorBidi"/>
      <w:i/>
      <w:iCs/>
      <w:color w:val="272727" w:themeColor="text1" w:themeTint="D8"/>
      <w:kern w:val="2"/>
      <w:sz w:val="24"/>
      <w:szCs w:val="24"/>
      <w:lang w:val="fr-CA" w:eastAsia="en-US"/>
      <w14:ligatures w14:val="standardContextual"/>
    </w:rPr>
  </w:style>
  <w:style w:type="paragraph" w:styleId="Titre9">
    <w:name w:val="heading 9"/>
    <w:basedOn w:val="Normal"/>
    <w:next w:val="Normal"/>
    <w:link w:val="Titre9Car"/>
    <w:uiPriority w:val="9"/>
    <w:semiHidden/>
    <w:unhideWhenUsed/>
    <w:qFormat/>
    <w:rsid w:val="006F22A4"/>
    <w:pPr>
      <w:keepNext/>
      <w:keepLines/>
      <w:spacing w:line="240" w:lineRule="auto"/>
      <w:jc w:val="left"/>
      <w:outlineLvl w:val="8"/>
    </w:pPr>
    <w:rPr>
      <w:rFonts w:asciiTheme="minorHAnsi" w:eastAsiaTheme="majorEastAsia" w:hAnsiTheme="minorHAnsi" w:cstheme="majorBidi"/>
      <w:color w:val="272727" w:themeColor="text1" w:themeTint="D8"/>
      <w:kern w:val="2"/>
      <w:sz w:val="24"/>
      <w:szCs w:val="24"/>
      <w:lang w:val="fr-CA"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F22A4"/>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F22A4"/>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F22A4"/>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F22A4"/>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F22A4"/>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F22A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F22A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F22A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F22A4"/>
    <w:rPr>
      <w:rFonts w:eastAsiaTheme="majorEastAsia" w:cstheme="majorBidi"/>
      <w:color w:val="272727" w:themeColor="text1" w:themeTint="D8"/>
    </w:rPr>
  </w:style>
  <w:style w:type="paragraph" w:styleId="Titre">
    <w:name w:val="Title"/>
    <w:basedOn w:val="Normal"/>
    <w:next w:val="Normal"/>
    <w:link w:val="TitreCar"/>
    <w:uiPriority w:val="10"/>
    <w:qFormat/>
    <w:rsid w:val="006F22A4"/>
    <w:pPr>
      <w:spacing w:after="80" w:line="240" w:lineRule="auto"/>
      <w:contextualSpacing/>
      <w:jc w:val="left"/>
    </w:pPr>
    <w:rPr>
      <w:rFonts w:asciiTheme="majorHAnsi" w:eastAsiaTheme="majorEastAsia" w:hAnsiTheme="majorHAnsi" w:cstheme="majorBidi"/>
      <w:spacing w:val="-10"/>
      <w:kern w:val="28"/>
      <w:sz w:val="56"/>
      <w:szCs w:val="56"/>
      <w:lang w:val="fr-CA" w:eastAsia="en-US"/>
      <w14:ligatures w14:val="standardContextual"/>
    </w:rPr>
  </w:style>
  <w:style w:type="character" w:customStyle="1" w:styleId="TitreCar">
    <w:name w:val="Titre Car"/>
    <w:basedOn w:val="Policepardfaut"/>
    <w:link w:val="Titre"/>
    <w:uiPriority w:val="10"/>
    <w:rsid w:val="006F22A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F22A4"/>
    <w:pPr>
      <w:numPr>
        <w:ilvl w:val="1"/>
      </w:numPr>
      <w:spacing w:after="160" w:line="240" w:lineRule="auto"/>
      <w:jc w:val="left"/>
    </w:pPr>
    <w:rPr>
      <w:rFonts w:asciiTheme="minorHAnsi" w:eastAsiaTheme="majorEastAsia" w:hAnsiTheme="minorHAnsi" w:cstheme="majorBidi"/>
      <w:color w:val="595959" w:themeColor="text1" w:themeTint="A6"/>
      <w:spacing w:val="15"/>
      <w:kern w:val="2"/>
      <w:sz w:val="28"/>
      <w:szCs w:val="28"/>
      <w:lang w:val="fr-CA" w:eastAsia="en-US"/>
      <w14:ligatures w14:val="standardContextual"/>
    </w:rPr>
  </w:style>
  <w:style w:type="character" w:customStyle="1" w:styleId="Sous-titreCar">
    <w:name w:val="Sous-titre Car"/>
    <w:basedOn w:val="Policepardfaut"/>
    <w:link w:val="Sous-titre"/>
    <w:uiPriority w:val="11"/>
    <w:rsid w:val="006F22A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F22A4"/>
    <w:pPr>
      <w:spacing w:before="160" w:after="160" w:line="240" w:lineRule="auto"/>
      <w:jc w:val="center"/>
    </w:pPr>
    <w:rPr>
      <w:rFonts w:asciiTheme="minorHAnsi" w:eastAsiaTheme="minorHAnsi" w:hAnsiTheme="minorHAnsi" w:cstheme="minorBidi"/>
      <w:i/>
      <w:iCs/>
      <w:color w:val="404040" w:themeColor="text1" w:themeTint="BF"/>
      <w:kern w:val="2"/>
      <w:sz w:val="24"/>
      <w:szCs w:val="24"/>
      <w:lang w:val="fr-CA" w:eastAsia="en-US"/>
      <w14:ligatures w14:val="standardContextual"/>
    </w:rPr>
  </w:style>
  <w:style w:type="character" w:customStyle="1" w:styleId="CitationCar">
    <w:name w:val="Citation Car"/>
    <w:basedOn w:val="Policepardfaut"/>
    <w:link w:val="Citation"/>
    <w:uiPriority w:val="29"/>
    <w:rsid w:val="006F22A4"/>
    <w:rPr>
      <w:i/>
      <w:iCs/>
      <w:color w:val="404040" w:themeColor="text1" w:themeTint="BF"/>
    </w:rPr>
  </w:style>
  <w:style w:type="paragraph" w:styleId="Paragraphedeliste">
    <w:name w:val="List Paragraph"/>
    <w:basedOn w:val="Normal"/>
    <w:uiPriority w:val="34"/>
    <w:qFormat/>
    <w:rsid w:val="006F22A4"/>
    <w:pPr>
      <w:spacing w:line="240" w:lineRule="auto"/>
      <w:ind w:left="720"/>
      <w:contextualSpacing/>
      <w:jc w:val="left"/>
    </w:pPr>
    <w:rPr>
      <w:rFonts w:asciiTheme="minorHAnsi" w:eastAsiaTheme="minorHAnsi" w:hAnsiTheme="minorHAnsi" w:cstheme="minorBidi"/>
      <w:kern w:val="2"/>
      <w:sz w:val="24"/>
      <w:szCs w:val="24"/>
      <w:lang w:val="fr-CA" w:eastAsia="en-US"/>
      <w14:ligatures w14:val="standardContextual"/>
    </w:rPr>
  </w:style>
  <w:style w:type="character" w:styleId="Accentuationintense">
    <w:name w:val="Intense Emphasis"/>
    <w:basedOn w:val="Policepardfaut"/>
    <w:uiPriority w:val="21"/>
    <w:qFormat/>
    <w:rsid w:val="006F22A4"/>
    <w:rPr>
      <w:i/>
      <w:iCs/>
      <w:color w:val="0F4761" w:themeColor="accent1" w:themeShade="BF"/>
    </w:rPr>
  </w:style>
  <w:style w:type="paragraph" w:styleId="Citationintense">
    <w:name w:val="Intense Quote"/>
    <w:basedOn w:val="Normal"/>
    <w:next w:val="Normal"/>
    <w:link w:val="CitationintenseCar"/>
    <w:uiPriority w:val="30"/>
    <w:qFormat/>
    <w:rsid w:val="006F22A4"/>
    <w:pPr>
      <w:pBdr>
        <w:top w:val="single" w:sz="4" w:space="10" w:color="0F4761" w:themeColor="accent1" w:themeShade="BF"/>
        <w:bottom w:val="single" w:sz="4" w:space="10" w:color="0F4761" w:themeColor="accent1" w:themeShade="BF"/>
      </w:pBdr>
      <w:spacing w:before="360" w:after="360" w:line="240" w:lineRule="auto"/>
      <w:ind w:left="864" w:right="864"/>
      <w:jc w:val="center"/>
    </w:pPr>
    <w:rPr>
      <w:rFonts w:asciiTheme="minorHAnsi" w:eastAsiaTheme="minorHAnsi" w:hAnsiTheme="minorHAnsi" w:cstheme="minorBidi"/>
      <w:i/>
      <w:iCs/>
      <w:color w:val="0F4761" w:themeColor="accent1" w:themeShade="BF"/>
      <w:kern w:val="2"/>
      <w:sz w:val="24"/>
      <w:szCs w:val="24"/>
      <w:lang w:val="fr-CA" w:eastAsia="en-US"/>
      <w14:ligatures w14:val="standardContextual"/>
    </w:rPr>
  </w:style>
  <w:style w:type="character" w:customStyle="1" w:styleId="CitationintenseCar">
    <w:name w:val="Citation intense Car"/>
    <w:basedOn w:val="Policepardfaut"/>
    <w:link w:val="Citationintense"/>
    <w:uiPriority w:val="30"/>
    <w:rsid w:val="006F22A4"/>
    <w:rPr>
      <w:i/>
      <w:iCs/>
      <w:color w:val="0F4761" w:themeColor="accent1" w:themeShade="BF"/>
    </w:rPr>
  </w:style>
  <w:style w:type="character" w:styleId="Rfrenceintense">
    <w:name w:val="Intense Reference"/>
    <w:basedOn w:val="Policepardfaut"/>
    <w:uiPriority w:val="32"/>
    <w:qFormat/>
    <w:rsid w:val="006F22A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19"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20</Pages>
  <Words>1358</Words>
  <Characters>7472</Characters>
  <Application>Microsoft Office Word</Application>
  <DocSecurity>0</DocSecurity>
  <Lines>62</Lines>
  <Paragraphs>17</Paragraphs>
  <ScaleCrop>false</ScaleCrop>
  <Company/>
  <LinksUpToDate>false</LinksUpToDate>
  <CharactersWithSpaces>8813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Cécile Poulain</dc:creator>
  <cp:keywords/>
  <dc:description/>
  <cp:lastModifiedBy>Cécile Poulain</cp:lastModifiedBy>
  <cp:revision>2</cp:revision>
  <dcterms:created xsi:type="dcterms:W3CDTF">2026-08-14T18:55:00Z</dcterms:created>
  <dcterms:modified xsi:type="dcterms:W3CDTF">2026-08-14T19:04:00Z</dcterms:modified>
</cp:coreProperties>
</file>