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11C" w:rsidRPr="00647F5E" w:rsidRDefault="00E5511C" w:rsidP="00E5511C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47F5E">
        <w:rPr>
          <w:rFonts w:ascii="Times New Roman" w:eastAsia="Times New Roman" w:hAnsi="Times New Roman"/>
          <w:b/>
          <w:bCs/>
          <w:sz w:val="24"/>
          <w:szCs w:val="24"/>
        </w:rPr>
        <w:t>Annex</w:t>
      </w:r>
      <w:bookmarkStart w:id="0" w:name="_GoBack"/>
      <w:bookmarkEnd w:id="0"/>
    </w:p>
    <w:p w:rsidR="00E5511C" w:rsidRDefault="00E5511C" w:rsidP="00E5511C">
      <w:pPr>
        <w:jc w:val="both"/>
      </w:pPr>
      <w:r>
        <w:rPr>
          <w:rFonts w:ascii="Times New Roman" w:eastAsia="Times New Roman" w:hAnsi="Times New Roman"/>
        </w:rPr>
        <w:t>The following tables provide additional diagnostics used to assess the stability of the PCA-weighted index and its downstream models. They are included to make the weighting, outcome and clustered-inference checks auditable without overloading the main Results section.</w:t>
      </w:r>
    </w:p>
    <w:p w:rsidR="00E5511C" w:rsidRPr="00647F5E" w:rsidRDefault="00E5511C" w:rsidP="00E5511C">
      <w:pPr>
        <w:keepNext/>
        <w:spacing w:before="100" w:after="60"/>
        <w:rPr>
          <w:bCs/>
        </w:rPr>
      </w:pPr>
      <w:r w:rsidRPr="00647F5E">
        <w:rPr>
          <w:rFonts w:ascii="Times New Roman" w:eastAsia="Times New Roman" w:hAnsi="Times New Roman"/>
          <w:b/>
          <w:szCs w:val="24"/>
        </w:rPr>
        <w:t xml:space="preserve">Table A1. </w:t>
      </w:r>
      <w:r w:rsidRPr="00647F5E">
        <w:rPr>
          <w:rFonts w:ascii="Times New Roman" w:eastAsia="Times New Roman" w:hAnsi="Times New Roman"/>
          <w:bCs/>
          <w:szCs w:val="24"/>
        </w:rPr>
        <w:t>Most influential leave-one-indicator-out sensitivity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2"/>
        <w:gridCol w:w="4042"/>
        <w:gridCol w:w="1595"/>
        <w:gridCol w:w="1417"/>
      </w:tblGrid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Dimension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Indicator removed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Spearman with primary GSHVI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1−Spearman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Material capacity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Household savings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0.9064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0.0936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Material capacity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Income-source diversification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0.9575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0.0425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Material capacity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Post-disaster self-sufficiency duration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0.9816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0.0184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Sensitivity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Drinking-water source damaged/flooded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0.9949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0.0051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Gendered vulnerability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Women's income disproportionately affected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0.9949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0.0051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Material capacity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Debt-free disaster recovery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0.9960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0.0040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Gendered vulnerability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Sanitation: fear of harassment/safety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0.9961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0.0039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Gendered vulnerability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Sanitation: facility flooded/unusable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0.9961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0.0039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Gendered vulnerability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Sanitation: lack of privacy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0.9962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0.0038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Sensitivity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Shelter access path unusable during disaster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0.9964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0.0036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Gendered vulnerability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Sanitation: lack of water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0.9968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0.0032</w:t>
            </w:r>
          </w:p>
        </w:tc>
      </w:tr>
      <w:tr w:rsidR="00E5511C" w:rsidRPr="00E5511C" w:rsidTr="00E5511C">
        <w:tc>
          <w:tcPr>
            <w:tcW w:w="216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Gendered vulnerability</w:t>
            </w:r>
          </w:p>
        </w:tc>
        <w:tc>
          <w:tcPr>
            <w:tcW w:w="475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Evacuation: lack of information</w:t>
            </w:r>
          </w:p>
        </w:tc>
        <w:tc>
          <w:tcPr>
            <w:tcW w:w="1728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0.9968</w:t>
            </w:r>
          </w:p>
        </w:tc>
        <w:tc>
          <w:tcPr>
            <w:tcW w:w="12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0.0032</w:t>
            </w:r>
          </w:p>
        </w:tc>
      </w:tr>
    </w:tbl>
    <w:p w:rsidR="00E5511C" w:rsidRDefault="00E5511C" w:rsidP="00E5511C">
      <w:pPr>
        <w:keepNext/>
        <w:spacing w:before="100" w:after="60"/>
        <w:rPr>
          <w:rFonts w:ascii="Times New Roman" w:eastAsia="Times New Roman" w:hAnsi="Times New Roman"/>
          <w:b/>
          <w:sz w:val="20"/>
        </w:rPr>
      </w:pPr>
    </w:p>
    <w:p w:rsidR="00E5511C" w:rsidRPr="00E5511C" w:rsidRDefault="00E5511C" w:rsidP="00E5511C">
      <w:pPr>
        <w:keepNext/>
        <w:spacing w:before="100" w:after="60"/>
        <w:rPr>
          <w:sz w:val="24"/>
          <w:szCs w:val="24"/>
        </w:rPr>
      </w:pPr>
      <w:r w:rsidRPr="00E5511C">
        <w:rPr>
          <w:rFonts w:ascii="Times New Roman" w:eastAsia="Times New Roman" w:hAnsi="Times New Roman"/>
          <w:b/>
          <w:szCs w:val="24"/>
        </w:rPr>
        <w:t xml:space="preserve">Table A2. </w:t>
      </w:r>
      <w:r w:rsidRPr="00E5511C">
        <w:rPr>
          <w:rFonts w:ascii="Times New Roman" w:eastAsia="Times New Roman" w:hAnsi="Times New Roman"/>
          <w:bCs/>
          <w:szCs w:val="24"/>
        </w:rPr>
        <w:t>Indicators with the greatest bootstrap weight variability (300 resamples)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3"/>
        <w:gridCol w:w="2796"/>
        <w:gridCol w:w="1055"/>
        <w:gridCol w:w="1170"/>
        <w:gridCol w:w="1147"/>
        <w:gridCol w:w="1335"/>
      </w:tblGrid>
      <w:tr w:rsidR="00E5511C" w:rsidRPr="00E5511C" w:rsidTr="00E5511C">
        <w:tc>
          <w:tcPr>
            <w:tcW w:w="1513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Dimension</w:t>
            </w:r>
          </w:p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Indicator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Primary wt.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Bootstrap mean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Bootstrap SD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95% bootstrap interval</w:t>
            </w:r>
          </w:p>
        </w:tc>
      </w:tr>
      <w:tr w:rsidR="00E5511C" w:rsidRPr="00E5511C" w:rsidTr="00E5511C">
        <w:tc>
          <w:tcPr>
            <w:tcW w:w="1513" w:type="dxa"/>
            <w:vMerge w:val="restart"/>
          </w:tcPr>
          <w:p w:rsidR="00E5511C" w:rsidRPr="00E5511C" w:rsidRDefault="00E5511C" w:rsidP="00E5511C">
            <w:r w:rsidRPr="00E5511C">
              <w:rPr>
                <w:rFonts w:ascii="Times New Roman" w:eastAsia="Times New Roman" w:hAnsi="Times New Roman"/>
              </w:rPr>
              <w:t>Material capacity</w:t>
            </w:r>
          </w:p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Post-disaster self-sufficiency duration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0.2430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0.2395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0.0260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0.1904–0.2844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Household savings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0.3360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0.3339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0.0242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0.2913–0.3838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Debt-free disaster recovery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0.0638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0.0641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0.0229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0.0177–0.1071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Income-source diversification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0.3536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0.3520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0.0196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0.3133–0.3918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Household educational capital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0.0036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0.0106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0.0132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0.0000–0.0476</w:t>
            </w:r>
          </w:p>
        </w:tc>
      </w:tr>
      <w:tr w:rsidR="00E5511C" w:rsidRPr="00E5511C" w:rsidTr="00E5511C">
        <w:tc>
          <w:tcPr>
            <w:tcW w:w="1513" w:type="dxa"/>
            <w:vMerge w:val="restart"/>
          </w:tcPr>
          <w:p w:rsidR="00E5511C" w:rsidRPr="00E5511C" w:rsidRDefault="00E5511C" w:rsidP="00E5511C">
            <w:r w:rsidRPr="00E5511C">
              <w:rPr>
                <w:rFonts w:ascii="Times New Roman" w:eastAsia="Times New Roman" w:hAnsi="Times New Roman"/>
              </w:rPr>
              <w:t>Institutional access</w:t>
            </w:r>
          </w:p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Disaster/climate adaptation training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0.0974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0.0970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0.0103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0.0770–0.1177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Safety-net continuity after disaster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0.0744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0.0748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0.0088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0.0557–0.0908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Early-warning timeliness and clarity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0.0352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0.0368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0.0088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0.0201–0.0542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UDMC awareness/participation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0.1197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0.1188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0.0083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0.1024–0.1333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Formal safety-net access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0.0677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0.0682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0.0079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0.0524–0.0812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Institutional grievance responsiveness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0.1279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0.1270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0.0074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0.1128–0.1416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Female/community-group membership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0.0937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0.0932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0.0069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0.0810–0.1072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Perceived fairness/transparency of relief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0.0301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0.0311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0.0069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0.0166–0.0420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Early-warning channel diversity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0.0279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0.0290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0.0068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0.0154–0.0415</w:t>
            </w:r>
          </w:p>
        </w:tc>
      </w:tr>
      <w:tr w:rsidR="00E5511C" w:rsidRPr="00E5511C" w:rsidTr="00E5511C">
        <w:tc>
          <w:tcPr>
            <w:tcW w:w="1513" w:type="dxa"/>
            <w:vMerge/>
          </w:tcPr>
          <w:p w:rsidR="00E5511C" w:rsidRPr="00E5511C" w:rsidRDefault="00E5511C" w:rsidP="001E28E1"/>
        </w:tc>
        <w:tc>
          <w:tcPr>
            <w:tcW w:w="2796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Perceived UDMC inclusiveness</w:t>
            </w:r>
          </w:p>
        </w:tc>
        <w:tc>
          <w:tcPr>
            <w:tcW w:w="105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0.0396</w:t>
            </w:r>
          </w:p>
        </w:tc>
        <w:tc>
          <w:tcPr>
            <w:tcW w:w="1170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0.0415</w:t>
            </w:r>
          </w:p>
        </w:tc>
        <w:tc>
          <w:tcPr>
            <w:tcW w:w="1147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0.0067</w:t>
            </w:r>
          </w:p>
        </w:tc>
        <w:tc>
          <w:tcPr>
            <w:tcW w:w="1335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0.0279–0.0555</w:t>
            </w:r>
          </w:p>
        </w:tc>
      </w:tr>
    </w:tbl>
    <w:p w:rsidR="00E5511C" w:rsidRPr="00306412" w:rsidRDefault="00E5511C" w:rsidP="00E5511C"/>
    <w:p w:rsidR="00E5511C" w:rsidRPr="00E5511C" w:rsidRDefault="00E5511C" w:rsidP="00E5511C">
      <w:pPr>
        <w:keepNext/>
        <w:jc w:val="both"/>
        <w:rPr>
          <w:bCs/>
          <w:sz w:val="24"/>
          <w:szCs w:val="24"/>
        </w:rPr>
      </w:pPr>
      <w:r w:rsidRPr="00E5511C">
        <w:rPr>
          <w:rFonts w:ascii="Times New Roman" w:eastAsia="Times New Roman" w:hAnsi="Times New Roman"/>
          <w:b/>
          <w:szCs w:val="24"/>
        </w:rPr>
        <w:t xml:space="preserve">Table A3. </w:t>
      </w:r>
      <w:r w:rsidRPr="00E5511C">
        <w:rPr>
          <w:rFonts w:ascii="Times New Roman" w:eastAsia="Times New Roman" w:hAnsi="Times New Roman"/>
          <w:bCs/>
          <w:szCs w:val="24"/>
        </w:rPr>
        <w:t>Sensitivity of the GSHVI-adaptation association to outcome composition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7"/>
        <w:gridCol w:w="1564"/>
        <w:gridCol w:w="1455"/>
        <w:gridCol w:w="1476"/>
        <w:gridCol w:w="1479"/>
        <w:gridCol w:w="1455"/>
      </w:tblGrid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Outcome specification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Adaptation cases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OR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95% t(26) CI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AUC</w:t>
            </w:r>
          </w:p>
        </w:tc>
      </w:tr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All four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235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0.134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0.052–0.344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&lt;0.001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0.924</w:t>
            </w:r>
          </w:p>
        </w:tc>
      </w:tr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Exclude Raised plinth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167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0.344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0.191–0.621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&lt;0.001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0.876</w:t>
            </w:r>
          </w:p>
        </w:tc>
      </w:tr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Exclude Homestead gardening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199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0.261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0.134–0.512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&lt;0.001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0.805</w:t>
            </w:r>
          </w:p>
        </w:tc>
      </w:tr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Exclude Salt-tolerant crops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214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0.261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0.139–0.491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&lt;0.001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0.849</w:t>
            </w:r>
          </w:p>
        </w:tc>
      </w:tr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Exclude Storm-resistant housing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234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0.136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0.053–0.351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&lt;0.001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0.924</w:t>
            </w:r>
          </w:p>
        </w:tc>
      </w:tr>
    </w:tbl>
    <w:p w:rsidR="00E5511C" w:rsidRDefault="00E5511C" w:rsidP="00E5511C">
      <w:pPr>
        <w:keepNext/>
        <w:jc w:val="both"/>
        <w:rPr>
          <w:rFonts w:ascii="Times New Roman" w:eastAsia="Times New Roman" w:hAnsi="Times New Roman"/>
          <w:b/>
          <w:sz w:val="20"/>
        </w:rPr>
      </w:pPr>
    </w:p>
    <w:p w:rsidR="00E5511C" w:rsidRPr="00E5511C" w:rsidRDefault="00E5511C" w:rsidP="00E5511C">
      <w:pPr>
        <w:keepNext/>
        <w:jc w:val="both"/>
        <w:rPr>
          <w:sz w:val="24"/>
          <w:szCs w:val="24"/>
        </w:rPr>
      </w:pPr>
      <w:r w:rsidRPr="00E5511C">
        <w:rPr>
          <w:rFonts w:ascii="Times New Roman" w:eastAsia="Times New Roman" w:hAnsi="Times New Roman"/>
          <w:b/>
          <w:szCs w:val="24"/>
        </w:rPr>
        <w:t xml:space="preserve">Table A4. </w:t>
      </w:r>
      <w:r w:rsidRPr="00E5511C">
        <w:rPr>
          <w:rFonts w:ascii="Times New Roman" w:eastAsia="Times New Roman" w:hAnsi="Times New Roman"/>
          <w:bCs/>
          <w:szCs w:val="24"/>
        </w:rPr>
        <w:t>Cluster-pairs bootstrap robustness for principal logistic coefficients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504"/>
        <w:gridCol w:w="1469"/>
        <w:gridCol w:w="1504"/>
        <w:gridCol w:w="1498"/>
        <w:gridCol w:w="1501"/>
      </w:tblGrid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Predictor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Bootstrap reps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Original OR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Bootstrap median OR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95% bootstrap interval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  <w:b/>
              </w:rPr>
              <w:t>Opposite-sign reps %</w:t>
            </w:r>
          </w:p>
        </w:tc>
      </w:tr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GSHVI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499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0.134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0.133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0.038–0.420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0.2</w:t>
            </w:r>
          </w:p>
        </w:tc>
      </w:tr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Sensitivity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299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0.315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0.351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0.109–0.868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0.0</w:t>
            </w:r>
          </w:p>
        </w:tc>
      </w:tr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Material capacity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299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5.861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5.708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1.971–44.967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0.3</w:t>
            </w:r>
          </w:p>
        </w:tc>
      </w:tr>
      <w:tr w:rsidR="00E5511C" w:rsidRPr="00E5511C" w:rsidTr="00E5511C"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Institutional access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299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1.662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2.042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1.029–4.994</w:t>
            </w:r>
          </w:p>
        </w:tc>
        <w:tc>
          <w:tcPr>
            <w:tcW w:w="1632" w:type="dxa"/>
          </w:tcPr>
          <w:p w:rsidR="00E5511C" w:rsidRPr="00E5511C" w:rsidRDefault="00E5511C" w:rsidP="001E28E1">
            <w:r w:rsidRPr="00E5511C">
              <w:rPr>
                <w:rFonts w:ascii="Times New Roman" w:eastAsia="Times New Roman" w:hAnsi="Times New Roman"/>
              </w:rPr>
              <w:t>1.7</w:t>
            </w:r>
          </w:p>
        </w:tc>
      </w:tr>
    </w:tbl>
    <w:p w:rsidR="00E5511C" w:rsidRDefault="00E5511C" w:rsidP="00E5511C"/>
    <w:p w:rsidR="004941E0" w:rsidRDefault="004941E0"/>
    <w:sectPr w:rsidR="004941E0" w:rsidSect="002C48F1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ESRI NIMA VMAP1&amp;2 PT"/>
    <w:panose1 w:val="00000400000000000000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3F"/>
    <w:rsid w:val="001E3185"/>
    <w:rsid w:val="002C48F1"/>
    <w:rsid w:val="004941E0"/>
    <w:rsid w:val="00647F5E"/>
    <w:rsid w:val="00960C1D"/>
    <w:rsid w:val="009D4863"/>
    <w:rsid w:val="00B17A63"/>
    <w:rsid w:val="00E5511C"/>
    <w:rsid w:val="00E7213F"/>
    <w:rsid w:val="00F0401C"/>
    <w:rsid w:val="00F5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1851F"/>
  <w15:chartTrackingRefBased/>
  <w15:docId w15:val="{7AB854D5-367A-4404-A8FE-472DA45C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11C"/>
  </w:style>
  <w:style w:type="paragraph" w:styleId="Heading1">
    <w:name w:val="heading 1"/>
    <w:basedOn w:val="Normal"/>
    <w:next w:val="Normal"/>
    <w:link w:val="Heading1Char"/>
    <w:uiPriority w:val="9"/>
    <w:qFormat/>
    <w:rsid w:val="00F0401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01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401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0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01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0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01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01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01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01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01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01C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01C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01C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01C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01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401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F0401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0401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01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01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F0401C"/>
    <w:rPr>
      <w:b/>
      <w:bCs/>
    </w:rPr>
  </w:style>
  <w:style w:type="character" w:styleId="Emphasis">
    <w:name w:val="Emphasis"/>
    <w:basedOn w:val="DefaultParagraphFont"/>
    <w:uiPriority w:val="20"/>
    <w:qFormat/>
    <w:rsid w:val="00F0401C"/>
    <w:rPr>
      <w:i/>
      <w:iCs/>
    </w:rPr>
  </w:style>
  <w:style w:type="paragraph" w:styleId="NoSpacing">
    <w:name w:val="No Spacing"/>
    <w:link w:val="NoSpacingChar"/>
    <w:uiPriority w:val="1"/>
    <w:qFormat/>
    <w:rsid w:val="00F0401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0401C"/>
  </w:style>
  <w:style w:type="paragraph" w:styleId="ListParagraph">
    <w:name w:val="List Paragraph"/>
    <w:basedOn w:val="Normal"/>
    <w:uiPriority w:val="34"/>
    <w:qFormat/>
    <w:rsid w:val="00F0401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0401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0401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01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01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0401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0401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0401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0401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0401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401C"/>
    <w:pPr>
      <w:outlineLvl w:val="9"/>
    </w:pPr>
  </w:style>
  <w:style w:type="table" w:styleId="TableGrid">
    <w:name w:val="Table Grid"/>
    <w:basedOn w:val="TableNormal"/>
    <w:uiPriority w:val="59"/>
    <w:rsid w:val="00E5511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Shovon Das</dc:creator>
  <cp:keywords/>
  <dc:description/>
  <cp:lastModifiedBy>Shovon Das</cp:lastModifiedBy>
  <cp:revision>3</cp:revision>
  <dcterms:created xsi:type="dcterms:W3CDTF">2026-09-04T16:26:00Z</dcterms:created>
  <dcterms:modified xsi:type="dcterms:W3CDTF">2026-09-04T16:29:00Z</dcterms:modified>
</cp:coreProperties>
</file>