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228" w:rsidRPr="00571B5A" w:rsidRDefault="00633228" w:rsidP="00633228">
      <w:r w:rsidRPr="00571B5A"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 w:rsidRPr="00571B5A">
        <w:t>: Sampling design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026"/>
        <w:gridCol w:w="1976"/>
        <w:gridCol w:w="1344"/>
        <w:gridCol w:w="1976"/>
        <w:gridCol w:w="1186"/>
        <w:gridCol w:w="1265"/>
      </w:tblGrid>
      <w:tr w:rsidR="00633228" w:rsidRPr="00306412" w:rsidTr="00E35A97">
        <w:trPr>
          <w:cantSplit/>
          <w:trHeight w:val="484"/>
        </w:trPr>
        <w:tc>
          <w:tcPr>
            <w:tcW w:w="202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  <w:b/>
              </w:rPr>
              <w:t>Union</w:t>
            </w:r>
          </w:p>
        </w:tc>
        <w:tc>
          <w:tcPr>
            <w:tcW w:w="197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  <w:b/>
              </w:rPr>
              <w:t>Sampling-frame households</w:t>
            </w:r>
          </w:p>
        </w:tc>
        <w:tc>
          <w:tcPr>
            <w:tcW w:w="1344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  <w:b/>
              </w:rPr>
              <w:t>Share (%)</w:t>
            </w:r>
          </w:p>
        </w:tc>
        <w:tc>
          <w:tcPr>
            <w:tcW w:w="197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  <w:b/>
              </w:rPr>
              <w:t>Calculated allocation</w:t>
            </w:r>
          </w:p>
        </w:tc>
        <w:tc>
          <w:tcPr>
            <w:tcW w:w="118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  <w:b/>
              </w:rPr>
              <w:t>Target n</w:t>
            </w:r>
          </w:p>
        </w:tc>
        <w:tc>
          <w:tcPr>
            <w:tcW w:w="1265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  <w:b/>
              </w:rPr>
              <w:t>Achieved n</w:t>
            </w:r>
          </w:p>
        </w:tc>
      </w:tr>
      <w:tr w:rsidR="00633228" w:rsidRPr="00306412" w:rsidTr="00E35A97">
        <w:trPr>
          <w:cantSplit/>
          <w:trHeight w:val="245"/>
        </w:trPr>
        <w:tc>
          <w:tcPr>
            <w:tcW w:w="2026" w:type="dxa"/>
          </w:tcPr>
          <w:p w:rsidR="00633228" w:rsidRPr="00306412" w:rsidRDefault="00633228" w:rsidP="00E35A97">
            <w:pPr>
              <w:spacing w:after="0"/>
            </w:pPr>
            <w:proofErr w:type="spellStart"/>
            <w:r w:rsidRPr="00306412">
              <w:rPr>
                <w:rFonts w:eastAsia="Times New Roman"/>
              </w:rPr>
              <w:t>Dakshin</w:t>
            </w:r>
            <w:proofErr w:type="spellEnd"/>
            <w:r w:rsidRPr="00306412">
              <w:rPr>
                <w:rFonts w:eastAsia="Times New Roman"/>
              </w:rPr>
              <w:t xml:space="preserve"> </w:t>
            </w:r>
            <w:proofErr w:type="spellStart"/>
            <w:r w:rsidRPr="00306412">
              <w:rPr>
                <w:rFonts w:eastAsia="Times New Roman"/>
              </w:rPr>
              <w:t>Bedkashi</w:t>
            </w:r>
            <w:proofErr w:type="spellEnd"/>
          </w:p>
        </w:tc>
        <w:tc>
          <w:tcPr>
            <w:tcW w:w="197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3,398</w:t>
            </w:r>
          </w:p>
        </w:tc>
        <w:tc>
          <w:tcPr>
            <w:tcW w:w="1344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39.23</w:t>
            </w:r>
          </w:p>
        </w:tc>
        <w:tc>
          <w:tcPr>
            <w:tcW w:w="197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150.26</w:t>
            </w:r>
          </w:p>
        </w:tc>
        <w:tc>
          <w:tcPr>
            <w:tcW w:w="118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150</w:t>
            </w:r>
          </w:p>
        </w:tc>
        <w:tc>
          <w:tcPr>
            <w:tcW w:w="1265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149</w:t>
            </w:r>
          </w:p>
        </w:tc>
      </w:tr>
      <w:tr w:rsidR="00633228" w:rsidRPr="00306412" w:rsidTr="00E35A97">
        <w:trPr>
          <w:cantSplit/>
          <w:trHeight w:val="245"/>
        </w:trPr>
        <w:tc>
          <w:tcPr>
            <w:tcW w:w="2026" w:type="dxa"/>
          </w:tcPr>
          <w:p w:rsidR="00633228" w:rsidRPr="00306412" w:rsidRDefault="00633228" w:rsidP="00E35A97">
            <w:pPr>
              <w:spacing w:after="0"/>
            </w:pPr>
            <w:proofErr w:type="spellStart"/>
            <w:r w:rsidRPr="00306412">
              <w:rPr>
                <w:rFonts w:eastAsia="Times New Roman"/>
              </w:rPr>
              <w:t>Koyra</w:t>
            </w:r>
            <w:proofErr w:type="spellEnd"/>
            <w:r w:rsidRPr="00306412">
              <w:rPr>
                <w:rFonts w:eastAsia="Times New Roman"/>
              </w:rPr>
              <w:t xml:space="preserve"> </w:t>
            </w:r>
            <w:proofErr w:type="spellStart"/>
            <w:r w:rsidRPr="00306412">
              <w:rPr>
                <w:rFonts w:eastAsia="Times New Roman"/>
              </w:rPr>
              <w:t>Sader</w:t>
            </w:r>
            <w:proofErr w:type="spellEnd"/>
          </w:p>
        </w:tc>
        <w:tc>
          <w:tcPr>
            <w:tcW w:w="197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2,600</w:t>
            </w:r>
          </w:p>
        </w:tc>
        <w:tc>
          <w:tcPr>
            <w:tcW w:w="1344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30.02</w:t>
            </w:r>
          </w:p>
        </w:tc>
        <w:tc>
          <w:tcPr>
            <w:tcW w:w="197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114.98</w:t>
            </w:r>
          </w:p>
        </w:tc>
        <w:tc>
          <w:tcPr>
            <w:tcW w:w="118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115</w:t>
            </w:r>
          </w:p>
        </w:tc>
        <w:tc>
          <w:tcPr>
            <w:tcW w:w="1265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116</w:t>
            </w:r>
          </w:p>
        </w:tc>
      </w:tr>
      <w:tr w:rsidR="00633228" w:rsidRPr="00306412" w:rsidTr="00E35A97">
        <w:trPr>
          <w:cantSplit/>
          <w:trHeight w:val="245"/>
        </w:trPr>
        <w:tc>
          <w:tcPr>
            <w:tcW w:w="202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 xml:space="preserve">Uttar </w:t>
            </w:r>
            <w:proofErr w:type="spellStart"/>
            <w:r w:rsidRPr="00306412">
              <w:rPr>
                <w:rFonts w:eastAsia="Times New Roman"/>
              </w:rPr>
              <w:t>Bedkashi</w:t>
            </w:r>
            <w:proofErr w:type="spellEnd"/>
          </w:p>
        </w:tc>
        <w:tc>
          <w:tcPr>
            <w:tcW w:w="197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2,663</w:t>
            </w:r>
          </w:p>
        </w:tc>
        <w:tc>
          <w:tcPr>
            <w:tcW w:w="1344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30.75</w:t>
            </w:r>
          </w:p>
        </w:tc>
        <w:tc>
          <w:tcPr>
            <w:tcW w:w="197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117.76</w:t>
            </w:r>
          </w:p>
        </w:tc>
        <w:tc>
          <w:tcPr>
            <w:tcW w:w="118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118</w:t>
            </w:r>
          </w:p>
        </w:tc>
        <w:tc>
          <w:tcPr>
            <w:tcW w:w="1265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118</w:t>
            </w:r>
          </w:p>
        </w:tc>
      </w:tr>
      <w:tr w:rsidR="00633228" w:rsidRPr="00306412" w:rsidTr="00E35A97">
        <w:trPr>
          <w:cantSplit/>
          <w:trHeight w:val="245"/>
        </w:trPr>
        <w:tc>
          <w:tcPr>
            <w:tcW w:w="202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Total</w:t>
            </w:r>
          </w:p>
        </w:tc>
        <w:tc>
          <w:tcPr>
            <w:tcW w:w="197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8,661</w:t>
            </w:r>
          </w:p>
        </w:tc>
        <w:tc>
          <w:tcPr>
            <w:tcW w:w="1344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100.00</w:t>
            </w:r>
          </w:p>
        </w:tc>
        <w:tc>
          <w:tcPr>
            <w:tcW w:w="197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383.00</w:t>
            </w:r>
          </w:p>
        </w:tc>
        <w:tc>
          <w:tcPr>
            <w:tcW w:w="1186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383</w:t>
            </w:r>
          </w:p>
        </w:tc>
        <w:tc>
          <w:tcPr>
            <w:tcW w:w="1265" w:type="dxa"/>
          </w:tcPr>
          <w:p w:rsidR="00633228" w:rsidRPr="00306412" w:rsidRDefault="00633228" w:rsidP="00E35A97">
            <w:pPr>
              <w:spacing w:after="0"/>
            </w:pPr>
            <w:r w:rsidRPr="00306412">
              <w:rPr>
                <w:rFonts w:eastAsia="Times New Roman"/>
              </w:rPr>
              <w:t>383</w:t>
            </w:r>
          </w:p>
        </w:tc>
      </w:tr>
    </w:tbl>
    <w:p w:rsidR="004941E0" w:rsidRDefault="004941E0"/>
    <w:p w:rsidR="00633228" w:rsidRDefault="00633228" w:rsidP="00633228">
      <w:pPr>
        <w:jc w:val="both"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t>: Indicator–dimension Pearson correlations, PCA-derived weights, and supporting literature</w:t>
      </w:r>
    </w:p>
    <w:tbl>
      <w:tblPr>
        <w:tblStyle w:val="TableGrid"/>
        <w:tblW w:w="97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3510"/>
        <w:gridCol w:w="990"/>
        <w:gridCol w:w="900"/>
        <w:gridCol w:w="3600"/>
      </w:tblGrid>
      <w:tr w:rsidR="00633228" w:rsidRPr="00EB6373" w:rsidTr="00E35A97">
        <w:trPr>
          <w:tblHeader/>
        </w:trPr>
        <w:tc>
          <w:tcPr>
            <w:tcW w:w="720" w:type="dxa"/>
          </w:tcPr>
          <w:p w:rsidR="00633228" w:rsidRPr="00EB6373" w:rsidRDefault="00633228" w:rsidP="00E35A97">
            <w:pPr>
              <w:spacing w:after="0" w:line="228" w:lineRule="auto"/>
              <w:jc w:val="center"/>
            </w:pPr>
            <w:r w:rsidRPr="00EB6373">
              <w:rPr>
                <w:rFonts w:eastAsia="Times New Roman"/>
                <w:b/>
              </w:rPr>
              <w:t>Dimension</w:t>
            </w: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  <w:b/>
              </w:rPr>
              <w:t>I</w:t>
            </w:r>
            <w:r w:rsidRPr="00EB6373">
              <w:rPr>
                <w:rFonts w:eastAsia="Times New Roman"/>
                <w:b/>
              </w:rPr>
              <w:t>ndicator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  <w:b/>
              </w:rPr>
              <w:t>Pearson r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  <w:jc w:val="center"/>
            </w:pPr>
            <w:r w:rsidRPr="00EB6373">
              <w:rPr>
                <w:rFonts w:eastAsia="Times New Roman"/>
                <w:b/>
              </w:rPr>
              <w:t>PCA weight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  <w:b/>
              </w:rPr>
              <w:t>S</w:t>
            </w:r>
            <w:r w:rsidRPr="00EB6373">
              <w:rPr>
                <w:rFonts w:eastAsia="Times New Roman"/>
                <w:b/>
              </w:rPr>
              <w:t>ources</w:t>
            </w:r>
          </w:p>
        </w:tc>
      </w:tr>
      <w:tr w:rsidR="00633228" w:rsidRPr="00EB6373" w:rsidTr="00E35A97">
        <w:tc>
          <w:tcPr>
            <w:tcW w:w="720" w:type="dxa"/>
            <w:vMerge w:val="restart"/>
            <w:textDirection w:val="btLr"/>
            <w:vAlign w:val="center"/>
          </w:tcPr>
          <w:p w:rsidR="00633228" w:rsidRPr="00EB6373" w:rsidRDefault="00633228" w:rsidP="00E35A97">
            <w:pPr>
              <w:spacing w:after="0" w:line="228" w:lineRule="auto"/>
              <w:ind w:left="113" w:right="113"/>
              <w:jc w:val="center"/>
            </w:pPr>
            <w:r w:rsidRPr="00EB6373">
              <w:rPr>
                <w:rFonts w:eastAsia="Times New Roman"/>
              </w:rPr>
              <w:t>Exposure</w:t>
            </w:r>
          </w:p>
          <w:p w:rsidR="00633228" w:rsidRPr="00EB6373" w:rsidRDefault="00633228" w:rsidP="00E35A97">
            <w:pPr>
              <w:spacing w:after="0" w:line="228" w:lineRule="auto"/>
              <w:ind w:left="113" w:right="113"/>
              <w:jc w:val="center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Cyclone/storm surge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0.720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0.1431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IPCC, 2022; </w:t>
            </w:r>
            <w:proofErr w:type="spellStart"/>
            <w:r w:rsidRPr="00EB6373">
              <w:rPr>
                <w:rFonts w:eastAsia="Times New Roman"/>
              </w:rPr>
              <w:t>Saha</w:t>
            </w:r>
            <w:proofErr w:type="spellEnd"/>
            <w:r w:rsidRPr="00EB6373">
              <w:rPr>
                <w:rFonts w:eastAsia="Times New Roman"/>
              </w:rPr>
              <w:t>, 2017; Uddin et al., 2019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Flooding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0.499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0.0770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Brammer</w:t>
            </w:r>
            <w:proofErr w:type="spellEnd"/>
            <w:r w:rsidRPr="00EB6373">
              <w:rPr>
                <w:rFonts w:eastAsia="Times New Roman"/>
              </w:rPr>
              <w:t>, 2014; Uddin et al., 2019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Salinity intrusion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0.224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0.0518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Saha</w:t>
            </w:r>
            <w:proofErr w:type="spellEnd"/>
            <w:r w:rsidRPr="00EB6373">
              <w:rPr>
                <w:rFonts w:eastAsia="Times New Roman"/>
              </w:rPr>
              <w:t>, 2017; Abedin et al., 2019; Islam et al., 2020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Waterlogging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0.570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0.0928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Brammer</w:t>
            </w:r>
            <w:proofErr w:type="spellEnd"/>
            <w:r w:rsidRPr="00EB6373">
              <w:rPr>
                <w:rFonts w:eastAsia="Times New Roman"/>
              </w:rPr>
              <w:t>, 2014; Khan et al., 2022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River erosion/embankment collapse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0.762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0.0967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Brammer</w:t>
            </w:r>
            <w:proofErr w:type="spellEnd"/>
            <w:r w:rsidRPr="00EB6373">
              <w:rPr>
                <w:rFonts w:eastAsia="Times New Roman"/>
              </w:rPr>
              <w:t>, 2014; Khan et al., 2022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Heat stress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0.079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0.0846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IPCC, 2022; Ahmed et al., 2026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Thunderstorms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-0.372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0.1328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IPCC, 2022; Uddin et al., 2019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Peak physical impact severity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0.594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0.1068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Hahn et al., 2009; Khan et al., 2022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Duration of negative effects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0.548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0.1309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Füssel</w:t>
            </w:r>
            <w:proofErr w:type="spellEnd"/>
            <w:r w:rsidRPr="00EB6373">
              <w:rPr>
                <w:rFonts w:eastAsia="Times New Roman"/>
              </w:rPr>
              <w:t>, 2007; Uddin et al., 2019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Perceived worsening of hazard frequency/intensity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0.536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0.0834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>
              <w:rPr>
                <w:rFonts w:eastAsia="Times New Roman"/>
              </w:rPr>
              <w:t>Alam</w:t>
            </w:r>
            <w:proofErr w:type="spellEnd"/>
            <w:r>
              <w:rPr>
                <w:rFonts w:eastAsia="Times New Roman"/>
              </w:rPr>
              <w:t xml:space="preserve"> et al., 2017</w:t>
            </w:r>
            <w:r w:rsidRPr="00EB6373">
              <w:rPr>
                <w:rFonts w:eastAsia="Times New Roman"/>
              </w:rPr>
              <w:t xml:space="preserve">; </w:t>
            </w:r>
            <w:proofErr w:type="spellStart"/>
            <w:r w:rsidRPr="00EB6373">
              <w:rPr>
                <w:rFonts w:eastAsia="Times New Roman"/>
              </w:rPr>
              <w:t>Aryal</w:t>
            </w:r>
            <w:proofErr w:type="spellEnd"/>
            <w:r w:rsidRPr="00EB6373">
              <w:rPr>
                <w:rFonts w:eastAsia="Times New Roman"/>
              </w:rPr>
              <w:t xml:space="preserve"> et al., 2020</w:t>
            </w:r>
          </w:p>
        </w:tc>
      </w:tr>
      <w:tr w:rsidR="00633228" w:rsidRPr="00EB6373" w:rsidTr="00E35A97">
        <w:tc>
          <w:tcPr>
            <w:tcW w:w="720" w:type="dxa"/>
            <w:vMerge w:val="restart"/>
            <w:textDirection w:val="btLr"/>
            <w:vAlign w:val="center"/>
          </w:tcPr>
          <w:p w:rsidR="00633228" w:rsidRPr="00EB6373" w:rsidRDefault="00633228" w:rsidP="00E35A97">
            <w:pPr>
              <w:spacing w:after="0" w:line="228" w:lineRule="auto"/>
              <w:ind w:left="113" w:right="113"/>
              <w:jc w:val="center"/>
            </w:pPr>
            <w:r w:rsidRPr="00EB6373">
              <w:rPr>
                <w:rFonts w:eastAsia="Times New Roman"/>
              </w:rPr>
              <w:t>Sensitivity</w:t>
            </w:r>
          </w:p>
          <w:p w:rsidR="00633228" w:rsidRPr="00EB6373" w:rsidRDefault="00633228" w:rsidP="00E35A97">
            <w:pPr>
              <w:spacing w:after="0" w:line="228" w:lineRule="auto"/>
              <w:ind w:left="113" w:right="113"/>
              <w:jc w:val="center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Wall material fragility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0.112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0.0325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Cutter et al., 2003; Hahn et al., 2009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Roof material fragility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0.002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0.0812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Hahn et al., 2009; Khan et al., 2022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Floor material fragility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0.085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0.0066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Hahn et al., 2009; Uddin et al., 2019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Disaster-related house damage severity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0.477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0.0602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Cutter et al., 2003; Uddin et al., 2019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Frequency of house damage/flooding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0.387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0.0650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Hahn et al., 2009; Khan et al., 2022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Water depth inside house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-0.001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0.0554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Uddin et al., 2019; </w:t>
            </w:r>
            <w:proofErr w:type="spellStart"/>
            <w:r w:rsidRPr="00EB6373">
              <w:rPr>
                <w:rFonts w:eastAsia="Times New Roman"/>
              </w:rPr>
              <w:t>Hoque</w:t>
            </w:r>
            <w:proofErr w:type="spellEnd"/>
            <w:r w:rsidRPr="00EB6373">
              <w:rPr>
                <w:rFonts w:eastAsia="Times New Roman"/>
              </w:rPr>
              <w:t xml:space="preserve"> et al., 2019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Travel time/inaccessibility to cyclone shelter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0.138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0.0267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2023; Khan et al., 2022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Shelter access path unusable during disaster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0.270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0.0549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2023; </w:t>
            </w:r>
            <w:proofErr w:type="spellStart"/>
            <w:r w:rsidRPr="00EB6373">
              <w:rPr>
                <w:rFonts w:eastAsia="Times New Roman"/>
              </w:rPr>
              <w:t>Haque</w:t>
            </w:r>
            <w:proofErr w:type="spellEnd"/>
            <w:r w:rsidRPr="00EB6373">
              <w:rPr>
                <w:rFonts w:eastAsia="Times New Roman"/>
              </w:rPr>
              <w:t xml:space="preserve"> et al., 2024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Unsafe drinking-water quality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0.320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0.0286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Abedin et al., 2019; Hossain &amp; Pal, 2025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Post-disaster water salinity/contamination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0.663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0.0568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Abedin et al., 2019; </w:t>
            </w:r>
            <w:proofErr w:type="spellStart"/>
            <w:r w:rsidRPr="00EB6373">
              <w:rPr>
                <w:rFonts w:eastAsia="Times New Roman"/>
              </w:rPr>
              <w:t>Saha</w:t>
            </w:r>
            <w:proofErr w:type="spellEnd"/>
            <w:r w:rsidRPr="00EB6373">
              <w:rPr>
                <w:rFonts w:eastAsia="Times New Roman"/>
              </w:rPr>
              <w:t>, 2017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Drinking-water source damaged/flooded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0.636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0.0590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Abedin et al., 2019; Uddin et al., 2019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Toilet facility vulnerability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0.167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0.0668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2023; Sinha et al., 2024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Toilet </w:t>
            </w:r>
            <w:proofErr w:type="spellStart"/>
            <w:r w:rsidRPr="00EB6373">
              <w:rPr>
                <w:rFonts w:eastAsia="Times New Roman"/>
              </w:rPr>
              <w:t>unusability</w:t>
            </w:r>
            <w:proofErr w:type="spellEnd"/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0.004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0.0249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2023; </w:t>
            </w:r>
            <w:proofErr w:type="spellStart"/>
            <w:r w:rsidRPr="00EB6373">
              <w:rPr>
                <w:rFonts w:eastAsia="Times New Roman"/>
              </w:rPr>
              <w:t>Esha</w:t>
            </w:r>
            <w:proofErr w:type="spellEnd"/>
            <w:r w:rsidRPr="00EB6373">
              <w:rPr>
                <w:rFonts w:eastAsia="Times New Roman"/>
              </w:rPr>
              <w:t>, 2024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Protective embankment condition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0.464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0.0564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Brammer</w:t>
            </w:r>
            <w:proofErr w:type="spellEnd"/>
            <w:r w:rsidRPr="00EB6373">
              <w:rPr>
                <w:rFonts w:eastAsia="Times New Roman"/>
              </w:rPr>
              <w:t>, 2014; Khan et al., 2022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History of embankment failure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0.123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0.0148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Brammer</w:t>
            </w:r>
            <w:proofErr w:type="spellEnd"/>
            <w:r w:rsidRPr="00EB6373">
              <w:rPr>
                <w:rFonts w:eastAsia="Times New Roman"/>
              </w:rPr>
              <w:t>, 2014; Uddin et al., 2019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Nearby embankment weakness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0.494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0.0443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Khan et al., 2022; Hasan et al., 2025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Post-disaster road impassability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0.618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0.0529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Haque</w:t>
            </w:r>
            <w:proofErr w:type="spellEnd"/>
            <w:r w:rsidRPr="00EB6373">
              <w:rPr>
                <w:rFonts w:eastAsia="Times New Roman"/>
              </w:rPr>
              <w:t xml:space="preserve"> et al., 2024; Khan et al., 2022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Primary livelihood disruption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0.527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0.0465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Aryal</w:t>
            </w:r>
            <w:proofErr w:type="spellEnd"/>
            <w:r w:rsidRPr="00EB6373">
              <w:rPr>
                <w:rFonts w:eastAsia="Times New Roman"/>
              </w:rPr>
              <w:t xml:space="preserve"> et al., 2020; </w:t>
            </w:r>
            <w:proofErr w:type="spellStart"/>
            <w:r w:rsidRPr="00EB6373">
              <w:rPr>
                <w:rFonts w:eastAsia="Times New Roman"/>
              </w:rPr>
              <w:t>Hoque</w:t>
            </w:r>
            <w:proofErr w:type="spellEnd"/>
            <w:r w:rsidRPr="00EB6373">
              <w:rPr>
                <w:rFonts w:eastAsia="Times New Roman"/>
              </w:rPr>
              <w:t xml:space="preserve"> et al., 2019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Productive/household asset-loss breadth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0.127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0.0073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Cutter et al., 2003; </w:t>
            </w:r>
            <w:proofErr w:type="spellStart"/>
            <w:r w:rsidRPr="00EB6373">
              <w:rPr>
                <w:rFonts w:eastAsia="Times New Roman"/>
              </w:rPr>
              <w:t>Alam</w:t>
            </w:r>
            <w:proofErr w:type="spellEnd"/>
            <w:r w:rsidRPr="00EB6373">
              <w:rPr>
                <w:rFonts w:eastAsia="Times New Roman"/>
              </w:rPr>
              <w:t>, 2017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Chronic illness/disability constraining evacuation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0.207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0.0582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IPCC, 2022; </w:t>
            </w:r>
            <w:proofErr w:type="spellStart"/>
            <w:r w:rsidRPr="00EB6373">
              <w:rPr>
                <w:rFonts w:eastAsia="Times New Roman"/>
              </w:rPr>
              <w:t>Djoudi</w:t>
            </w:r>
            <w:proofErr w:type="spellEnd"/>
            <w:r w:rsidRPr="00EB6373">
              <w:rPr>
                <w:rFonts w:eastAsia="Times New Roman"/>
              </w:rPr>
              <w:t xml:space="preserve"> et al., 2016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Decline in agricultural/fishing productivity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0.499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0.0508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Islam et al., 2020; </w:t>
            </w:r>
            <w:proofErr w:type="spellStart"/>
            <w:r w:rsidRPr="00EB6373">
              <w:rPr>
                <w:rFonts w:eastAsia="Times New Roman"/>
              </w:rPr>
              <w:t>Hoque</w:t>
            </w:r>
            <w:proofErr w:type="spellEnd"/>
            <w:r w:rsidRPr="00EB6373">
              <w:rPr>
                <w:rFonts w:eastAsia="Times New Roman"/>
              </w:rPr>
              <w:t xml:space="preserve"> et al., 2019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Increase in water-borne disease burden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0.450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0.0441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Abedin et al., 2019; Hossain &amp; Pal, 2025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Household dependency ratio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0.043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0.0061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Cutter et al., 2003; Hahn et al., 2009</w:t>
            </w:r>
          </w:p>
        </w:tc>
      </w:tr>
      <w:tr w:rsidR="00633228" w:rsidRPr="00EB6373" w:rsidTr="00E35A97">
        <w:tc>
          <w:tcPr>
            <w:tcW w:w="720" w:type="dxa"/>
            <w:vMerge w:val="restart"/>
            <w:textDirection w:val="btLr"/>
            <w:vAlign w:val="center"/>
          </w:tcPr>
          <w:p w:rsidR="00633228" w:rsidRPr="00EB6373" w:rsidRDefault="00633228" w:rsidP="00E35A97">
            <w:pPr>
              <w:spacing w:after="0" w:line="228" w:lineRule="auto"/>
              <w:ind w:left="113" w:right="113"/>
              <w:jc w:val="center"/>
            </w:pPr>
            <w:r w:rsidRPr="00EB6373">
              <w:rPr>
                <w:rFonts w:eastAsia="Times New Roman"/>
              </w:rPr>
              <w:t>Gendered vulnerability</w:t>
            </w: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Unsafe/inaccessible water for women and girls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0.442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0.0423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Esha</w:t>
            </w:r>
            <w:proofErr w:type="spellEnd"/>
            <w:r w:rsidRPr="00EB6373">
              <w:rPr>
                <w:rFonts w:eastAsia="Times New Roman"/>
              </w:rPr>
              <w:t>, 2024; Sultana, 2011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Sanitation: lack of privacy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0.429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0.0530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2023; Sinha et al., 2024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Sanitation: distance at night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0.079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0.0293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2023; </w:t>
            </w:r>
            <w:proofErr w:type="spellStart"/>
            <w:r w:rsidRPr="00EB6373">
              <w:rPr>
                <w:rFonts w:eastAsia="Times New Roman"/>
              </w:rPr>
              <w:t>Djoudi</w:t>
            </w:r>
            <w:proofErr w:type="spellEnd"/>
            <w:r w:rsidRPr="00EB6373">
              <w:rPr>
                <w:rFonts w:eastAsia="Times New Roman"/>
              </w:rPr>
              <w:t xml:space="preserve"> et al., 2016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Sanitation: fear of harassment/safety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0.010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0.0509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2023; Terry, 2009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Sanitation: facility flooded/unusable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0.251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0.0491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2023; </w:t>
            </w:r>
            <w:proofErr w:type="spellStart"/>
            <w:r w:rsidRPr="00EB6373">
              <w:rPr>
                <w:rFonts w:eastAsia="Times New Roman"/>
              </w:rPr>
              <w:t>Esha</w:t>
            </w:r>
            <w:proofErr w:type="spellEnd"/>
            <w:r w:rsidRPr="00EB6373">
              <w:rPr>
                <w:rFonts w:eastAsia="Times New Roman"/>
              </w:rPr>
              <w:t>, 2024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Sanitation: restricted timing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0.183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0.0294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2023; Sultana, 2011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Sanitation: travel far for open defecation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0.170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0.0122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2023; Sinha et al., 2024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Sanitation: lack of water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0.695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0.0741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Esha</w:t>
            </w:r>
            <w:proofErr w:type="spellEnd"/>
            <w:r w:rsidRPr="00EB6373">
              <w:rPr>
                <w:rFonts w:eastAsia="Times New Roman"/>
              </w:rPr>
              <w:t>, 2024; Sinha et al., 2024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Perceived safety risk in cyclone shelters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0.227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0.0296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2023; Bari et al., 2024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Lack of separate lockable sanitation in shelter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0.249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0.0392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2023; Roy et al., 2022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Evacuation: safety/harassment concern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0.034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0.0403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2023; Bari et al., 2024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Evacuation: carrying </w:t>
            </w:r>
            <w:proofErr w:type="spellStart"/>
            <w:r w:rsidRPr="00EB6373">
              <w:rPr>
                <w:rFonts w:eastAsia="Times New Roman"/>
              </w:rPr>
              <w:t>dependants</w:t>
            </w:r>
            <w:proofErr w:type="spellEnd"/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0.233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0.0313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Djoudi</w:t>
            </w:r>
            <w:proofErr w:type="spellEnd"/>
            <w:r w:rsidRPr="00EB6373">
              <w:rPr>
                <w:rFonts w:eastAsia="Times New Roman"/>
              </w:rPr>
              <w:t xml:space="preserve"> et al., 2016; MacGregor, 2009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Evacuation: managing belongings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0.331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0.0425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Denton, 2002; Hossain et al., 2025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Evacuation: appropriate clothing constraint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-0.111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0.0255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2023; Terry, 2009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Evacuation: menstrual-product access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0.104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0.0395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Sinha et al., 2024; </w:t>
            </w: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Evacuation: mobility/disability constraint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0.085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0.0132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Djoudi</w:t>
            </w:r>
            <w:proofErr w:type="spellEnd"/>
            <w:r w:rsidRPr="00EB6373">
              <w:rPr>
                <w:rFonts w:eastAsia="Times New Roman"/>
              </w:rPr>
              <w:t xml:space="preserve"> et al., 2016; </w:t>
            </w:r>
            <w:proofErr w:type="spellStart"/>
            <w:r w:rsidRPr="00EB6373">
              <w:rPr>
                <w:rFonts w:eastAsia="Times New Roman"/>
              </w:rPr>
              <w:t>Kaijser</w:t>
            </w:r>
            <w:proofErr w:type="spellEnd"/>
            <w:r w:rsidRPr="00EB6373">
              <w:rPr>
                <w:rFonts w:eastAsia="Times New Roman"/>
              </w:rPr>
              <w:t xml:space="preserve"> &amp; </w:t>
            </w:r>
            <w:proofErr w:type="spellStart"/>
            <w:r w:rsidRPr="00EB6373">
              <w:rPr>
                <w:rFonts w:eastAsia="Times New Roman"/>
              </w:rPr>
              <w:t>Kronsell</w:t>
            </w:r>
            <w:proofErr w:type="spellEnd"/>
            <w:r w:rsidRPr="00EB6373">
              <w:rPr>
                <w:rFonts w:eastAsia="Times New Roman"/>
              </w:rPr>
              <w:t>, 2014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Evacuation: lack of information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0.614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0.0637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Denton, 2002; </w:t>
            </w:r>
            <w:proofErr w:type="spellStart"/>
            <w:r w:rsidRPr="00EB6373">
              <w:rPr>
                <w:rFonts w:eastAsia="Times New Roman"/>
              </w:rPr>
              <w:t>Haque</w:t>
            </w:r>
            <w:proofErr w:type="spellEnd"/>
            <w:r w:rsidRPr="00EB6373">
              <w:rPr>
                <w:rFonts w:eastAsia="Times New Roman"/>
              </w:rPr>
              <w:t xml:space="preserve"> et al., 2024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Menstrual-hygiene difficulty during disasters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0.093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0.0042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Sinha et al., 2024; Hossain &amp; Pal, 2025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Post-disaster prenatal/postnatal care constraint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-0.008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0.0166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Khan et al., 2011, 2014; Hossain &amp; Pal, 2025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Male-only evacuation/preparedness decision-making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-0.194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0.0458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Kabeer</w:t>
            </w:r>
            <w:proofErr w:type="spellEnd"/>
            <w:r w:rsidRPr="00EB6373">
              <w:rPr>
                <w:rFonts w:eastAsia="Times New Roman"/>
              </w:rPr>
              <w:t>, 1999; Bari et al., 2024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Early-warning inequity within household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0.330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0.0635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Denton, 2002; </w:t>
            </w:r>
            <w:proofErr w:type="spellStart"/>
            <w:r w:rsidRPr="00EB6373">
              <w:rPr>
                <w:rFonts w:eastAsia="Times New Roman"/>
              </w:rPr>
              <w:t>Haque</w:t>
            </w:r>
            <w:proofErr w:type="spellEnd"/>
            <w:r w:rsidRPr="00EB6373">
              <w:rPr>
                <w:rFonts w:eastAsia="Times New Roman"/>
              </w:rPr>
              <w:t xml:space="preserve"> et al., 2024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Women's income disproportionately affected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-0.213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0.0665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Bari et al., 2024; Hossain et al., 2025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Environmental burden: increased water-collection time/distance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0.085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0.0197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Esha</w:t>
            </w:r>
            <w:proofErr w:type="spellEnd"/>
            <w:r w:rsidRPr="00EB6373">
              <w:rPr>
                <w:rFonts w:eastAsia="Times New Roman"/>
              </w:rPr>
              <w:t>, 2024; Sultana, 2011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Environmental burden: health problems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0.201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0.0236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Khan et al., 2011; Hossain &amp; Pal, 2025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Environmental burden: increased domestic workload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0.128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0.0351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MacGregor, 2009; </w:t>
            </w:r>
            <w:proofErr w:type="spellStart"/>
            <w:r w:rsidRPr="00EB6373">
              <w:rPr>
                <w:rFonts w:eastAsia="Times New Roman"/>
              </w:rPr>
              <w:t>Esha</w:t>
            </w:r>
            <w:proofErr w:type="spellEnd"/>
            <w:r w:rsidRPr="00EB6373">
              <w:rPr>
                <w:rFonts w:eastAsia="Times New Roman"/>
              </w:rPr>
              <w:t>, 2024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Environmental burden: reduced homestead/poultry income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0.413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0.0404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Bari et al., 2024; </w:t>
            </w:r>
            <w:proofErr w:type="spellStart"/>
            <w:r w:rsidRPr="00EB6373">
              <w:rPr>
                <w:rFonts w:eastAsia="Times New Roman"/>
              </w:rPr>
              <w:t>Aryal</w:t>
            </w:r>
            <w:proofErr w:type="spellEnd"/>
            <w:r w:rsidRPr="00EB6373">
              <w:rPr>
                <w:rFonts w:eastAsia="Times New Roman"/>
              </w:rPr>
              <w:t xml:space="preserve"> et al., 2020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Environmental burden: hygiene/sanitation difficulty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0.295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0.0196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Sinha et al., 2024; </w:t>
            </w:r>
            <w:proofErr w:type="spellStart"/>
            <w:r w:rsidRPr="00EB6373">
              <w:rPr>
                <w:rFonts w:eastAsia="Times New Roman"/>
              </w:rPr>
              <w:t>Fatema</w:t>
            </w:r>
            <w:proofErr w:type="spellEnd"/>
            <w:r w:rsidRPr="00EB6373">
              <w:rPr>
                <w:rFonts w:eastAsia="Times New Roman"/>
              </w:rPr>
              <w:t xml:space="preserve"> et al., 2023</w:t>
            </w:r>
          </w:p>
        </w:tc>
      </w:tr>
      <w:tr w:rsidR="00633228" w:rsidRPr="00EB6373" w:rsidTr="00E35A97">
        <w:tc>
          <w:tcPr>
            <w:tcW w:w="720" w:type="dxa"/>
            <w:vMerge w:val="restart"/>
            <w:textDirection w:val="btLr"/>
            <w:vAlign w:val="center"/>
          </w:tcPr>
          <w:p w:rsidR="00633228" w:rsidRPr="00EB6373" w:rsidRDefault="00633228" w:rsidP="00E35A97">
            <w:pPr>
              <w:spacing w:after="0" w:line="228" w:lineRule="auto"/>
              <w:ind w:left="113" w:right="113"/>
              <w:jc w:val="center"/>
            </w:pPr>
            <w:r w:rsidRPr="00EB6373">
              <w:rPr>
                <w:rFonts w:eastAsia="Times New Roman"/>
              </w:rPr>
              <w:t>Material capacity</w:t>
            </w:r>
          </w:p>
          <w:p w:rsidR="00633228" w:rsidRPr="00EB6373" w:rsidRDefault="00633228" w:rsidP="00E35A97">
            <w:pPr>
              <w:spacing w:after="0" w:line="228" w:lineRule="auto"/>
              <w:ind w:left="113" w:right="113"/>
              <w:jc w:val="center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Household savings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0.919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0.3360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Filmer</w:t>
            </w:r>
            <w:proofErr w:type="spellEnd"/>
            <w:r w:rsidRPr="00EB6373">
              <w:rPr>
                <w:rFonts w:eastAsia="Times New Roman"/>
              </w:rPr>
              <w:t xml:space="preserve"> &amp; Pritchett, 2001; </w:t>
            </w:r>
            <w:proofErr w:type="spellStart"/>
            <w:r w:rsidRPr="00EB6373">
              <w:rPr>
                <w:rFonts w:eastAsia="Times New Roman"/>
              </w:rPr>
              <w:t>Aryal</w:t>
            </w:r>
            <w:proofErr w:type="spellEnd"/>
            <w:r w:rsidRPr="00EB6373">
              <w:rPr>
                <w:rFonts w:eastAsia="Times New Roman"/>
              </w:rPr>
              <w:t xml:space="preserve"> et al., 2020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Income-source diversification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0.794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0.3536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Alam</w:t>
            </w:r>
            <w:proofErr w:type="spellEnd"/>
            <w:r w:rsidRPr="00EB6373">
              <w:rPr>
                <w:rFonts w:eastAsia="Times New Roman"/>
              </w:rPr>
              <w:t xml:space="preserve"> et al., 2</w:t>
            </w:r>
            <w:r>
              <w:rPr>
                <w:rFonts w:eastAsia="Times New Roman"/>
              </w:rPr>
              <w:t>017</w:t>
            </w:r>
            <w:r w:rsidRPr="00EB6373">
              <w:rPr>
                <w:rFonts w:eastAsia="Times New Roman"/>
              </w:rPr>
              <w:t>; Hasan et al., 2025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Post-disaster self-sufficiency duration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0.556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0.2430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Hahn et al., 2009; </w:t>
            </w:r>
            <w:proofErr w:type="spellStart"/>
            <w:r w:rsidRPr="00EB6373">
              <w:rPr>
                <w:rFonts w:eastAsia="Times New Roman"/>
              </w:rPr>
              <w:t>Alam</w:t>
            </w:r>
            <w:proofErr w:type="spellEnd"/>
            <w:r w:rsidRPr="00EB6373">
              <w:rPr>
                <w:rFonts w:eastAsia="Times New Roman"/>
              </w:rPr>
              <w:t>, 2017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Household educational capital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0.054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0.0036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Vyas &amp; </w:t>
            </w:r>
            <w:proofErr w:type="spellStart"/>
            <w:r w:rsidRPr="00EB6373">
              <w:rPr>
                <w:rFonts w:eastAsia="Times New Roman"/>
              </w:rPr>
              <w:t>Kumaranayake</w:t>
            </w:r>
            <w:proofErr w:type="spellEnd"/>
            <w:r w:rsidRPr="00EB6373">
              <w:rPr>
                <w:rFonts w:eastAsia="Times New Roman"/>
              </w:rPr>
              <w:t>, 2006; Khan et al., 2022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Debt-free disaster recovery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-0.052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0.0638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Alam</w:t>
            </w:r>
            <w:proofErr w:type="spellEnd"/>
            <w:r w:rsidRPr="00EB6373">
              <w:rPr>
                <w:rFonts w:eastAsia="Times New Roman"/>
              </w:rPr>
              <w:t xml:space="preserve"> et al., 2016; Hasan et al., 2025</w:t>
            </w:r>
          </w:p>
        </w:tc>
      </w:tr>
      <w:tr w:rsidR="00633228" w:rsidRPr="00EB6373" w:rsidTr="00E35A97">
        <w:tc>
          <w:tcPr>
            <w:tcW w:w="720" w:type="dxa"/>
            <w:vMerge w:val="restart"/>
            <w:textDirection w:val="btLr"/>
            <w:vAlign w:val="center"/>
          </w:tcPr>
          <w:p w:rsidR="00633228" w:rsidRPr="00EB6373" w:rsidRDefault="00633228" w:rsidP="00E35A97">
            <w:pPr>
              <w:spacing w:after="0" w:line="228" w:lineRule="auto"/>
              <w:ind w:left="113" w:right="113"/>
              <w:jc w:val="center"/>
            </w:pPr>
            <w:r w:rsidRPr="00EB6373">
              <w:rPr>
                <w:rFonts w:eastAsia="Times New Roman"/>
              </w:rPr>
              <w:t>Institutional access</w:t>
            </w:r>
          </w:p>
          <w:p w:rsidR="00633228" w:rsidRPr="00EB6373" w:rsidRDefault="00633228" w:rsidP="00E35A97">
            <w:pPr>
              <w:spacing w:after="0" w:line="228" w:lineRule="auto"/>
              <w:ind w:left="113" w:right="113"/>
              <w:jc w:val="center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Needs of women/vulnerable groups considered in local planning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0.529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0.0844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Roy et al., 2022; Chowdhury et al., 2026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Disaster/climate adaptation training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0.679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0.0974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Aryal</w:t>
            </w:r>
            <w:proofErr w:type="spellEnd"/>
            <w:r w:rsidRPr="00EB6373">
              <w:rPr>
                <w:rFonts w:eastAsia="Times New Roman"/>
              </w:rPr>
              <w:t xml:space="preserve"> et al., 2020; Hasan et al., 2025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UDMC awareness/participation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0.715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0.1197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Khan et al., 2022; </w:t>
            </w:r>
            <w:proofErr w:type="spellStart"/>
            <w:r w:rsidRPr="00EB6373">
              <w:rPr>
                <w:rFonts w:eastAsia="Times New Roman"/>
              </w:rPr>
              <w:t>Haque</w:t>
            </w:r>
            <w:proofErr w:type="spellEnd"/>
            <w:r w:rsidRPr="00EB6373">
              <w:rPr>
                <w:rFonts w:eastAsia="Times New Roman"/>
              </w:rPr>
              <w:t xml:space="preserve"> et al., 2024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Early-warning channel diversity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0.021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0.0279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Haque</w:t>
            </w:r>
            <w:proofErr w:type="spellEnd"/>
            <w:r w:rsidRPr="00EB6373">
              <w:rPr>
                <w:rFonts w:eastAsia="Times New Roman"/>
              </w:rPr>
              <w:t xml:space="preserve"> et al., 2024; Engle, 2011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Early-warning timeliness and clarity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-0.110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0.0352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Haque</w:t>
            </w:r>
            <w:proofErr w:type="spellEnd"/>
            <w:r w:rsidRPr="00EB6373">
              <w:rPr>
                <w:rFonts w:eastAsia="Times New Roman"/>
              </w:rPr>
              <w:t xml:space="preserve"> et al., 2024; Khan et al., 2022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Perceived UDMC inclusiveness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0.064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0.0396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Chowdhury et al., 2026; Islam &amp; Islam, 2026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Perceived fairness/transparency of relief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0.173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0.0301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Alam</w:t>
            </w:r>
            <w:proofErr w:type="spellEnd"/>
            <w:r w:rsidRPr="00EB6373">
              <w:rPr>
                <w:rFonts w:eastAsia="Times New Roman"/>
              </w:rPr>
              <w:t xml:space="preserve"> et al., 2016; Islam &amp; Islam, 2026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Formal safety-net access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0.583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0.0677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Engle, 2011; Khan et al., 2022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Safety-net continuity after disaster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-0.409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0.0744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Engle, 2011; Chowdhury et al., 2026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Female/community-group membership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0.712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0.0937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Khalil et al., 2021; Khan et al., 2022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Community-group support during/after disaster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0.813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0.1401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Khalil et al., 2021; </w:t>
            </w:r>
            <w:proofErr w:type="spellStart"/>
            <w:r w:rsidRPr="00EB6373">
              <w:rPr>
                <w:rFonts w:eastAsia="Times New Roman"/>
              </w:rPr>
              <w:t>Alam</w:t>
            </w:r>
            <w:proofErr w:type="spellEnd"/>
            <w:r w:rsidRPr="00EB6373">
              <w:rPr>
                <w:rFonts w:eastAsia="Times New Roman"/>
              </w:rPr>
              <w:t xml:space="preserve"> et al., 2016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 xml:space="preserve">Direct contact pathway to UDMC/Union </w:t>
            </w:r>
            <w:proofErr w:type="spellStart"/>
            <w:r w:rsidRPr="00EB6373">
              <w:rPr>
                <w:rFonts w:eastAsia="Times New Roman"/>
              </w:rPr>
              <w:t>Parishad</w:t>
            </w:r>
            <w:proofErr w:type="spellEnd"/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0.321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0.0619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proofErr w:type="spellStart"/>
            <w:r w:rsidRPr="00EB6373">
              <w:rPr>
                <w:rFonts w:eastAsia="Times New Roman"/>
              </w:rPr>
              <w:t>Haque</w:t>
            </w:r>
            <w:proofErr w:type="spellEnd"/>
            <w:r w:rsidRPr="00EB6373">
              <w:rPr>
                <w:rFonts w:eastAsia="Times New Roman"/>
              </w:rPr>
              <w:t xml:space="preserve"> et al., 2024; Islam &amp; Islam, 2026</w:t>
            </w:r>
          </w:p>
        </w:tc>
      </w:tr>
      <w:tr w:rsidR="00633228" w:rsidRPr="00EB6373" w:rsidTr="00E35A97">
        <w:tc>
          <w:tcPr>
            <w:tcW w:w="720" w:type="dxa"/>
            <w:vMerge/>
          </w:tcPr>
          <w:p w:rsidR="00633228" w:rsidRPr="00EB6373" w:rsidRDefault="00633228" w:rsidP="00E35A97">
            <w:pPr>
              <w:spacing w:after="0"/>
            </w:pPr>
          </w:p>
        </w:tc>
        <w:tc>
          <w:tcPr>
            <w:tcW w:w="351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Institutional grievance responsiveness</w:t>
            </w:r>
          </w:p>
        </w:tc>
        <w:tc>
          <w:tcPr>
            <w:tcW w:w="990" w:type="dxa"/>
            <w:vAlign w:val="center"/>
          </w:tcPr>
          <w:p w:rsidR="00633228" w:rsidRDefault="00633228" w:rsidP="00E35A97">
            <w:pPr>
              <w:spacing w:after="0" w:line="228" w:lineRule="auto"/>
              <w:jc w:val="center"/>
            </w:pPr>
            <w:r>
              <w:rPr>
                <w:rFonts w:eastAsia="Times New Roman"/>
              </w:rPr>
              <w:t>0.784</w:t>
            </w:r>
          </w:p>
        </w:tc>
        <w:tc>
          <w:tcPr>
            <w:tcW w:w="9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0.1279</w:t>
            </w:r>
          </w:p>
        </w:tc>
        <w:tc>
          <w:tcPr>
            <w:tcW w:w="3600" w:type="dxa"/>
          </w:tcPr>
          <w:p w:rsidR="00633228" w:rsidRPr="00EB6373" w:rsidRDefault="00633228" w:rsidP="00E35A97">
            <w:pPr>
              <w:spacing w:after="0" w:line="228" w:lineRule="auto"/>
            </w:pPr>
            <w:r w:rsidRPr="00EB6373">
              <w:rPr>
                <w:rFonts w:eastAsia="Times New Roman"/>
              </w:rPr>
              <w:t>Chowdhury et al., 2026; Islam &amp; Islam, 2026</w:t>
            </w:r>
          </w:p>
        </w:tc>
      </w:tr>
    </w:tbl>
    <w:p w:rsidR="00633228" w:rsidRDefault="00633228"/>
    <w:p w:rsidR="00633228" w:rsidRDefault="00633228" w:rsidP="00633228"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t>: C</w:t>
      </w:r>
      <w:r w:rsidRPr="007B3592">
        <w:t>haracteristics of surveyed households (N=383)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950"/>
        <w:gridCol w:w="4680"/>
      </w:tblGrid>
      <w:tr w:rsidR="00633228" w:rsidRPr="00852CE2" w:rsidTr="00E35A97">
        <w:trPr>
          <w:cantSplit/>
        </w:trPr>
        <w:tc>
          <w:tcPr>
            <w:tcW w:w="4950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  <w:b/>
              </w:rPr>
              <w:t>Characteristic</w:t>
            </w:r>
          </w:p>
        </w:tc>
        <w:tc>
          <w:tcPr>
            <w:tcW w:w="4680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  <w:b/>
              </w:rPr>
              <w:t>Value</w:t>
            </w:r>
          </w:p>
        </w:tc>
      </w:tr>
      <w:tr w:rsidR="00633228" w:rsidRPr="00852CE2" w:rsidTr="00E35A97">
        <w:trPr>
          <w:cantSplit/>
        </w:trPr>
        <w:tc>
          <w:tcPr>
            <w:tcW w:w="4950" w:type="dxa"/>
          </w:tcPr>
          <w:p w:rsidR="00633228" w:rsidRPr="00852CE2" w:rsidRDefault="00633228" w:rsidP="00E35A97">
            <w:pPr>
              <w:spacing w:after="0"/>
            </w:pPr>
            <w:proofErr w:type="spellStart"/>
            <w:r w:rsidRPr="00852CE2">
              <w:rPr>
                <w:rFonts w:eastAsia="Times New Roman"/>
              </w:rPr>
              <w:t>Dakshin</w:t>
            </w:r>
            <w:proofErr w:type="spellEnd"/>
            <w:r w:rsidRPr="00852CE2">
              <w:rPr>
                <w:rFonts w:eastAsia="Times New Roman"/>
              </w:rPr>
              <w:t xml:space="preserve"> </w:t>
            </w:r>
            <w:proofErr w:type="spellStart"/>
            <w:r w:rsidRPr="00852CE2">
              <w:rPr>
                <w:rFonts w:eastAsia="Times New Roman"/>
              </w:rPr>
              <w:t>Bedkashi</w:t>
            </w:r>
            <w:proofErr w:type="spellEnd"/>
          </w:p>
        </w:tc>
        <w:tc>
          <w:tcPr>
            <w:tcW w:w="4680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149 (38.9%)</w:t>
            </w:r>
          </w:p>
        </w:tc>
      </w:tr>
      <w:tr w:rsidR="00633228" w:rsidRPr="00852CE2" w:rsidTr="00E35A97">
        <w:trPr>
          <w:cantSplit/>
        </w:trPr>
        <w:tc>
          <w:tcPr>
            <w:tcW w:w="4950" w:type="dxa"/>
          </w:tcPr>
          <w:p w:rsidR="00633228" w:rsidRPr="00852CE2" w:rsidRDefault="00633228" w:rsidP="00E35A97">
            <w:pPr>
              <w:spacing w:after="0"/>
            </w:pPr>
            <w:proofErr w:type="spellStart"/>
            <w:r w:rsidRPr="00852CE2">
              <w:rPr>
                <w:rFonts w:eastAsia="Times New Roman"/>
              </w:rPr>
              <w:t>Koyra</w:t>
            </w:r>
            <w:proofErr w:type="spellEnd"/>
            <w:r w:rsidRPr="00852CE2">
              <w:rPr>
                <w:rFonts w:eastAsia="Times New Roman"/>
              </w:rPr>
              <w:t xml:space="preserve"> </w:t>
            </w:r>
            <w:proofErr w:type="spellStart"/>
            <w:r w:rsidRPr="00852CE2">
              <w:rPr>
                <w:rFonts w:eastAsia="Times New Roman"/>
              </w:rPr>
              <w:t>Sader</w:t>
            </w:r>
            <w:proofErr w:type="spellEnd"/>
          </w:p>
        </w:tc>
        <w:tc>
          <w:tcPr>
            <w:tcW w:w="4680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116 (30.3%)</w:t>
            </w:r>
          </w:p>
        </w:tc>
      </w:tr>
      <w:tr w:rsidR="00633228" w:rsidRPr="00852CE2" w:rsidTr="00E35A97">
        <w:trPr>
          <w:cantSplit/>
        </w:trPr>
        <w:tc>
          <w:tcPr>
            <w:tcW w:w="4950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</w:rPr>
              <w:t xml:space="preserve">Uttar </w:t>
            </w:r>
            <w:proofErr w:type="spellStart"/>
            <w:r w:rsidRPr="00852CE2">
              <w:rPr>
                <w:rFonts w:eastAsia="Times New Roman"/>
              </w:rPr>
              <w:t>Bedkashi</w:t>
            </w:r>
            <w:proofErr w:type="spellEnd"/>
          </w:p>
        </w:tc>
        <w:tc>
          <w:tcPr>
            <w:tcW w:w="4680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118 (30.8%)</w:t>
            </w:r>
          </w:p>
        </w:tc>
      </w:tr>
      <w:tr w:rsidR="00633228" w:rsidRPr="00852CE2" w:rsidTr="00E35A97">
        <w:trPr>
          <w:cantSplit/>
        </w:trPr>
        <w:tc>
          <w:tcPr>
            <w:tcW w:w="4950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</w:rPr>
              <w:t>Female respondents</w:t>
            </w:r>
          </w:p>
        </w:tc>
        <w:tc>
          <w:tcPr>
            <w:tcW w:w="4680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315 (82.2%)</w:t>
            </w:r>
          </w:p>
        </w:tc>
      </w:tr>
      <w:tr w:rsidR="00633228" w:rsidRPr="00852CE2" w:rsidTr="00E35A97">
        <w:trPr>
          <w:cantSplit/>
        </w:trPr>
        <w:tc>
          <w:tcPr>
            <w:tcW w:w="4950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</w:rPr>
              <w:t>Mean age</w:t>
            </w:r>
          </w:p>
        </w:tc>
        <w:tc>
          <w:tcPr>
            <w:tcW w:w="4680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38.3 (SD 10.9)</w:t>
            </w:r>
          </w:p>
        </w:tc>
      </w:tr>
      <w:tr w:rsidR="00633228" w:rsidRPr="00852CE2" w:rsidTr="00E35A97">
        <w:trPr>
          <w:cantSplit/>
        </w:trPr>
        <w:tc>
          <w:tcPr>
            <w:tcW w:w="4950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</w:rPr>
              <w:t>Mean household size</w:t>
            </w:r>
          </w:p>
        </w:tc>
        <w:tc>
          <w:tcPr>
            <w:tcW w:w="4680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4.36 (SD 1.65)</w:t>
            </w:r>
          </w:p>
        </w:tc>
      </w:tr>
      <w:tr w:rsidR="00633228" w:rsidRPr="00852CE2" w:rsidTr="00E35A97">
        <w:trPr>
          <w:cantSplit/>
        </w:trPr>
        <w:tc>
          <w:tcPr>
            <w:tcW w:w="4950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</w:rPr>
              <w:t>Climate-sensitive primary livelihood</w:t>
            </w:r>
          </w:p>
        </w:tc>
        <w:tc>
          <w:tcPr>
            <w:tcW w:w="4680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327 (85.4%)</w:t>
            </w:r>
          </w:p>
        </w:tc>
      </w:tr>
      <w:tr w:rsidR="00633228" w:rsidRPr="00852CE2" w:rsidTr="00E35A97">
        <w:trPr>
          <w:cantSplit/>
        </w:trPr>
        <w:tc>
          <w:tcPr>
            <w:tcW w:w="4950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</w:rPr>
              <w:t>No household savings</w:t>
            </w:r>
          </w:p>
        </w:tc>
        <w:tc>
          <w:tcPr>
            <w:tcW w:w="4680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248 (64.8%)</w:t>
            </w:r>
          </w:p>
        </w:tc>
      </w:tr>
      <w:tr w:rsidR="00633228" w:rsidRPr="00852CE2" w:rsidTr="00E35A97">
        <w:trPr>
          <w:cantSplit/>
        </w:trPr>
        <w:tc>
          <w:tcPr>
            <w:tcW w:w="4950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</w:rPr>
              <w:t>Received disaster/adaptation training</w:t>
            </w:r>
          </w:p>
        </w:tc>
        <w:tc>
          <w:tcPr>
            <w:tcW w:w="4680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54 (14.1%)</w:t>
            </w:r>
          </w:p>
        </w:tc>
      </w:tr>
      <w:tr w:rsidR="00633228" w:rsidRPr="00852CE2" w:rsidTr="00E35A97">
        <w:trPr>
          <w:cantSplit/>
        </w:trPr>
        <w:tc>
          <w:tcPr>
            <w:tcW w:w="4950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</w:rPr>
              <w:t>Unaware of UDMC</w:t>
            </w:r>
          </w:p>
        </w:tc>
        <w:tc>
          <w:tcPr>
            <w:tcW w:w="4680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290 (75.7%)</w:t>
            </w:r>
          </w:p>
        </w:tc>
      </w:tr>
    </w:tbl>
    <w:p w:rsidR="00633228" w:rsidRDefault="00633228"/>
    <w:p w:rsidR="00633228" w:rsidRDefault="00633228" w:rsidP="00633228"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t xml:space="preserve">: </w:t>
      </w:r>
      <w:r w:rsidRPr="007D0379">
        <w:t>Household adaptation measures by union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786"/>
        <w:gridCol w:w="1557"/>
        <w:gridCol w:w="1557"/>
        <w:gridCol w:w="1557"/>
        <w:gridCol w:w="1246"/>
      </w:tblGrid>
      <w:tr w:rsidR="00633228" w:rsidRPr="00852CE2" w:rsidTr="00E35A97">
        <w:trPr>
          <w:cantSplit/>
          <w:trHeight w:val="445"/>
          <w:tblHeader/>
        </w:trPr>
        <w:tc>
          <w:tcPr>
            <w:tcW w:w="3786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  <w:b/>
              </w:rPr>
              <w:t>Adaptation measure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proofErr w:type="spellStart"/>
            <w:r w:rsidRPr="00852CE2">
              <w:rPr>
                <w:rFonts w:eastAsia="Times New Roman"/>
                <w:b/>
              </w:rPr>
              <w:t>Dakshin</w:t>
            </w:r>
            <w:proofErr w:type="spellEnd"/>
            <w:r w:rsidRPr="00852CE2">
              <w:rPr>
                <w:rFonts w:eastAsia="Times New Roman"/>
                <w:b/>
              </w:rPr>
              <w:t xml:space="preserve"> </w:t>
            </w:r>
            <w:proofErr w:type="spellStart"/>
            <w:r w:rsidRPr="00852CE2">
              <w:rPr>
                <w:rFonts w:eastAsia="Times New Roman"/>
                <w:b/>
              </w:rPr>
              <w:t>Bedkashi</w:t>
            </w:r>
            <w:proofErr w:type="spellEnd"/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proofErr w:type="spellStart"/>
            <w:r w:rsidRPr="00852CE2">
              <w:rPr>
                <w:rFonts w:eastAsia="Times New Roman"/>
                <w:b/>
              </w:rPr>
              <w:t>Koyra</w:t>
            </w:r>
            <w:proofErr w:type="spellEnd"/>
            <w:r w:rsidRPr="00852CE2">
              <w:rPr>
                <w:rFonts w:eastAsia="Times New Roman"/>
                <w:b/>
              </w:rPr>
              <w:t xml:space="preserve"> </w:t>
            </w:r>
            <w:proofErr w:type="spellStart"/>
            <w:r w:rsidRPr="00852CE2">
              <w:rPr>
                <w:rFonts w:eastAsia="Times New Roman"/>
                <w:b/>
              </w:rPr>
              <w:t>Sader</w:t>
            </w:r>
            <w:proofErr w:type="spellEnd"/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  <w:b/>
              </w:rPr>
              <w:t xml:space="preserve">Uttar </w:t>
            </w:r>
            <w:proofErr w:type="spellStart"/>
            <w:r w:rsidRPr="00852CE2">
              <w:rPr>
                <w:rFonts w:eastAsia="Times New Roman"/>
                <w:b/>
              </w:rPr>
              <w:t>Bedkashi</w:t>
            </w:r>
            <w:proofErr w:type="spellEnd"/>
          </w:p>
        </w:tc>
        <w:tc>
          <w:tcPr>
            <w:tcW w:w="1246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  <w:b/>
              </w:rPr>
              <w:t>Overall</w:t>
            </w:r>
          </w:p>
        </w:tc>
      </w:tr>
      <w:tr w:rsidR="00633228" w:rsidRPr="00852CE2" w:rsidTr="00E35A97">
        <w:trPr>
          <w:cantSplit/>
          <w:trHeight w:val="217"/>
        </w:trPr>
        <w:tc>
          <w:tcPr>
            <w:tcW w:w="3786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</w:rPr>
              <w:t>Raised house plinth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49.7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39.7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22.0</w:t>
            </w:r>
          </w:p>
        </w:tc>
        <w:tc>
          <w:tcPr>
            <w:tcW w:w="1246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38.1</w:t>
            </w:r>
          </w:p>
        </w:tc>
      </w:tr>
      <w:tr w:rsidR="00633228" w:rsidRPr="00852CE2" w:rsidTr="00E35A97">
        <w:trPr>
          <w:cantSplit/>
          <w:trHeight w:val="227"/>
        </w:trPr>
        <w:tc>
          <w:tcPr>
            <w:tcW w:w="3786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</w:rPr>
              <w:t>Homestead gardening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43.0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13.8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13.6</w:t>
            </w:r>
          </w:p>
        </w:tc>
        <w:tc>
          <w:tcPr>
            <w:tcW w:w="1246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25.1</w:t>
            </w:r>
          </w:p>
        </w:tc>
      </w:tr>
      <w:tr w:rsidR="00633228" w:rsidRPr="00852CE2" w:rsidTr="00E35A97">
        <w:trPr>
          <w:cantSplit/>
          <w:trHeight w:val="217"/>
        </w:trPr>
        <w:tc>
          <w:tcPr>
            <w:tcW w:w="3786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</w:rPr>
              <w:t>Salt-tolerant crops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40.9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11.2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22.9</w:t>
            </w:r>
          </w:p>
        </w:tc>
        <w:tc>
          <w:tcPr>
            <w:tcW w:w="1246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26.4</w:t>
            </w:r>
          </w:p>
        </w:tc>
      </w:tr>
      <w:tr w:rsidR="00633228" w:rsidRPr="00852CE2" w:rsidTr="00E35A97">
        <w:trPr>
          <w:cantSplit/>
          <w:trHeight w:val="227"/>
        </w:trPr>
        <w:tc>
          <w:tcPr>
            <w:tcW w:w="3786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</w:rPr>
              <w:t>Storm-resistant housing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8.7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6.9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0.8</w:t>
            </w:r>
          </w:p>
        </w:tc>
        <w:tc>
          <w:tcPr>
            <w:tcW w:w="1246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5.7</w:t>
            </w:r>
          </w:p>
        </w:tc>
      </w:tr>
      <w:tr w:rsidR="00633228" w:rsidRPr="00852CE2" w:rsidTr="00E35A97">
        <w:trPr>
          <w:cantSplit/>
          <w:trHeight w:val="217"/>
        </w:trPr>
        <w:tc>
          <w:tcPr>
            <w:tcW w:w="3786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</w:rPr>
              <w:t>At least one substantive adaptation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91.3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44.0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40.7</w:t>
            </w:r>
          </w:p>
        </w:tc>
        <w:tc>
          <w:tcPr>
            <w:tcW w:w="1246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61.4</w:t>
            </w:r>
          </w:p>
        </w:tc>
      </w:tr>
      <w:tr w:rsidR="00633228" w:rsidRPr="00852CE2" w:rsidTr="00E35A97">
        <w:trPr>
          <w:cantSplit/>
          <w:trHeight w:val="227"/>
        </w:trPr>
        <w:tc>
          <w:tcPr>
            <w:tcW w:w="3786" w:type="dxa"/>
          </w:tcPr>
          <w:p w:rsidR="00633228" w:rsidRPr="00852CE2" w:rsidRDefault="00633228" w:rsidP="00E35A97">
            <w:pPr>
              <w:spacing w:after="0"/>
            </w:pPr>
            <w:r w:rsidRPr="00852CE2">
              <w:rPr>
                <w:rFonts w:eastAsia="Times New Roman"/>
              </w:rPr>
              <w:t>Mean adaptation count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1.42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0.72</w:t>
            </w:r>
          </w:p>
        </w:tc>
        <w:tc>
          <w:tcPr>
            <w:tcW w:w="1557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0.59</w:t>
            </w:r>
          </w:p>
        </w:tc>
        <w:tc>
          <w:tcPr>
            <w:tcW w:w="1246" w:type="dxa"/>
          </w:tcPr>
          <w:p w:rsidR="00633228" w:rsidRPr="00852CE2" w:rsidRDefault="00633228" w:rsidP="00E35A97">
            <w:pPr>
              <w:spacing w:after="0"/>
              <w:jc w:val="center"/>
            </w:pPr>
            <w:r w:rsidRPr="00852CE2">
              <w:rPr>
                <w:rFonts w:eastAsia="Times New Roman"/>
              </w:rPr>
              <w:t>0.95</w:t>
            </w:r>
          </w:p>
        </w:tc>
      </w:tr>
    </w:tbl>
    <w:p w:rsidR="00633228" w:rsidRDefault="00633228"/>
    <w:p w:rsidR="00633228" w:rsidRDefault="00633228" w:rsidP="00633228"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  <w:r>
        <w:t xml:space="preserve">: </w:t>
      </w:r>
      <w:r w:rsidRPr="00184DC7">
        <w:t>PCA suitability, component retention and explained variance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31"/>
        <w:gridCol w:w="1182"/>
        <w:gridCol w:w="813"/>
        <w:gridCol w:w="1284"/>
        <w:gridCol w:w="716"/>
        <w:gridCol w:w="887"/>
        <w:gridCol w:w="968"/>
        <w:gridCol w:w="951"/>
        <w:gridCol w:w="1168"/>
      </w:tblGrid>
      <w:tr w:rsidR="00633228" w:rsidRPr="00DA059C" w:rsidTr="00E35A97">
        <w:trPr>
          <w:trHeight w:val="742"/>
        </w:trPr>
        <w:tc>
          <w:tcPr>
            <w:tcW w:w="1931" w:type="dxa"/>
          </w:tcPr>
          <w:p w:rsidR="00633228" w:rsidRPr="00DA059C" w:rsidRDefault="00633228" w:rsidP="00E35A97">
            <w:pPr>
              <w:spacing w:after="0"/>
            </w:pPr>
            <w:r w:rsidRPr="00DA059C">
              <w:rPr>
                <w:rFonts w:eastAsia="Times New Roman"/>
                <w:b/>
              </w:rPr>
              <w:t>Dimension</w:t>
            </w:r>
          </w:p>
        </w:tc>
        <w:tc>
          <w:tcPr>
            <w:tcW w:w="1182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  <w:b/>
              </w:rPr>
              <w:t>Indicators</w:t>
            </w:r>
          </w:p>
        </w:tc>
        <w:tc>
          <w:tcPr>
            <w:tcW w:w="813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  <w:b/>
              </w:rPr>
              <w:t>KMO</w:t>
            </w:r>
          </w:p>
        </w:tc>
        <w:tc>
          <w:tcPr>
            <w:tcW w:w="1284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  <w:b/>
              </w:rPr>
              <w:t>Bartlett χ²</w:t>
            </w:r>
          </w:p>
        </w:tc>
        <w:tc>
          <w:tcPr>
            <w:tcW w:w="716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proofErr w:type="spellStart"/>
            <w:r w:rsidRPr="00DA059C">
              <w:rPr>
                <w:rFonts w:eastAsia="Times New Roman"/>
                <w:b/>
              </w:rPr>
              <w:t>df</w:t>
            </w:r>
            <w:proofErr w:type="spellEnd"/>
          </w:p>
        </w:tc>
        <w:tc>
          <w:tcPr>
            <w:tcW w:w="887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  <w:b/>
              </w:rPr>
              <w:t>p</w:t>
            </w:r>
          </w:p>
        </w:tc>
        <w:tc>
          <w:tcPr>
            <w:tcW w:w="968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  <w:b/>
              </w:rPr>
              <w:t>Parallel PCs</w:t>
            </w:r>
          </w:p>
        </w:tc>
        <w:tc>
          <w:tcPr>
            <w:tcW w:w="951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  <w:b/>
              </w:rPr>
              <w:t>Kaiser PCs</w:t>
            </w:r>
          </w:p>
        </w:tc>
        <w:tc>
          <w:tcPr>
            <w:tcW w:w="1168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  <w:b/>
              </w:rPr>
              <w:t>Primary retained variance %</w:t>
            </w:r>
          </w:p>
        </w:tc>
      </w:tr>
      <w:tr w:rsidR="00633228" w:rsidRPr="00DA059C" w:rsidTr="00E35A97">
        <w:trPr>
          <w:trHeight w:val="240"/>
        </w:trPr>
        <w:tc>
          <w:tcPr>
            <w:tcW w:w="1931" w:type="dxa"/>
          </w:tcPr>
          <w:p w:rsidR="00633228" w:rsidRPr="00DA059C" w:rsidRDefault="00633228" w:rsidP="00E35A97">
            <w:pPr>
              <w:spacing w:after="0"/>
            </w:pPr>
            <w:r w:rsidRPr="00DA059C">
              <w:rPr>
                <w:rFonts w:eastAsia="Times New Roman"/>
              </w:rPr>
              <w:t>Exposure</w:t>
            </w:r>
          </w:p>
        </w:tc>
        <w:tc>
          <w:tcPr>
            <w:tcW w:w="1182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10</w:t>
            </w:r>
          </w:p>
        </w:tc>
        <w:tc>
          <w:tcPr>
            <w:tcW w:w="813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0.797</w:t>
            </w:r>
          </w:p>
        </w:tc>
        <w:tc>
          <w:tcPr>
            <w:tcW w:w="1284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2153.8</w:t>
            </w:r>
          </w:p>
        </w:tc>
        <w:tc>
          <w:tcPr>
            <w:tcW w:w="716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45</w:t>
            </w:r>
          </w:p>
        </w:tc>
        <w:tc>
          <w:tcPr>
            <w:tcW w:w="887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&lt;0.001</w:t>
            </w:r>
          </w:p>
        </w:tc>
        <w:tc>
          <w:tcPr>
            <w:tcW w:w="968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3</w:t>
            </w:r>
          </w:p>
        </w:tc>
        <w:tc>
          <w:tcPr>
            <w:tcW w:w="951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3</w:t>
            </w:r>
          </w:p>
        </w:tc>
        <w:tc>
          <w:tcPr>
            <w:tcW w:w="1168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75.8</w:t>
            </w:r>
          </w:p>
        </w:tc>
      </w:tr>
      <w:tr w:rsidR="00633228" w:rsidRPr="00DA059C" w:rsidTr="00E35A97">
        <w:trPr>
          <w:trHeight w:val="240"/>
        </w:trPr>
        <w:tc>
          <w:tcPr>
            <w:tcW w:w="1931" w:type="dxa"/>
          </w:tcPr>
          <w:p w:rsidR="00633228" w:rsidRPr="00DA059C" w:rsidRDefault="00633228" w:rsidP="00E35A97">
            <w:pPr>
              <w:spacing w:after="0"/>
            </w:pPr>
            <w:r w:rsidRPr="00DA059C">
              <w:rPr>
                <w:rFonts w:eastAsia="Times New Roman"/>
              </w:rPr>
              <w:t>Sensitivity</w:t>
            </w:r>
          </w:p>
        </w:tc>
        <w:tc>
          <w:tcPr>
            <w:tcW w:w="1182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23</w:t>
            </w:r>
          </w:p>
        </w:tc>
        <w:tc>
          <w:tcPr>
            <w:tcW w:w="813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0.780</w:t>
            </w:r>
          </w:p>
        </w:tc>
        <w:tc>
          <w:tcPr>
            <w:tcW w:w="1284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2773.0</w:t>
            </w:r>
          </w:p>
        </w:tc>
        <w:tc>
          <w:tcPr>
            <w:tcW w:w="716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253</w:t>
            </w:r>
          </w:p>
        </w:tc>
        <w:tc>
          <w:tcPr>
            <w:tcW w:w="887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&lt;0.001</w:t>
            </w:r>
          </w:p>
        </w:tc>
        <w:tc>
          <w:tcPr>
            <w:tcW w:w="968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4</w:t>
            </w:r>
          </w:p>
        </w:tc>
        <w:tc>
          <w:tcPr>
            <w:tcW w:w="951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7</w:t>
            </w:r>
          </w:p>
        </w:tc>
        <w:tc>
          <w:tcPr>
            <w:tcW w:w="1168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48.6</w:t>
            </w:r>
          </w:p>
        </w:tc>
      </w:tr>
      <w:tr w:rsidR="00633228" w:rsidRPr="00DA059C" w:rsidTr="00E35A97">
        <w:trPr>
          <w:trHeight w:val="501"/>
        </w:trPr>
        <w:tc>
          <w:tcPr>
            <w:tcW w:w="1931" w:type="dxa"/>
          </w:tcPr>
          <w:p w:rsidR="00633228" w:rsidRPr="00DA059C" w:rsidRDefault="00633228" w:rsidP="00E35A97">
            <w:pPr>
              <w:spacing w:after="0"/>
            </w:pPr>
            <w:r w:rsidRPr="00DA059C">
              <w:rPr>
                <w:rFonts w:eastAsia="Times New Roman"/>
              </w:rPr>
              <w:t>Gendered vulnerability</w:t>
            </w:r>
          </w:p>
        </w:tc>
        <w:tc>
          <w:tcPr>
            <w:tcW w:w="1182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27</w:t>
            </w:r>
          </w:p>
        </w:tc>
        <w:tc>
          <w:tcPr>
            <w:tcW w:w="813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0.717</w:t>
            </w:r>
          </w:p>
        </w:tc>
        <w:tc>
          <w:tcPr>
            <w:tcW w:w="1284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3140.0</w:t>
            </w:r>
          </w:p>
        </w:tc>
        <w:tc>
          <w:tcPr>
            <w:tcW w:w="716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351</w:t>
            </w:r>
          </w:p>
        </w:tc>
        <w:tc>
          <w:tcPr>
            <w:tcW w:w="887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&lt;0.001</w:t>
            </w:r>
          </w:p>
        </w:tc>
        <w:tc>
          <w:tcPr>
            <w:tcW w:w="968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5</w:t>
            </w:r>
          </w:p>
        </w:tc>
        <w:tc>
          <w:tcPr>
            <w:tcW w:w="951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9</w:t>
            </w:r>
          </w:p>
        </w:tc>
        <w:tc>
          <w:tcPr>
            <w:tcW w:w="1168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47.7</w:t>
            </w:r>
          </w:p>
        </w:tc>
      </w:tr>
      <w:tr w:rsidR="00633228" w:rsidRPr="00DA059C" w:rsidTr="00E35A97">
        <w:trPr>
          <w:trHeight w:val="240"/>
        </w:trPr>
        <w:tc>
          <w:tcPr>
            <w:tcW w:w="1931" w:type="dxa"/>
          </w:tcPr>
          <w:p w:rsidR="00633228" w:rsidRPr="00DA059C" w:rsidRDefault="00633228" w:rsidP="00E35A97">
            <w:pPr>
              <w:spacing w:after="0"/>
            </w:pPr>
            <w:r w:rsidRPr="00DA059C">
              <w:rPr>
                <w:rFonts w:eastAsia="Times New Roman"/>
              </w:rPr>
              <w:t>Material capacity</w:t>
            </w:r>
          </w:p>
        </w:tc>
        <w:tc>
          <w:tcPr>
            <w:tcW w:w="1182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5</w:t>
            </w:r>
          </w:p>
        </w:tc>
        <w:tc>
          <w:tcPr>
            <w:tcW w:w="813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0.570</w:t>
            </w:r>
          </w:p>
        </w:tc>
        <w:tc>
          <w:tcPr>
            <w:tcW w:w="1284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253.7</w:t>
            </w:r>
          </w:p>
        </w:tc>
        <w:tc>
          <w:tcPr>
            <w:tcW w:w="716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10</w:t>
            </w:r>
          </w:p>
        </w:tc>
        <w:tc>
          <w:tcPr>
            <w:tcW w:w="887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&lt;0.001</w:t>
            </w:r>
          </w:p>
        </w:tc>
        <w:tc>
          <w:tcPr>
            <w:tcW w:w="968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1</w:t>
            </w:r>
          </w:p>
        </w:tc>
        <w:tc>
          <w:tcPr>
            <w:tcW w:w="951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2</w:t>
            </w:r>
          </w:p>
        </w:tc>
        <w:tc>
          <w:tcPr>
            <w:tcW w:w="1168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37.8</w:t>
            </w:r>
          </w:p>
        </w:tc>
      </w:tr>
      <w:tr w:rsidR="00633228" w:rsidRPr="00DA059C" w:rsidTr="00E35A97">
        <w:trPr>
          <w:trHeight w:val="240"/>
        </w:trPr>
        <w:tc>
          <w:tcPr>
            <w:tcW w:w="1931" w:type="dxa"/>
          </w:tcPr>
          <w:p w:rsidR="00633228" w:rsidRPr="00DA059C" w:rsidRDefault="00633228" w:rsidP="00E35A97">
            <w:pPr>
              <w:spacing w:after="0"/>
            </w:pPr>
            <w:r w:rsidRPr="00DA059C">
              <w:rPr>
                <w:rFonts w:eastAsia="Times New Roman"/>
              </w:rPr>
              <w:t>Institutional access</w:t>
            </w:r>
          </w:p>
        </w:tc>
        <w:tc>
          <w:tcPr>
            <w:tcW w:w="1182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13</w:t>
            </w:r>
          </w:p>
        </w:tc>
        <w:tc>
          <w:tcPr>
            <w:tcW w:w="813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0.774</w:t>
            </w:r>
          </w:p>
        </w:tc>
        <w:tc>
          <w:tcPr>
            <w:tcW w:w="1284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1353.4</w:t>
            </w:r>
          </w:p>
        </w:tc>
        <w:tc>
          <w:tcPr>
            <w:tcW w:w="716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78</w:t>
            </w:r>
          </w:p>
        </w:tc>
        <w:tc>
          <w:tcPr>
            <w:tcW w:w="887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&lt;0.001</w:t>
            </w:r>
          </w:p>
        </w:tc>
        <w:tc>
          <w:tcPr>
            <w:tcW w:w="968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3</w:t>
            </w:r>
          </w:p>
        </w:tc>
        <w:tc>
          <w:tcPr>
            <w:tcW w:w="951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4</w:t>
            </w:r>
          </w:p>
        </w:tc>
        <w:tc>
          <w:tcPr>
            <w:tcW w:w="1168" w:type="dxa"/>
            <w:vAlign w:val="center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rFonts w:eastAsia="Times New Roman"/>
              </w:rPr>
              <w:t>52.2</w:t>
            </w:r>
          </w:p>
        </w:tc>
      </w:tr>
    </w:tbl>
    <w:p w:rsidR="00633228" w:rsidRDefault="00633228"/>
    <w:p w:rsidR="00633228" w:rsidRDefault="00633228" w:rsidP="00633228"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  <w:r>
        <w:t xml:space="preserve">: </w:t>
      </w:r>
      <w:r w:rsidRPr="00184262">
        <w:t>Eigenvalues and variance explained by principal components retained by parallel analysis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850"/>
        <w:gridCol w:w="1660"/>
        <w:gridCol w:w="2256"/>
        <w:gridCol w:w="1958"/>
        <w:gridCol w:w="1958"/>
      </w:tblGrid>
      <w:tr w:rsidR="00633228" w:rsidRPr="00DA059C" w:rsidTr="00E35A97">
        <w:tc>
          <w:tcPr>
            <w:tcW w:w="1850" w:type="dxa"/>
          </w:tcPr>
          <w:p w:rsidR="00633228" w:rsidRPr="00DA059C" w:rsidRDefault="00633228" w:rsidP="00E35A97">
            <w:pPr>
              <w:spacing w:after="0"/>
            </w:pPr>
            <w:r w:rsidRPr="00DA059C">
              <w:rPr>
                <w:b/>
              </w:rPr>
              <w:lastRenderedPageBreak/>
              <w:t>Dimension</w:t>
            </w: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b/>
              </w:rPr>
              <w:t>PC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b/>
              </w:rPr>
              <w:t>Eigenvalue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b/>
              </w:rPr>
              <w:t>Variance %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rPr>
                <w:b/>
              </w:rPr>
              <w:t>Cumulative %</w:t>
            </w:r>
          </w:p>
        </w:tc>
      </w:tr>
      <w:tr w:rsidR="00633228" w:rsidRPr="00DA059C" w:rsidTr="00E35A97">
        <w:tc>
          <w:tcPr>
            <w:tcW w:w="1850" w:type="dxa"/>
            <w:vMerge w:val="restart"/>
          </w:tcPr>
          <w:p w:rsidR="00633228" w:rsidRPr="00DA059C" w:rsidRDefault="00633228" w:rsidP="00E35A97">
            <w:pPr>
              <w:spacing w:after="0"/>
            </w:pPr>
            <w:r w:rsidRPr="00DA059C">
              <w:t>Exposure</w:t>
            </w:r>
          </w:p>
          <w:p w:rsidR="00633228" w:rsidRPr="00DA059C" w:rsidRDefault="00633228" w:rsidP="00E35A97">
            <w:pPr>
              <w:spacing w:after="0"/>
            </w:pP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4.049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40.38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40.38</w:t>
            </w:r>
          </w:p>
        </w:tc>
      </w:tr>
      <w:tr w:rsidR="00633228" w:rsidRPr="00DA059C" w:rsidTr="00E35A97">
        <w:tc>
          <w:tcPr>
            <w:tcW w:w="1850" w:type="dxa"/>
            <w:vMerge/>
          </w:tcPr>
          <w:p w:rsidR="00633228" w:rsidRPr="00DA059C" w:rsidRDefault="00633228" w:rsidP="00E35A97">
            <w:pPr>
              <w:spacing w:after="0"/>
            </w:pP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2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2.193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21.87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62.25</w:t>
            </w:r>
          </w:p>
        </w:tc>
      </w:tr>
      <w:tr w:rsidR="00633228" w:rsidRPr="00DA059C" w:rsidTr="00E35A97">
        <w:tc>
          <w:tcPr>
            <w:tcW w:w="1850" w:type="dxa"/>
            <w:vMerge/>
          </w:tcPr>
          <w:p w:rsidR="00633228" w:rsidRPr="00DA059C" w:rsidRDefault="00633228" w:rsidP="00E35A97">
            <w:pPr>
              <w:spacing w:after="0"/>
            </w:pP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3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1.355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13.51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75.76</w:t>
            </w:r>
          </w:p>
        </w:tc>
      </w:tr>
      <w:tr w:rsidR="00633228" w:rsidRPr="00DA059C" w:rsidTr="00E35A97">
        <w:tc>
          <w:tcPr>
            <w:tcW w:w="1850" w:type="dxa"/>
            <w:vMerge w:val="restart"/>
          </w:tcPr>
          <w:p w:rsidR="00633228" w:rsidRPr="00DA059C" w:rsidRDefault="00633228" w:rsidP="00E35A97">
            <w:pPr>
              <w:spacing w:after="0"/>
            </w:pPr>
            <w:r w:rsidRPr="00DA059C">
              <w:t>Sensitivity</w:t>
            </w:r>
          </w:p>
          <w:p w:rsidR="00633228" w:rsidRPr="00DA059C" w:rsidRDefault="00633228" w:rsidP="00E35A97">
            <w:pPr>
              <w:spacing w:after="0"/>
            </w:pP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4.093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17.75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17.75</w:t>
            </w:r>
          </w:p>
        </w:tc>
      </w:tr>
      <w:tr w:rsidR="00633228" w:rsidRPr="00DA059C" w:rsidTr="00E35A97">
        <w:tc>
          <w:tcPr>
            <w:tcW w:w="1850" w:type="dxa"/>
            <w:vMerge/>
          </w:tcPr>
          <w:p w:rsidR="00633228" w:rsidRPr="00DA059C" w:rsidRDefault="00633228" w:rsidP="00E35A97">
            <w:pPr>
              <w:spacing w:after="0"/>
            </w:pP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2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3.499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15.17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32.92</w:t>
            </w:r>
          </w:p>
        </w:tc>
      </w:tr>
      <w:tr w:rsidR="00633228" w:rsidRPr="00DA059C" w:rsidTr="00E35A97">
        <w:tc>
          <w:tcPr>
            <w:tcW w:w="1850" w:type="dxa"/>
            <w:vMerge/>
          </w:tcPr>
          <w:p w:rsidR="00633228" w:rsidRPr="00DA059C" w:rsidRDefault="00633228" w:rsidP="00E35A97">
            <w:pPr>
              <w:spacing w:after="0"/>
            </w:pP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3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2.133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9.25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42.17</w:t>
            </w:r>
          </w:p>
        </w:tc>
      </w:tr>
      <w:tr w:rsidR="00633228" w:rsidRPr="00DA059C" w:rsidTr="00E35A97">
        <w:tc>
          <w:tcPr>
            <w:tcW w:w="1850" w:type="dxa"/>
            <w:vMerge/>
          </w:tcPr>
          <w:p w:rsidR="00633228" w:rsidRPr="00DA059C" w:rsidRDefault="00633228" w:rsidP="00E35A97">
            <w:pPr>
              <w:spacing w:after="0"/>
            </w:pP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4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1.472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6.39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48.56</w:t>
            </w:r>
          </w:p>
        </w:tc>
      </w:tr>
      <w:tr w:rsidR="00633228" w:rsidRPr="00DA059C" w:rsidTr="00E35A97">
        <w:tc>
          <w:tcPr>
            <w:tcW w:w="1850" w:type="dxa"/>
            <w:vMerge w:val="restart"/>
          </w:tcPr>
          <w:p w:rsidR="00633228" w:rsidRPr="00DA059C" w:rsidRDefault="00633228" w:rsidP="00E35A97">
            <w:pPr>
              <w:spacing w:after="0"/>
            </w:pPr>
            <w:r w:rsidRPr="00DA059C">
              <w:t>Gendered vulnerability</w:t>
            </w:r>
          </w:p>
          <w:p w:rsidR="00633228" w:rsidRPr="00DA059C" w:rsidRDefault="00633228" w:rsidP="00E35A97">
            <w:pPr>
              <w:spacing w:after="0"/>
            </w:pP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3.699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13.66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13.66</w:t>
            </w:r>
          </w:p>
        </w:tc>
      </w:tr>
      <w:tr w:rsidR="00633228" w:rsidRPr="00DA059C" w:rsidTr="00E35A97">
        <w:tc>
          <w:tcPr>
            <w:tcW w:w="1850" w:type="dxa"/>
            <w:vMerge/>
          </w:tcPr>
          <w:p w:rsidR="00633228" w:rsidRPr="00DA059C" w:rsidRDefault="00633228" w:rsidP="00E35A97">
            <w:pPr>
              <w:spacing w:after="0"/>
            </w:pP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2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3.463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12.79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26.46</w:t>
            </w:r>
          </w:p>
        </w:tc>
      </w:tr>
      <w:tr w:rsidR="00633228" w:rsidRPr="00DA059C" w:rsidTr="00E35A97">
        <w:tc>
          <w:tcPr>
            <w:tcW w:w="1850" w:type="dxa"/>
            <w:vMerge/>
          </w:tcPr>
          <w:p w:rsidR="00633228" w:rsidRPr="00DA059C" w:rsidRDefault="00633228" w:rsidP="00E35A97">
            <w:pPr>
              <w:spacing w:after="0"/>
            </w:pP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3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2.843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10.50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36.96</w:t>
            </w:r>
          </w:p>
        </w:tc>
      </w:tr>
      <w:tr w:rsidR="00633228" w:rsidRPr="00DA059C" w:rsidTr="00E35A97">
        <w:tc>
          <w:tcPr>
            <w:tcW w:w="1850" w:type="dxa"/>
            <w:vMerge/>
          </w:tcPr>
          <w:p w:rsidR="00633228" w:rsidRPr="00DA059C" w:rsidRDefault="00633228" w:rsidP="00E35A97">
            <w:pPr>
              <w:spacing w:after="0"/>
            </w:pP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4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1.536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5.67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42.64</w:t>
            </w:r>
          </w:p>
        </w:tc>
      </w:tr>
      <w:tr w:rsidR="00633228" w:rsidRPr="00DA059C" w:rsidTr="00E35A97">
        <w:tc>
          <w:tcPr>
            <w:tcW w:w="1850" w:type="dxa"/>
            <w:vMerge/>
          </w:tcPr>
          <w:p w:rsidR="00633228" w:rsidRPr="00DA059C" w:rsidRDefault="00633228" w:rsidP="00E35A97">
            <w:pPr>
              <w:spacing w:after="0"/>
            </w:pP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5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1.384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5.11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47.75</w:t>
            </w:r>
          </w:p>
        </w:tc>
      </w:tr>
      <w:tr w:rsidR="00633228" w:rsidRPr="00DA059C" w:rsidTr="00E35A97">
        <w:tc>
          <w:tcPr>
            <w:tcW w:w="1850" w:type="dxa"/>
          </w:tcPr>
          <w:p w:rsidR="00633228" w:rsidRPr="00DA059C" w:rsidRDefault="00633228" w:rsidP="00E35A97">
            <w:pPr>
              <w:spacing w:after="0"/>
            </w:pPr>
            <w:r w:rsidRPr="00DA059C">
              <w:t>Material capacity</w:t>
            </w: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1.895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37.80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37.80</w:t>
            </w:r>
          </w:p>
        </w:tc>
      </w:tr>
      <w:tr w:rsidR="00633228" w:rsidRPr="00DA059C" w:rsidTr="00E35A97">
        <w:tc>
          <w:tcPr>
            <w:tcW w:w="1850" w:type="dxa"/>
            <w:vMerge w:val="restart"/>
          </w:tcPr>
          <w:p w:rsidR="00633228" w:rsidRPr="00DA059C" w:rsidRDefault="00633228" w:rsidP="00E35A97">
            <w:pPr>
              <w:spacing w:after="0"/>
            </w:pPr>
            <w:r w:rsidRPr="00DA059C">
              <w:t>Institutional access</w:t>
            </w:r>
          </w:p>
          <w:p w:rsidR="00633228" w:rsidRPr="00DA059C" w:rsidRDefault="00633228" w:rsidP="00E35A97">
            <w:pPr>
              <w:spacing w:after="0"/>
            </w:pP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3.946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30.27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30.27</w:t>
            </w:r>
          </w:p>
        </w:tc>
      </w:tr>
      <w:tr w:rsidR="00633228" w:rsidRPr="00DA059C" w:rsidTr="00E35A97">
        <w:tc>
          <w:tcPr>
            <w:tcW w:w="1850" w:type="dxa"/>
            <w:vMerge/>
          </w:tcPr>
          <w:p w:rsidR="00633228" w:rsidRPr="00DA059C" w:rsidRDefault="00633228" w:rsidP="00E35A97">
            <w:pPr>
              <w:spacing w:after="0"/>
            </w:pP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2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1.467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11.26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41.53</w:t>
            </w:r>
          </w:p>
        </w:tc>
      </w:tr>
      <w:tr w:rsidR="00633228" w:rsidRPr="00DA059C" w:rsidTr="00E35A97">
        <w:tc>
          <w:tcPr>
            <w:tcW w:w="1850" w:type="dxa"/>
            <w:vMerge/>
          </w:tcPr>
          <w:p w:rsidR="00633228" w:rsidRPr="00DA059C" w:rsidRDefault="00633228" w:rsidP="00E35A97">
            <w:pPr>
              <w:spacing w:after="0"/>
            </w:pPr>
          </w:p>
        </w:tc>
        <w:tc>
          <w:tcPr>
            <w:tcW w:w="1660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3</w:t>
            </w:r>
          </w:p>
        </w:tc>
        <w:tc>
          <w:tcPr>
            <w:tcW w:w="2256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1.384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10.62</w:t>
            </w:r>
          </w:p>
        </w:tc>
        <w:tc>
          <w:tcPr>
            <w:tcW w:w="1958" w:type="dxa"/>
          </w:tcPr>
          <w:p w:rsidR="00633228" w:rsidRPr="00DA059C" w:rsidRDefault="00633228" w:rsidP="00E35A97">
            <w:pPr>
              <w:spacing w:after="0"/>
              <w:jc w:val="center"/>
            </w:pPr>
            <w:r w:rsidRPr="00DA059C">
              <w:t>52.15</w:t>
            </w:r>
          </w:p>
        </w:tc>
      </w:tr>
    </w:tbl>
    <w:p w:rsidR="00633228" w:rsidRDefault="00633228"/>
    <w:p w:rsidR="00633228" w:rsidRDefault="00633228" w:rsidP="00633228"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  <w:r>
        <w:t xml:space="preserve">: </w:t>
      </w:r>
      <w:r w:rsidRPr="004D23A9">
        <w:t>Interpretation of retained principal components based on dominant loadings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49"/>
        <w:gridCol w:w="1317"/>
        <w:gridCol w:w="7234"/>
      </w:tblGrid>
      <w:tr w:rsidR="00633228" w:rsidRPr="000518C4" w:rsidTr="00E35A97">
        <w:tc>
          <w:tcPr>
            <w:tcW w:w="1349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b/>
              </w:rPr>
              <w:t>Dimension</w:t>
            </w: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b/>
              </w:rPr>
              <w:t>Component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b/>
              </w:rPr>
              <w:t xml:space="preserve">Largest absolute loadings </w:t>
            </w:r>
          </w:p>
        </w:tc>
      </w:tr>
      <w:tr w:rsidR="00633228" w:rsidRPr="000518C4" w:rsidTr="00E35A97">
        <w:tc>
          <w:tcPr>
            <w:tcW w:w="1349" w:type="dxa"/>
            <w:vMerge w:val="restart"/>
          </w:tcPr>
          <w:p w:rsidR="00633228" w:rsidRPr="000518C4" w:rsidRDefault="00633228" w:rsidP="00E35A97">
            <w:pPr>
              <w:spacing w:after="0"/>
            </w:pPr>
            <w:r w:rsidRPr="000518C4">
              <w:t>Exposure</w:t>
            </w:r>
          </w:p>
          <w:p w:rsidR="00633228" w:rsidRPr="000518C4" w:rsidRDefault="00633228" w:rsidP="00E35A97">
            <w:pPr>
              <w:spacing w:after="0"/>
            </w:pP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PC1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>Cyclone/storm surge (.866); duration (.842); thunderstorms (−.837); peak impact (.720)</w:t>
            </w:r>
          </w:p>
        </w:tc>
      </w:tr>
      <w:tr w:rsidR="00633228" w:rsidRPr="000518C4" w:rsidTr="00E35A97">
        <w:tc>
          <w:tcPr>
            <w:tcW w:w="1349" w:type="dxa"/>
            <w:vMerge/>
          </w:tcPr>
          <w:p w:rsidR="00633228" w:rsidRPr="000518C4" w:rsidRDefault="00633228" w:rsidP="00E35A97">
            <w:pPr>
              <w:spacing w:after="0"/>
            </w:pP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PC2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>Waterlogging (.824); flooding (.807); salinity (.614)</w:t>
            </w:r>
          </w:p>
        </w:tc>
      </w:tr>
      <w:tr w:rsidR="00633228" w:rsidRPr="000518C4" w:rsidTr="00E35A97">
        <w:tc>
          <w:tcPr>
            <w:tcW w:w="1349" w:type="dxa"/>
            <w:vMerge/>
          </w:tcPr>
          <w:p w:rsidR="00633228" w:rsidRPr="000518C4" w:rsidRDefault="00633228" w:rsidP="00E35A97">
            <w:pPr>
              <w:spacing w:after="0"/>
            </w:pP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PC3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>Heat stress (.654); erosion (.590); perceived worsening (.403)</w:t>
            </w:r>
          </w:p>
        </w:tc>
      </w:tr>
      <w:tr w:rsidR="00633228" w:rsidRPr="000518C4" w:rsidTr="00E35A97">
        <w:tc>
          <w:tcPr>
            <w:tcW w:w="1349" w:type="dxa"/>
            <w:vMerge w:val="restart"/>
          </w:tcPr>
          <w:p w:rsidR="00633228" w:rsidRPr="000518C4" w:rsidRDefault="00633228" w:rsidP="00E35A97">
            <w:pPr>
              <w:spacing w:after="0"/>
            </w:pPr>
            <w:r w:rsidRPr="000518C4">
              <w:t>Sensitivity</w:t>
            </w:r>
          </w:p>
          <w:p w:rsidR="00633228" w:rsidRPr="000518C4" w:rsidRDefault="00633228" w:rsidP="00E35A97">
            <w:pPr>
              <w:spacing w:after="0"/>
            </w:pP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PC1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>Roof fragility (.784); damage frequency (−.698); toilet vulnerability (.673); damage severity (−.612)</w:t>
            </w:r>
          </w:p>
        </w:tc>
      </w:tr>
      <w:tr w:rsidR="00633228" w:rsidRPr="000518C4" w:rsidTr="00E35A97">
        <w:tc>
          <w:tcPr>
            <w:tcW w:w="1349" w:type="dxa"/>
            <w:vMerge/>
          </w:tcPr>
          <w:p w:rsidR="00633228" w:rsidRPr="000518C4" w:rsidRDefault="00633228" w:rsidP="00E35A97">
            <w:pPr>
              <w:spacing w:after="0"/>
            </w:pP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PC2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>Water-source damage (.761); embankment condition (.730); salinity (.728); road impassability (.725)</w:t>
            </w:r>
          </w:p>
        </w:tc>
      </w:tr>
      <w:tr w:rsidR="00633228" w:rsidRPr="000518C4" w:rsidTr="00E35A97">
        <w:tc>
          <w:tcPr>
            <w:tcW w:w="1349" w:type="dxa"/>
            <w:vMerge/>
          </w:tcPr>
          <w:p w:rsidR="00633228" w:rsidRPr="000518C4" w:rsidRDefault="00633228" w:rsidP="00E35A97">
            <w:pPr>
              <w:spacing w:after="0"/>
            </w:pP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PC3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>Shelter travel (.566); chronic illness/disability (.459); productivity decline (.456)</w:t>
            </w:r>
          </w:p>
        </w:tc>
      </w:tr>
      <w:tr w:rsidR="00633228" w:rsidRPr="000518C4" w:rsidTr="00E35A97">
        <w:tc>
          <w:tcPr>
            <w:tcW w:w="1349" w:type="dxa"/>
            <w:vMerge/>
          </w:tcPr>
          <w:p w:rsidR="00633228" w:rsidRPr="000518C4" w:rsidRDefault="00633228" w:rsidP="00E35A97">
            <w:pPr>
              <w:spacing w:after="0"/>
            </w:pP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PC4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 xml:space="preserve">Unsafe drinking water (.559); toilet </w:t>
            </w:r>
            <w:proofErr w:type="spellStart"/>
            <w:r w:rsidRPr="000518C4">
              <w:t>unusability</w:t>
            </w:r>
            <w:proofErr w:type="spellEnd"/>
            <w:r w:rsidRPr="000518C4">
              <w:t xml:space="preserve"> (−.553); embankment failure (−.419)</w:t>
            </w:r>
          </w:p>
        </w:tc>
      </w:tr>
      <w:tr w:rsidR="00633228" w:rsidRPr="000518C4" w:rsidTr="00E35A97">
        <w:tc>
          <w:tcPr>
            <w:tcW w:w="1349" w:type="dxa"/>
            <w:vMerge w:val="restart"/>
          </w:tcPr>
          <w:p w:rsidR="00633228" w:rsidRPr="000518C4" w:rsidRDefault="00633228" w:rsidP="00E35A97">
            <w:pPr>
              <w:spacing w:after="0"/>
            </w:pPr>
            <w:r w:rsidRPr="000518C4">
              <w:t>Gendered vulnerability</w:t>
            </w:r>
          </w:p>
          <w:p w:rsidR="00633228" w:rsidRPr="000518C4" w:rsidRDefault="00633228" w:rsidP="00E35A97">
            <w:pPr>
              <w:spacing w:after="0"/>
            </w:pP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PC1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>Lack of information (.713); sanitation water (.710); women’s income (−.704); warning inequity (.632)</w:t>
            </w:r>
          </w:p>
        </w:tc>
      </w:tr>
      <w:tr w:rsidR="00633228" w:rsidRPr="000518C4" w:rsidTr="00E35A97">
        <w:tc>
          <w:tcPr>
            <w:tcW w:w="1349" w:type="dxa"/>
            <w:vMerge/>
          </w:tcPr>
          <w:p w:rsidR="00633228" w:rsidRPr="000518C4" w:rsidRDefault="00633228" w:rsidP="00E35A97">
            <w:pPr>
              <w:spacing w:after="0"/>
            </w:pP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PC2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>Sanitation flooded (.695); harassment (−.559); male-only decision (−.557); evacuation safety (−.554)</w:t>
            </w:r>
          </w:p>
        </w:tc>
      </w:tr>
      <w:tr w:rsidR="00633228" w:rsidRPr="000518C4" w:rsidTr="00E35A97">
        <w:tc>
          <w:tcPr>
            <w:tcW w:w="1349" w:type="dxa"/>
            <w:vMerge/>
          </w:tcPr>
          <w:p w:rsidR="00633228" w:rsidRPr="000518C4" w:rsidRDefault="00633228" w:rsidP="00E35A97">
            <w:pPr>
              <w:spacing w:after="0"/>
            </w:pP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PC3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>Managing belongings (.597); restricted sanitation timing (.595); domestic workload (.547)</w:t>
            </w:r>
          </w:p>
        </w:tc>
      </w:tr>
      <w:tr w:rsidR="00633228" w:rsidRPr="000518C4" w:rsidTr="00E35A97">
        <w:tc>
          <w:tcPr>
            <w:tcW w:w="1349" w:type="dxa"/>
            <w:vMerge/>
          </w:tcPr>
          <w:p w:rsidR="00633228" w:rsidRPr="000518C4" w:rsidRDefault="00633228" w:rsidP="00E35A97">
            <w:pPr>
              <w:spacing w:after="0"/>
            </w:pP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PC4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 xml:space="preserve">Water-collection burden (.540); evacuation safety (.443); carrying </w:t>
            </w:r>
            <w:proofErr w:type="spellStart"/>
            <w:r w:rsidRPr="000518C4">
              <w:t>dependants</w:t>
            </w:r>
            <w:proofErr w:type="spellEnd"/>
            <w:r w:rsidRPr="000518C4">
              <w:t xml:space="preserve"> (−.345)</w:t>
            </w:r>
          </w:p>
        </w:tc>
      </w:tr>
      <w:tr w:rsidR="00633228" w:rsidRPr="000518C4" w:rsidTr="00E35A97">
        <w:tc>
          <w:tcPr>
            <w:tcW w:w="1349" w:type="dxa"/>
            <w:vMerge/>
          </w:tcPr>
          <w:p w:rsidR="00633228" w:rsidRPr="000518C4" w:rsidRDefault="00633228" w:rsidP="00E35A97">
            <w:pPr>
              <w:spacing w:after="0"/>
            </w:pP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PC5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>Sanitation distance at night (.758); travel for open defecation (.459)</w:t>
            </w:r>
          </w:p>
        </w:tc>
      </w:tr>
      <w:tr w:rsidR="00633228" w:rsidRPr="000518C4" w:rsidTr="00E35A97">
        <w:tc>
          <w:tcPr>
            <w:tcW w:w="1349" w:type="dxa"/>
          </w:tcPr>
          <w:p w:rsidR="00633228" w:rsidRPr="000518C4" w:rsidRDefault="00633228" w:rsidP="00E35A97">
            <w:pPr>
              <w:spacing w:after="0"/>
            </w:pPr>
            <w:r w:rsidRPr="000518C4">
              <w:t>Material capacity</w:t>
            </w: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PC1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>Income diversification (.819); savings (.798); self-sufficiency (.679)</w:t>
            </w:r>
          </w:p>
        </w:tc>
      </w:tr>
      <w:tr w:rsidR="00633228" w:rsidRPr="000518C4" w:rsidTr="00E35A97">
        <w:tc>
          <w:tcPr>
            <w:tcW w:w="1349" w:type="dxa"/>
            <w:vMerge w:val="restart"/>
          </w:tcPr>
          <w:p w:rsidR="00633228" w:rsidRPr="000518C4" w:rsidRDefault="00633228" w:rsidP="00E35A97">
            <w:pPr>
              <w:spacing w:after="0"/>
            </w:pPr>
            <w:r w:rsidRPr="000518C4">
              <w:t>Institutional access</w:t>
            </w:r>
          </w:p>
          <w:p w:rsidR="00633228" w:rsidRPr="000518C4" w:rsidRDefault="00633228" w:rsidP="00E35A97">
            <w:pPr>
              <w:spacing w:after="0"/>
            </w:pP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PC1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>Group support (.829); grievance responsiveness (.790); UDMC awareness (.770); training (.695)</w:t>
            </w:r>
          </w:p>
        </w:tc>
      </w:tr>
      <w:tr w:rsidR="00633228" w:rsidRPr="000518C4" w:rsidTr="00E35A97">
        <w:tc>
          <w:tcPr>
            <w:tcW w:w="1349" w:type="dxa"/>
            <w:vMerge/>
          </w:tcPr>
          <w:p w:rsidR="00633228" w:rsidRPr="000518C4" w:rsidRDefault="00633228" w:rsidP="00E35A97">
            <w:pPr>
              <w:spacing w:after="0"/>
            </w:pP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PC2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>UDMC inclusiveness (.706); warning-channel diversity (−.581); relief fairness (.494)</w:t>
            </w:r>
          </w:p>
        </w:tc>
      </w:tr>
      <w:tr w:rsidR="00633228" w:rsidRPr="000518C4" w:rsidTr="00E35A97">
        <w:tc>
          <w:tcPr>
            <w:tcW w:w="1349" w:type="dxa"/>
            <w:vMerge/>
          </w:tcPr>
          <w:p w:rsidR="00633228" w:rsidRPr="000518C4" w:rsidRDefault="00633228" w:rsidP="00E35A97">
            <w:pPr>
              <w:spacing w:after="0"/>
            </w:pPr>
          </w:p>
        </w:tc>
        <w:tc>
          <w:tcPr>
            <w:tcW w:w="1317" w:type="dxa"/>
          </w:tcPr>
          <w:p w:rsidR="00633228" w:rsidRPr="000518C4" w:rsidRDefault="00633228" w:rsidP="00E35A97">
            <w:pPr>
              <w:spacing w:after="0"/>
            </w:pPr>
            <w:r w:rsidRPr="000518C4">
              <w:t>PC3</w:t>
            </w:r>
          </w:p>
        </w:tc>
        <w:tc>
          <w:tcPr>
            <w:tcW w:w="7234" w:type="dxa"/>
          </w:tcPr>
          <w:p w:rsidR="00633228" w:rsidRPr="000518C4" w:rsidRDefault="00633228" w:rsidP="00E35A97">
            <w:pPr>
              <w:spacing w:after="0"/>
            </w:pPr>
            <w:r w:rsidRPr="000518C4">
              <w:t>Direct contact pathway (.743); needs consideration (−.576); warning clarity (.521)</w:t>
            </w:r>
          </w:p>
        </w:tc>
      </w:tr>
    </w:tbl>
    <w:p w:rsidR="00633228" w:rsidRDefault="00633228"/>
    <w:p w:rsidR="00633228" w:rsidRDefault="00633228" w:rsidP="00633228">
      <w:r>
        <w:lastRenderedPageBreak/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  <w:r>
        <w:t xml:space="preserve">: </w:t>
      </w:r>
      <w:r w:rsidRPr="00263C7A">
        <w:t>PCA-weighted analytical dimensions and adaptation by union</w:t>
      </w:r>
    </w:p>
    <w:tbl>
      <w:tblPr>
        <w:tblStyle w:val="TableGrid"/>
        <w:tblW w:w="9665" w:type="dxa"/>
        <w:tblInd w:w="108" w:type="dxa"/>
        <w:tblLook w:val="04A0" w:firstRow="1" w:lastRow="0" w:firstColumn="1" w:lastColumn="0" w:noHBand="0" w:noVBand="1"/>
      </w:tblPr>
      <w:tblGrid>
        <w:gridCol w:w="1035"/>
        <w:gridCol w:w="1148"/>
        <w:gridCol w:w="1236"/>
        <w:gridCol w:w="1161"/>
        <w:gridCol w:w="1103"/>
        <w:gridCol w:w="1378"/>
        <w:gridCol w:w="967"/>
        <w:gridCol w:w="866"/>
        <w:gridCol w:w="771"/>
      </w:tblGrid>
      <w:tr w:rsidR="00633228" w:rsidRPr="000518C4" w:rsidTr="00E35A97">
        <w:tc>
          <w:tcPr>
            <w:tcW w:w="1035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Union</w:t>
            </w:r>
          </w:p>
        </w:tc>
        <w:tc>
          <w:tcPr>
            <w:tcW w:w="114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Exposure</w:t>
            </w:r>
          </w:p>
        </w:tc>
        <w:tc>
          <w:tcPr>
            <w:tcW w:w="123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Sensitivity</w:t>
            </w:r>
          </w:p>
        </w:tc>
        <w:tc>
          <w:tcPr>
            <w:tcW w:w="1161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 xml:space="preserve">Gendered </w:t>
            </w:r>
            <w:proofErr w:type="spellStart"/>
            <w:r w:rsidRPr="000518C4">
              <w:rPr>
                <w:rFonts w:eastAsia="Times New Roman"/>
                <w:b/>
              </w:rPr>
              <w:t>vuln</w:t>
            </w:r>
            <w:proofErr w:type="spellEnd"/>
            <w:r w:rsidRPr="000518C4">
              <w:rPr>
                <w:rFonts w:eastAsia="Times New Roman"/>
                <w:b/>
              </w:rPr>
              <w:t>.</w:t>
            </w:r>
          </w:p>
        </w:tc>
        <w:tc>
          <w:tcPr>
            <w:tcW w:w="1103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Material capacity</w:t>
            </w:r>
          </w:p>
        </w:tc>
        <w:tc>
          <w:tcPr>
            <w:tcW w:w="137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Institutional access</w:t>
            </w:r>
          </w:p>
        </w:tc>
        <w:tc>
          <w:tcPr>
            <w:tcW w:w="96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GSHVI</w:t>
            </w:r>
          </w:p>
        </w:tc>
        <w:tc>
          <w:tcPr>
            <w:tcW w:w="86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Any adapt. %</w:t>
            </w:r>
          </w:p>
        </w:tc>
        <w:tc>
          <w:tcPr>
            <w:tcW w:w="771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Mean count</w:t>
            </w:r>
          </w:p>
        </w:tc>
      </w:tr>
      <w:tr w:rsidR="00633228" w:rsidRPr="000518C4" w:rsidTr="00E35A97">
        <w:tc>
          <w:tcPr>
            <w:tcW w:w="1035" w:type="dxa"/>
          </w:tcPr>
          <w:p w:rsidR="00633228" w:rsidRPr="000518C4" w:rsidRDefault="00633228" w:rsidP="00E35A97">
            <w:pPr>
              <w:spacing w:after="0"/>
            </w:pPr>
            <w:proofErr w:type="spellStart"/>
            <w:r w:rsidRPr="000518C4">
              <w:rPr>
                <w:rFonts w:eastAsia="Times New Roman"/>
              </w:rPr>
              <w:t>Dakshin</w:t>
            </w:r>
            <w:proofErr w:type="spellEnd"/>
            <w:r w:rsidRPr="000518C4">
              <w:rPr>
                <w:rFonts w:eastAsia="Times New Roman"/>
              </w:rPr>
              <w:t xml:space="preserve"> </w:t>
            </w:r>
            <w:proofErr w:type="spellStart"/>
            <w:r w:rsidRPr="000518C4">
              <w:rPr>
                <w:rFonts w:eastAsia="Times New Roman"/>
              </w:rPr>
              <w:t>Bedkashi</w:t>
            </w:r>
            <w:proofErr w:type="spellEnd"/>
          </w:p>
        </w:tc>
        <w:tc>
          <w:tcPr>
            <w:tcW w:w="114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0.616</w:t>
            </w:r>
          </w:p>
        </w:tc>
        <w:tc>
          <w:tcPr>
            <w:tcW w:w="123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0.477</w:t>
            </w:r>
          </w:p>
        </w:tc>
        <w:tc>
          <w:tcPr>
            <w:tcW w:w="1161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0.351</w:t>
            </w:r>
          </w:p>
        </w:tc>
        <w:tc>
          <w:tcPr>
            <w:tcW w:w="1103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0.470</w:t>
            </w:r>
          </w:p>
        </w:tc>
        <w:tc>
          <w:tcPr>
            <w:tcW w:w="137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0.358</w:t>
            </w:r>
          </w:p>
        </w:tc>
        <w:tc>
          <w:tcPr>
            <w:tcW w:w="96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0.447</w:t>
            </w:r>
          </w:p>
        </w:tc>
        <w:tc>
          <w:tcPr>
            <w:tcW w:w="86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91.3</w:t>
            </w:r>
          </w:p>
        </w:tc>
        <w:tc>
          <w:tcPr>
            <w:tcW w:w="771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1.42</w:t>
            </w:r>
          </w:p>
        </w:tc>
      </w:tr>
      <w:tr w:rsidR="00633228" w:rsidRPr="000518C4" w:rsidTr="00E35A97">
        <w:tc>
          <w:tcPr>
            <w:tcW w:w="1035" w:type="dxa"/>
          </w:tcPr>
          <w:p w:rsidR="00633228" w:rsidRPr="000518C4" w:rsidRDefault="00633228" w:rsidP="00E35A97">
            <w:pPr>
              <w:spacing w:after="0"/>
            </w:pPr>
            <w:proofErr w:type="spellStart"/>
            <w:r w:rsidRPr="000518C4">
              <w:rPr>
                <w:rFonts w:eastAsia="Times New Roman"/>
              </w:rPr>
              <w:t>Koyra</w:t>
            </w:r>
            <w:proofErr w:type="spellEnd"/>
            <w:r w:rsidRPr="000518C4">
              <w:rPr>
                <w:rFonts w:eastAsia="Times New Roman"/>
              </w:rPr>
              <w:t xml:space="preserve"> </w:t>
            </w:r>
            <w:proofErr w:type="spellStart"/>
            <w:r w:rsidRPr="000518C4">
              <w:rPr>
                <w:rFonts w:eastAsia="Times New Roman"/>
              </w:rPr>
              <w:t>Sader</w:t>
            </w:r>
            <w:proofErr w:type="spellEnd"/>
          </w:p>
        </w:tc>
        <w:tc>
          <w:tcPr>
            <w:tcW w:w="114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0.372</w:t>
            </w:r>
          </w:p>
        </w:tc>
        <w:tc>
          <w:tcPr>
            <w:tcW w:w="123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0.460</w:t>
            </w:r>
          </w:p>
        </w:tc>
        <w:tc>
          <w:tcPr>
            <w:tcW w:w="1161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0.396</w:t>
            </w:r>
          </w:p>
        </w:tc>
        <w:tc>
          <w:tcPr>
            <w:tcW w:w="1103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0.200</w:t>
            </w:r>
          </w:p>
        </w:tc>
        <w:tc>
          <w:tcPr>
            <w:tcW w:w="137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0.211</w:t>
            </w:r>
          </w:p>
        </w:tc>
        <w:tc>
          <w:tcPr>
            <w:tcW w:w="96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0.533</w:t>
            </w:r>
          </w:p>
        </w:tc>
        <w:tc>
          <w:tcPr>
            <w:tcW w:w="86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44.0</w:t>
            </w:r>
          </w:p>
        </w:tc>
        <w:tc>
          <w:tcPr>
            <w:tcW w:w="771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0.72</w:t>
            </w:r>
          </w:p>
        </w:tc>
      </w:tr>
      <w:tr w:rsidR="00633228" w:rsidRPr="000518C4" w:rsidTr="00E35A97">
        <w:tc>
          <w:tcPr>
            <w:tcW w:w="1035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 xml:space="preserve">Uttar </w:t>
            </w:r>
            <w:proofErr w:type="spellStart"/>
            <w:r w:rsidRPr="000518C4">
              <w:rPr>
                <w:rFonts w:eastAsia="Times New Roman"/>
              </w:rPr>
              <w:t>Bedkashi</w:t>
            </w:r>
            <w:proofErr w:type="spellEnd"/>
          </w:p>
        </w:tc>
        <w:tc>
          <w:tcPr>
            <w:tcW w:w="114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0.600</w:t>
            </w:r>
          </w:p>
        </w:tc>
        <w:tc>
          <w:tcPr>
            <w:tcW w:w="123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0.586</w:t>
            </w:r>
          </w:p>
        </w:tc>
        <w:tc>
          <w:tcPr>
            <w:tcW w:w="1161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0.462</w:t>
            </w:r>
          </w:p>
        </w:tc>
        <w:tc>
          <w:tcPr>
            <w:tcW w:w="1103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0.230</w:t>
            </w:r>
          </w:p>
        </w:tc>
        <w:tc>
          <w:tcPr>
            <w:tcW w:w="137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0.332</w:t>
            </w:r>
          </w:p>
        </w:tc>
        <w:tc>
          <w:tcPr>
            <w:tcW w:w="96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0.594</w:t>
            </w:r>
          </w:p>
        </w:tc>
        <w:tc>
          <w:tcPr>
            <w:tcW w:w="86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40.7</w:t>
            </w:r>
          </w:p>
        </w:tc>
        <w:tc>
          <w:tcPr>
            <w:tcW w:w="771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0.59</w:t>
            </w:r>
          </w:p>
        </w:tc>
      </w:tr>
      <w:tr w:rsidR="00633228" w:rsidRPr="000518C4" w:rsidTr="00E35A97">
        <w:tc>
          <w:tcPr>
            <w:tcW w:w="1035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Overall</w:t>
            </w:r>
          </w:p>
        </w:tc>
        <w:tc>
          <w:tcPr>
            <w:tcW w:w="114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0.537</w:t>
            </w:r>
          </w:p>
        </w:tc>
        <w:tc>
          <w:tcPr>
            <w:tcW w:w="123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0.505</w:t>
            </w:r>
          </w:p>
        </w:tc>
        <w:tc>
          <w:tcPr>
            <w:tcW w:w="1161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0.399</w:t>
            </w:r>
          </w:p>
        </w:tc>
        <w:tc>
          <w:tcPr>
            <w:tcW w:w="1103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0.314</w:t>
            </w:r>
          </w:p>
        </w:tc>
        <w:tc>
          <w:tcPr>
            <w:tcW w:w="137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0.305</w:t>
            </w:r>
          </w:p>
        </w:tc>
        <w:tc>
          <w:tcPr>
            <w:tcW w:w="96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0.518</w:t>
            </w:r>
          </w:p>
        </w:tc>
        <w:tc>
          <w:tcPr>
            <w:tcW w:w="86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61.4</w:t>
            </w:r>
          </w:p>
        </w:tc>
        <w:tc>
          <w:tcPr>
            <w:tcW w:w="771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0.95</w:t>
            </w:r>
          </w:p>
        </w:tc>
      </w:tr>
    </w:tbl>
    <w:p w:rsidR="00633228" w:rsidRDefault="00633228"/>
    <w:p w:rsidR="00633228" w:rsidRDefault="00633228" w:rsidP="00633228"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  <w:r>
        <w:t xml:space="preserve">: </w:t>
      </w:r>
      <w:r w:rsidRPr="000A590A">
        <w:t>Sensitivity of household vulnerability rankings to index specification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1182"/>
        <w:gridCol w:w="1152"/>
        <w:gridCol w:w="1440"/>
        <w:gridCol w:w="1512"/>
        <w:gridCol w:w="1512"/>
      </w:tblGrid>
      <w:tr w:rsidR="00633228" w:rsidRPr="000518C4" w:rsidTr="00E35A97">
        <w:tc>
          <w:tcPr>
            <w:tcW w:w="291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Index specification</w:t>
            </w:r>
          </w:p>
        </w:tc>
        <w:tc>
          <w:tcPr>
            <w:tcW w:w="118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Spearman ρ</w:t>
            </w:r>
          </w:p>
        </w:tc>
        <w:tc>
          <w:tcPr>
            <w:tcW w:w="115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Pearson r</w:t>
            </w:r>
          </w:p>
        </w:tc>
        <w:tc>
          <w:tcPr>
            <w:tcW w:w="144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Same quintile %</w:t>
            </w:r>
          </w:p>
        </w:tc>
        <w:tc>
          <w:tcPr>
            <w:tcW w:w="15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Top-20 overlap %</w:t>
            </w:r>
          </w:p>
        </w:tc>
        <w:tc>
          <w:tcPr>
            <w:tcW w:w="15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Top-40 overlap %</w:t>
            </w:r>
          </w:p>
        </w:tc>
      </w:tr>
      <w:tr w:rsidR="00633228" w:rsidRPr="000518C4" w:rsidTr="00E35A97">
        <w:tc>
          <w:tcPr>
            <w:tcW w:w="291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Parallel-analysis PCA (primary)</w:t>
            </w:r>
          </w:p>
        </w:tc>
        <w:tc>
          <w:tcPr>
            <w:tcW w:w="118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1.000</w:t>
            </w:r>
          </w:p>
        </w:tc>
        <w:tc>
          <w:tcPr>
            <w:tcW w:w="115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1.000</w:t>
            </w:r>
          </w:p>
        </w:tc>
        <w:tc>
          <w:tcPr>
            <w:tcW w:w="144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100.0</w:t>
            </w:r>
          </w:p>
        </w:tc>
        <w:tc>
          <w:tcPr>
            <w:tcW w:w="15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100.0</w:t>
            </w:r>
          </w:p>
        </w:tc>
        <w:tc>
          <w:tcPr>
            <w:tcW w:w="15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100.0</w:t>
            </w:r>
          </w:p>
        </w:tc>
      </w:tr>
      <w:tr w:rsidR="00633228" w:rsidRPr="000518C4" w:rsidTr="00E35A97">
        <w:tc>
          <w:tcPr>
            <w:tcW w:w="291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Kaiser-retention PCA</w:t>
            </w:r>
          </w:p>
        </w:tc>
        <w:tc>
          <w:tcPr>
            <w:tcW w:w="118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0.991</w:t>
            </w:r>
          </w:p>
        </w:tc>
        <w:tc>
          <w:tcPr>
            <w:tcW w:w="115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0.987</w:t>
            </w:r>
          </w:p>
        </w:tc>
        <w:tc>
          <w:tcPr>
            <w:tcW w:w="144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87.5</w:t>
            </w:r>
          </w:p>
        </w:tc>
        <w:tc>
          <w:tcPr>
            <w:tcW w:w="15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94.8</w:t>
            </w:r>
          </w:p>
        </w:tc>
        <w:tc>
          <w:tcPr>
            <w:tcW w:w="15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94.8</w:t>
            </w:r>
          </w:p>
        </w:tc>
      </w:tr>
      <w:tr w:rsidR="00633228" w:rsidRPr="000518C4" w:rsidTr="00E35A97">
        <w:tc>
          <w:tcPr>
            <w:tcW w:w="291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Categorical-aware heterogeneous PCA</w:t>
            </w:r>
          </w:p>
        </w:tc>
        <w:tc>
          <w:tcPr>
            <w:tcW w:w="118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0.995</w:t>
            </w:r>
          </w:p>
        </w:tc>
        <w:tc>
          <w:tcPr>
            <w:tcW w:w="115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0.996</w:t>
            </w:r>
          </w:p>
        </w:tc>
        <w:tc>
          <w:tcPr>
            <w:tcW w:w="144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90.1</w:t>
            </w:r>
          </w:p>
        </w:tc>
        <w:tc>
          <w:tcPr>
            <w:tcW w:w="15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98.7</w:t>
            </w:r>
          </w:p>
        </w:tc>
        <w:tc>
          <w:tcPr>
            <w:tcW w:w="15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96.7</w:t>
            </w:r>
          </w:p>
        </w:tc>
      </w:tr>
      <w:tr w:rsidR="00633228" w:rsidRPr="000518C4" w:rsidTr="00E35A97">
        <w:tc>
          <w:tcPr>
            <w:tcW w:w="291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Equal-weight benchmark</w:t>
            </w:r>
          </w:p>
        </w:tc>
        <w:tc>
          <w:tcPr>
            <w:tcW w:w="118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0.962</w:t>
            </w:r>
          </w:p>
        </w:tc>
        <w:tc>
          <w:tcPr>
            <w:tcW w:w="115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0.955</w:t>
            </w:r>
          </w:p>
        </w:tc>
        <w:tc>
          <w:tcPr>
            <w:tcW w:w="144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72.6</w:t>
            </w:r>
          </w:p>
        </w:tc>
        <w:tc>
          <w:tcPr>
            <w:tcW w:w="15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79.2</w:t>
            </w:r>
          </w:p>
        </w:tc>
        <w:tc>
          <w:tcPr>
            <w:tcW w:w="15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88.9</w:t>
            </w:r>
          </w:p>
        </w:tc>
      </w:tr>
      <w:tr w:rsidR="00633228" w:rsidRPr="000518C4" w:rsidTr="00E35A97">
        <w:tc>
          <w:tcPr>
            <w:tcW w:w="291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Exposure-inclusive PCA risk</w:t>
            </w:r>
          </w:p>
        </w:tc>
        <w:tc>
          <w:tcPr>
            <w:tcW w:w="118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0.709</w:t>
            </w:r>
          </w:p>
        </w:tc>
        <w:tc>
          <w:tcPr>
            <w:tcW w:w="115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0.717</w:t>
            </w:r>
          </w:p>
        </w:tc>
        <w:tc>
          <w:tcPr>
            <w:tcW w:w="144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44.4</w:t>
            </w:r>
          </w:p>
        </w:tc>
        <w:tc>
          <w:tcPr>
            <w:tcW w:w="15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80.5</w:t>
            </w:r>
          </w:p>
        </w:tc>
        <w:tc>
          <w:tcPr>
            <w:tcW w:w="15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63.4</w:t>
            </w:r>
          </w:p>
        </w:tc>
      </w:tr>
    </w:tbl>
    <w:p w:rsidR="00633228" w:rsidRDefault="00633228"/>
    <w:p w:rsidR="00633228" w:rsidRDefault="00633228" w:rsidP="00633228"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  <w:r>
        <w:t xml:space="preserve">: </w:t>
      </w:r>
      <w:r w:rsidRPr="00CA3E1C">
        <w:t>Sensitivity of the vulnerability-adaptation association to alternative index specifications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132"/>
        <w:gridCol w:w="1475"/>
        <w:gridCol w:w="1872"/>
        <w:gridCol w:w="1152"/>
        <w:gridCol w:w="1080"/>
        <w:gridCol w:w="1007"/>
      </w:tblGrid>
      <w:tr w:rsidR="00633228" w:rsidRPr="000518C4" w:rsidTr="00E35A97">
        <w:tc>
          <w:tcPr>
            <w:tcW w:w="313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Specification</w:t>
            </w:r>
          </w:p>
        </w:tc>
        <w:tc>
          <w:tcPr>
            <w:tcW w:w="1475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Vulnerability OR</w:t>
            </w:r>
          </w:p>
        </w:tc>
        <w:tc>
          <w:tcPr>
            <w:tcW w:w="187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95% t(26) CI</w:t>
            </w:r>
          </w:p>
        </w:tc>
        <w:tc>
          <w:tcPr>
            <w:tcW w:w="115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p</w:t>
            </w:r>
          </w:p>
        </w:tc>
        <w:tc>
          <w:tcPr>
            <w:tcW w:w="108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AIC</w:t>
            </w:r>
          </w:p>
        </w:tc>
        <w:tc>
          <w:tcPr>
            <w:tcW w:w="100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AUC</w:t>
            </w:r>
          </w:p>
        </w:tc>
      </w:tr>
      <w:tr w:rsidR="00633228" w:rsidRPr="000518C4" w:rsidTr="00E35A97">
        <w:tc>
          <w:tcPr>
            <w:tcW w:w="313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Parallel-analysis PCA (primary)</w:t>
            </w:r>
          </w:p>
        </w:tc>
        <w:tc>
          <w:tcPr>
            <w:tcW w:w="1475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0.134</w:t>
            </w:r>
          </w:p>
        </w:tc>
        <w:tc>
          <w:tcPr>
            <w:tcW w:w="187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0.052–0.344</w:t>
            </w:r>
          </w:p>
        </w:tc>
        <w:tc>
          <w:tcPr>
            <w:tcW w:w="115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&lt;0.001</w:t>
            </w:r>
          </w:p>
        </w:tc>
        <w:tc>
          <w:tcPr>
            <w:tcW w:w="108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284.7</w:t>
            </w:r>
          </w:p>
        </w:tc>
        <w:tc>
          <w:tcPr>
            <w:tcW w:w="100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0.924</w:t>
            </w:r>
          </w:p>
        </w:tc>
      </w:tr>
      <w:tr w:rsidR="00633228" w:rsidRPr="000518C4" w:rsidTr="00E35A97">
        <w:tc>
          <w:tcPr>
            <w:tcW w:w="313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Kaiser-retention PCA</w:t>
            </w:r>
          </w:p>
        </w:tc>
        <w:tc>
          <w:tcPr>
            <w:tcW w:w="1475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0.161</w:t>
            </w:r>
          </w:p>
        </w:tc>
        <w:tc>
          <w:tcPr>
            <w:tcW w:w="187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0.054–0.487</w:t>
            </w:r>
          </w:p>
        </w:tc>
        <w:tc>
          <w:tcPr>
            <w:tcW w:w="115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0.002</w:t>
            </w:r>
          </w:p>
        </w:tc>
        <w:tc>
          <w:tcPr>
            <w:tcW w:w="108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296.1</w:t>
            </w:r>
          </w:p>
        </w:tc>
        <w:tc>
          <w:tcPr>
            <w:tcW w:w="100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0.919</w:t>
            </w:r>
          </w:p>
        </w:tc>
      </w:tr>
      <w:tr w:rsidR="00633228" w:rsidRPr="000518C4" w:rsidTr="00E35A97">
        <w:tc>
          <w:tcPr>
            <w:tcW w:w="313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Categorical-aware heterogeneous PCA</w:t>
            </w:r>
          </w:p>
        </w:tc>
        <w:tc>
          <w:tcPr>
            <w:tcW w:w="1475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0.137</w:t>
            </w:r>
          </w:p>
        </w:tc>
        <w:tc>
          <w:tcPr>
            <w:tcW w:w="187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0.055–0.344</w:t>
            </w:r>
          </w:p>
        </w:tc>
        <w:tc>
          <w:tcPr>
            <w:tcW w:w="115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&lt;0.001</w:t>
            </w:r>
          </w:p>
        </w:tc>
        <w:tc>
          <w:tcPr>
            <w:tcW w:w="108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282.8</w:t>
            </w:r>
          </w:p>
        </w:tc>
        <w:tc>
          <w:tcPr>
            <w:tcW w:w="100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0.924</w:t>
            </w:r>
          </w:p>
        </w:tc>
      </w:tr>
      <w:tr w:rsidR="00633228" w:rsidRPr="000518C4" w:rsidTr="00E35A97">
        <w:tc>
          <w:tcPr>
            <w:tcW w:w="313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Equal-weight benchmark</w:t>
            </w:r>
          </w:p>
        </w:tc>
        <w:tc>
          <w:tcPr>
            <w:tcW w:w="1475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0.216</w:t>
            </w:r>
          </w:p>
        </w:tc>
        <w:tc>
          <w:tcPr>
            <w:tcW w:w="187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0.078–0.601</w:t>
            </w:r>
          </w:p>
        </w:tc>
        <w:tc>
          <w:tcPr>
            <w:tcW w:w="115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0.005</w:t>
            </w:r>
          </w:p>
        </w:tc>
        <w:tc>
          <w:tcPr>
            <w:tcW w:w="108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310.6</w:t>
            </w:r>
          </w:p>
        </w:tc>
        <w:tc>
          <w:tcPr>
            <w:tcW w:w="100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0.908</w:t>
            </w:r>
          </w:p>
        </w:tc>
      </w:tr>
      <w:tr w:rsidR="00633228" w:rsidRPr="000518C4" w:rsidTr="00E35A97">
        <w:tc>
          <w:tcPr>
            <w:tcW w:w="313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Exposure-inclusive PCA risk</w:t>
            </w:r>
          </w:p>
        </w:tc>
        <w:tc>
          <w:tcPr>
            <w:tcW w:w="1475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0.180</w:t>
            </w:r>
          </w:p>
        </w:tc>
        <w:tc>
          <w:tcPr>
            <w:tcW w:w="187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0.051–0.634</w:t>
            </w:r>
          </w:p>
        </w:tc>
        <w:tc>
          <w:tcPr>
            <w:tcW w:w="115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0.010</w:t>
            </w:r>
          </w:p>
        </w:tc>
        <w:tc>
          <w:tcPr>
            <w:tcW w:w="108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319.8</w:t>
            </w:r>
          </w:p>
        </w:tc>
        <w:tc>
          <w:tcPr>
            <w:tcW w:w="100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0.898</w:t>
            </w:r>
          </w:p>
        </w:tc>
      </w:tr>
    </w:tbl>
    <w:p w:rsidR="00633228" w:rsidRDefault="00633228"/>
    <w:p w:rsidR="00633228" w:rsidRDefault="00633228" w:rsidP="00633228"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t xml:space="preserve">: </w:t>
      </w:r>
      <w:r w:rsidRPr="00141302">
        <w:t>Cluster-robust logistic regression models of substantive adaptation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88"/>
        <w:gridCol w:w="3240"/>
        <w:gridCol w:w="3240"/>
      </w:tblGrid>
      <w:tr w:rsidR="00633228" w:rsidRPr="000518C4" w:rsidTr="00E35A97">
        <w:tc>
          <w:tcPr>
            <w:tcW w:w="298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Predictor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  <w:b/>
              </w:rPr>
              <w:t>Primary GSHVI model OR (95% t(26) CI); p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  <w:b/>
              </w:rPr>
              <w:t>Component model OR (95% t(26) CI); p</w:t>
            </w:r>
          </w:p>
        </w:tc>
      </w:tr>
      <w:tr w:rsidR="00633228" w:rsidRPr="000518C4" w:rsidTr="00E35A97">
        <w:tc>
          <w:tcPr>
            <w:tcW w:w="298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GSHVI (1 SD)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0.134 (0.052–0.344); p=&lt;0.001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—</w:t>
            </w:r>
          </w:p>
        </w:tc>
      </w:tr>
      <w:tr w:rsidR="00633228" w:rsidRPr="000518C4" w:rsidTr="00E35A97">
        <w:tc>
          <w:tcPr>
            <w:tcW w:w="298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Exposure (1 SD)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0.886 (0.378–2.077); p=0.773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0.905 (0.421–1.946); p=0.790</w:t>
            </w:r>
          </w:p>
        </w:tc>
      </w:tr>
      <w:tr w:rsidR="00633228" w:rsidRPr="000518C4" w:rsidTr="00E35A97">
        <w:tc>
          <w:tcPr>
            <w:tcW w:w="298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Sensitivity (1 SD)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—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0.315 (0.139–0.715); p=0.008</w:t>
            </w:r>
          </w:p>
        </w:tc>
      </w:tr>
      <w:tr w:rsidR="00633228" w:rsidRPr="000518C4" w:rsidTr="00E35A97">
        <w:tc>
          <w:tcPr>
            <w:tcW w:w="298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Gendered vulnerability (1 SD)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—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0.937 (0.379–2.316); p=0.883</w:t>
            </w:r>
          </w:p>
        </w:tc>
      </w:tr>
      <w:tr w:rsidR="00633228" w:rsidRPr="000518C4" w:rsidTr="00E35A97">
        <w:tc>
          <w:tcPr>
            <w:tcW w:w="298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Material capacity (1 SD)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—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5.861 (2.170–15.829); p=0.001</w:t>
            </w:r>
          </w:p>
        </w:tc>
      </w:tr>
      <w:tr w:rsidR="00633228" w:rsidRPr="000518C4" w:rsidTr="00E35A97">
        <w:tc>
          <w:tcPr>
            <w:tcW w:w="298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Institutional access (1 SD)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1.950 (1.070–3.554); p=0.031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1.662 (0.939–2.941); p=0.079</w:t>
            </w:r>
          </w:p>
        </w:tc>
      </w:tr>
      <w:tr w:rsidR="00633228" w:rsidRPr="000518C4" w:rsidTr="00E35A97">
        <w:tc>
          <w:tcPr>
            <w:tcW w:w="298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Respondent age (1 SD)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0.992 (0.710–1.386); p=0.962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1.054 (0.721–1.542); p=0.778</w:t>
            </w:r>
          </w:p>
        </w:tc>
      </w:tr>
      <w:tr w:rsidR="00633228" w:rsidRPr="000518C4" w:rsidTr="00E35A97">
        <w:tc>
          <w:tcPr>
            <w:tcW w:w="298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Household size (1 SD)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0.936 (0.674–1.299); p=0.680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0.854 (0.578–1.264); p=0.416</w:t>
            </w:r>
          </w:p>
        </w:tc>
      </w:tr>
      <w:tr w:rsidR="00633228" w:rsidRPr="000518C4" w:rsidTr="00E35A97">
        <w:tc>
          <w:tcPr>
            <w:tcW w:w="298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Female respondent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0.896 (0.341–2.350); p=0.816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0.880 (0.314–2.467); p=0.801</w:t>
            </w:r>
          </w:p>
        </w:tc>
      </w:tr>
      <w:tr w:rsidR="00633228" w:rsidRPr="000518C4" w:rsidTr="00E35A97">
        <w:tc>
          <w:tcPr>
            <w:tcW w:w="298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Climate-sensitive livelihood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0.758 (0.307–1.868); p=0.533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0.865 (0.358–2.089); p=0.738</w:t>
            </w:r>
          </w:p>
        </w:tc>
      </w:tr>
      <w:tr w:rsidR="00633228" w:rsidRPr="000518C4" w:rsidTr="00E35A97">
        <w:tc>
          <w:tcPr>
            <w:tcW w:w="2988" w:type="dxa"/>
          </w:tcPr>
          <w:p w:rsidR="00633228" w:rsidRPr="000518C4" w:rsidRDefault="00633228" w:rsidP="00E35A97">
            <w:pPr>
              <w:spacing w:after="0"/>
            </w:pPr>
            <w:proofErr w:type="spellStart"/>
            <w:r w:rsidRPr="000518C4">
              <w:rPr>
                <w:rFonts w:eastAsia="Times New Roman"/>
              </w:rPr>
              <w:t>Koyra</w:t>
            </w:r>
            <w:proofErr w:type="spellEnd"/>
            <w:r w:rsidRPr="000518C4">
              <w:rPr>
                <w:rFonts w:eastAsia="Times New Roman"/>
              </w:rPr>
              <w:t xml:space="preserve"> </w:t>
            </w:r>
            <w:proofErr w:type="spellStart"/>
            <w:r w:rsidRPr="000518C4">
              <w:rPr>
                <w:rFonts w:eastAsia="Times New Roman"/>
              </w:rPr>
              <w:t>Sader</w:t>
            </w:r>
            <w:proofErr w:type="spellEnd"/>
            <w:r w:rsidRPr="000518C4">
              <w:rPr>
                <w:rFonts w:eastAsia="Times New Roman"/>
              </w:rPr>
              <w:t xml:space="preserve"> (vs </w:t>
            </w:r>
            <w:proofErr w:type="spellStart"/>
            <w:r w:rsidRPr="000518C4">
              <w:rPr>
                <w:rFonts w:eastAsia="Times New Roman"/>
              </w:rPr>
              <w:t>Dakshin</w:t>
            </w:r>
            <w:proofErr w:type="spellEnd"/>
            <w:r w:rsidRPr="000518C4">
              <w:rPr>
                <w:rFonts w:eastAsia="Times New Roman"/>
              </w:rPr>
              <w:t>)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0.207 (0.021–2.000); p=0.165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0.164 (0.020–1.344); p=0.089</w:t>
            </w:r>
          </w:p>
        </w:tc>
      </w:tr>
      <w:tr w:rsidR="00633228" w:rsidRPr="000518C4" w:rsidTr="00E35A97">
        <w:tc>
          <w:tcPr>
            <w:tcW w:w="298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 xml:space="preserve">Uttar </w:t>
            </w:r>
            <w:proofErr w:type="spellStart"/>
            <w:r w:rsidRPr="000518C4">
              <w:rPr>
                <w:rFonts w:eastAsia="Times New Roman"/>
              </w:rPr>
              <w:t>Bedkashi</w:t>
            </w:r>
            <w:proofErr w:type="spellEnd"/>
            <w:r w:rsidRPr="000518C4">
              <w:rPr>
                <w:rFonts w:eastAsia="Times New Roman"/>
              </w:rPr>
              <w:t xml:space="preserve"> (vs </w:t>
            </w:r>
            <w:proofErr w:type="spellStart"/>
            <w:r w:rsidRPr="000518C4">
              <w:rPr>
                <w:rFonts w:eastAsia="Times New Roman"/>
              </w:rPr>
              <w:t>Dakshin</w:t>
            </w:r>
            <w:proofErr w:type="spellEnd"/>
            <w:r w:rsidRPr="000518C4">
              <w:rPr>
                <w:rFonts w:eastAsia="Times New Roman"/>
              </w:rPr>
              <w:t>)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0.445 (0.081–2.451); p=0.338</w:t>
            </w:r>
          </w:p>
        </w:tc>
        <w:tc>
          <w:tcPr>
            <w:tcW w:w="3240" w:type="dxa"/>
            <w:vAlign w:val="center"/>
          </w:tcPr>
          <w:p w:rsidR="00633228" w:rsidRPr="000518C4" w:rsidRDefault="00633228" w:rsidP="00E35A97">
            <w:pPr>
              <w:spacing w:after="0"/>
              <w:jc w:val="center"/>
            </w:pPr>
            <w:r w:rsidRPr="000518C4">
              <w:rPr>
                <w:rFonts w:eastAsia="Times New Roman"/>
              </w:rPr>
              <w:t>0.419 (0.067–2.608); p=0.337</w:t>
            </w:r>
          </w:p>
        </w:tc>
      </w:tr>
    </w:tbl>
    <w:p w:rsidR="00633228" w:rsidRDefault="00633228"/>
    <w:p w:rsidR="00633228" w:rsidRDefault="00633228" w:rsidP="00633228">
      <w:r>
        <w:lastRenderedPageBreak/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t xml:space="preserve">: </w:t>
      </w:r>
      <w:r w:rsidRPr="00CB3B92">
        <w:t>Exposure × gendered-vulnerability interaction model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356"/>
        <w:gridCol w:w="1314"/>
        <w:gridCol w:w="2160"/>
        <w:gridCol w:w="1890"/>
      </w:tblGrid>
      <w:tr w:rsidR="00633228" w:rsidRPr="000518C4" w:rsidTr="00E35A97">
        <w:tc>
          <w:tcPr>
            <w:tcW w:w="435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Predictor</w:t>
            </w:r>
          </w:p>
        </w:tc>
        <w:tc>
          <w:tcPr>
            <w:tcW w:w="1314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OR</w:t>
            </w:r>
          </w:p>
        </w:tc>
        <w:tc>
          <w:tcPr>
            <w:tcW w:w="216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95% t(26) CI</w:t>
            </w:r>
          </w:p>
        </w:tc>
        <w:tc>
          <w:tcPr>
            <w:tcW w:w="189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p</w:t>
            </w:r>
          </w:p>
        </w:tc>
      </w:tr>
      <w:tr w:rsidR="00633228" w:rsidRPr="000518C4" w:rsidTr="00E35A97">
        <w:tc>
          <w:tcPr>
            <w:tcW w:w="435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Exposure</w:t>
            </w:r>
          </w:p>
        </w:tc>
        <w:tc>
          <w:tcPr>
            <w:tcW w:w="1314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0.801</w:t>
            </w:r>
          </w:p>
        </w:tc>
        <w:tc>
          <w:tcPr>
            <w:tcW w:w="216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0.343–1.868</w:t>
            </w:r>
          </w:p>
        </w:tc>
        <w:tc>
          <w:tcPr>
            <w:tcW w:w="189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0.594</w:t>
            </w:r>
          </w:p>
        </w:tc>
      </w:tr>
      <w:tr w:rsidR="00633228" w:rsidRPr="000518C4" w:rsidTr="00E35A97">
        <w:tc>
          <w:tcPr>
            <w:tcW w:w="435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Gendered vulnerability</w:t>
            </w:r>
          </w:p>
        </w:tc>
        <w:tc>
          <w:tcPr>
            <w:tcW w:w="1314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0.836</w:t>
            </w:r>
          </w:p>
        </w:tc>
        <w:tc>
          <w:tcPr>
            <w:tcW w:w="216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0.401–1.741</w:t>
            </w:r>
          </w:p>
        </w:tc>
        <w:tc>
          <w:tcPr>
            <w:tcW w:w="189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0.619</w:t>
            </w:r>
          </w:p>
        </w:tc>
      </w:tr>
      <w:tr w:rsidR="00633228" w:rsidRPr="000518C4" w:rsidTr="00E35A97">
        <w:tc>
          <w:tcPr>
            <w:tcW w:w="435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Exposure × gendered vulnerability</w:t>
            </w:r>
          </w:p>
        </w:tc>
        <w:tc>
          <w:tcPr>
            <w:tcW w:w="1314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0.583</w:t>
            </w:r>
          </w:p>
        </w:tc>
        <w:tc>
          <w:tcPr>
            <w:tcW w:w="216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0.304–1.119</w:t>
            </w:r>
          </w:p>
        </w:tc>
        <w:tc>
          <w:tcPr>
            <w:tcW w:w="189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0.101</w:t>
            </w:r>
          </w:p>
        </w:tc>
      </w:tr>
      <w:tr w:rsidR="00633228" w:rsidRPr="000518C4" w:rsidTr="00E35A97">
        <w:tc>
          <w:tcPr>
            <w:tcW w:w="435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Sensitivity</w:t>
            </w:r>
          </w:p>
        </w:tc>
        <w:tc>
          <w:tcPr>
            <w:tcW w:w="1314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0.368</w:t>
            </w:r>
          </w:p>
        </w:tc>
        <w:tc>
          <w:tcPr>
            <w:tcW w:w="216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0.183–0.741</w:t>
            </w:r>
          </w:p>
        </w:tc>
        <w:tc>
          <w:tcPr>
            <w:tcW w:w="189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0.007</w:t>
            </w:r>
          </w:p>
        </w:tc>
      </w:tr>
      <w:tr w:rsidR="00633228" w:rsidRPr="000518C4" w:rsidTr="00E35A97">
        <w:tc>
          <w:tcPr>
            <w:tcW w:w="435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Material capacity</w:t>
            </w:r>
          </w:p>
        </w:tc>
        <w:tc>
          <w:tcPr>
            <w:tcW w:w="1314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6.497</w:t>
            </w:r>
          </w:p>
        </w:tc>
        <w:tc>
          <w:tcPr>
            <w:tcW w:w="216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2.275–18.555</w:t>
            </w:r>
          </w:p>
        </w:tc>
        <w:tc>
          <w:tcPr>
            <w:tcW w:w="189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0.001</w:t>
            </w:r>
          </w:p>
        </w:tc>
      </w:tr>
      <w:tr w:rsidR="00633228" w:rsidRPr="000518C4" w:rsidTr="00E35A97">
        <w:tc>
          <w:tcPr>
            <w:tcW w:w="4356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Institutional access</w:t>
            </w:r>
          </w:p>
        </w:tc>
        <w:tc>
          <w:tcPr>
            <w:tcW w:w="1314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1.631</w:t>
            </w:r>
          </w:p>
        </w:tc>
        <w:tc>
          <w:tcPr>
            <w:tcW w:w="216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0.915–2.906</w:t>
            </w:r>
          </w:p>
        </w:tc>
        <w:tc>
          <w:tcPr>
            <w:tcW w:w="189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0.094</w:t>
            </w:r>
          </w:p>
        </w:tc>
      </w:tr>
    </w:tbl>
    <w:p w:rsidR="00633228" w:rsidRDefault="00633228"/>
    <w:p w:rsidR="00633228" w:rsidRDefault="00633228" w:rsidP="00633228"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t xml:space="preserve">: </w:t>
      </w:r>
      <w:r w:rsidRPr="0048002F">
        <w:t>Cluster-robust Poisson model of adaptation intensity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212"/>
        <w:gridCol w:w="1638"/>
        <w:gridCol w:w="2340"/>
        <w:gridCol w:w="1530"/>
      </w:tblGrid>
      <w:tr w:rsidR="00633228" w:rsidRPr="000518C4" w:rsidTr="00E35A97">
        <w:tc>
          <w:tcPr>
            <w:tcW w:w="42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Predictor</w:t>
            </w:r>
          </w:p>
        </w:tc>
        <w:tc>
          <w:tcPr>
            <w:tcW w:w="163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IRR</w:t>
            </w:r>
          </w:p>
        </w:tc>
        <w:tc>
          <w:tcPr>
            <w:tcW w:w="234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95% t(26) CI</w:t>
            </w:r>
          </w:p>
        </w:tc>
        <w:tc>
          <w:tcPr>
            <w:tcW w:w="153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p</w:t>
            </w:r>
          </w:p>
        </w:tc>
      </w:tr>
      <w:tr w:rsidR="00633228" w:rsidRPr="000518C4" w:rsidTr="00E35A97">
        <w:tc>
          <w:tcPr>
            <w:tcW w:w="42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GSHVI (1 SD)</w:t>
            </w:r>
          </w:p>
        </w:tc>
        <w:tc>
          <w:tcPr>
            <w:tcW w:w="163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0.611</w:t>
            </w:r>
          </w:p>
        </w:tc>
        <w:tc>
          <w:tcPr>
            <w:tcW w:w="234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0.459–0.815</w:t>
            </w:r>
          </w:p>
        </w:tc>
        <w:tc>
          <w:tcPr>
            <w:tcW w:w="153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0.002</w:t>
            </w:r>
          </w:p>
        </w:tc>
      </w:tr>
      <w:tr w:rsidR="00633228" w:rsidRPr="000518C4" w:rsidTr="00E35A97">
        <w:tc>
          <w:tcPr>
            <w:tcW w:w="42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Exposure (1 SD)</w:t>
            </w:r>
          </w:p>
        </w:tc>
        <w:tc>
          <w:tcPr>
            <w:tcW w:w="163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0.988</w:t>
            </w:r>
          </w:p>
        </w:tc>
        <w:tc>
          <w:tcPr>
            <w:tcW w:w="234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0.854–1.143</w:t>
            </w:r>
          </w:p>
        </w:tc>
        <w:tc>
          <w:tcPr>
            <w:tcW w:w="153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0.867</w:t>
            </w:r>
          </w:p>
        </w:tc>
      </w:tr>
      <w:tr w:rsidR="00633228" w:rsidRPr="000518C4" w:rsidTr="00E35A97">
        <w:tc>
          <w:tcPr>
            <w:tcW w:w="42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Institutional access (1 SD)</w:t>
            </w:r>
          </w:p>
        </w:tc>
        <w:tc>
          <w:tcPr>
            <w:tcW w:w="163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1.049</w:t>
            </w:r>
          </w:p>
        </w:tc>
        <w:tc>
          <w:tcPr>
            <w:tcW w:w="234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0.912–1.206</w:t>
            </w:r>
          </w:p>
        </w:tc>
        <w:tc>
          <w:tcPr>
            <w:tcW w:w="153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0.490</w:t>
            </w:r>
          </w:p>
        </w:tc>
      </w:tr>
      <w:tr w:rsidR="00633228" w:rsidRPr="000518C4" w:rsidTr="00E35A97">
        <w:tc>
          <w:tcPr>
            <w:tcW w:w="42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Age (1 SD)</w:t>
            </w:r>
          </w:p>
        </w:tc>
        <w:tc>
          <w:tcPr>
            <w:tcW w:w="163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0.940</w:t>
            </w:r>
          </w:p>
        </w:tc>
        <w:tc>
          <w:tcPr>
            <w:tcW w:w="234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0.840–1.052</w:t>
            </w:r>
          </w:p>
        </w:tc>
        <w:tc>
          <w:tcPr>
            <w:tcW w:w="153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0.268</w:t>
            </w:r>
          </w:p>
        </w:tc>
      </w:tr>
      <w:tr w:rsidR="00633228" w:rsidRPr="000518C4" w:rsidTr="00E35A97">
        <w:tc>
          <w:tcPr>
            <w:tcW w:w="42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Household size (1 SD)</w:t>
            </w:r>
          </w:p>
        </w:tc>
        <w:tc>
          <w:tcPr>
            <w:tcW w:w="163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0.982</w:t>
            </w:r>
          </w:p>
        </w:tc>
        <w:tc>
          <w:tcPr>
            <w:tcW w:w="234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0.919–1.050</w:t>
            </w:r>
          </w:p>
        </w:tc>
        <w:tc>
          <w:tcPr>
            <w:tcW w:w="153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0.586</w:t>
            </w:r>
          </w:p>
        </w:tc>
      </w:tr>
      <w:tr w:rsidR="00633228" w:rsidRPr="000518C4" w:rsidTr="00E35A97">
        <w:tc>
          <w:tcPr>
            <w:tcW w:w="42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Female respondent</w:t>
            </w:r>
          </w:p>
        </w:tc>
        <w:tc>
          <w:tcPr>
            <w:tcW w:w="163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1.142</w:t>
            </w:r>
          </w:p>
        </w:tc>
        <w:tc>
          <w:tcPr>
            <w:tcW w:w="234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0.850–1.536</w:t>
            </w:r>
          </w:p>
        </w:tc>
        <w:tc>
          <w:tcPr>
            <w:tcW w:w="153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0.364</w:t>
            </w:r>
          </w:p>
        </w:tc>
      </w:tr>
      <w:tr w:rsidR="00633228" w:rsidRPr="000518C4" w:rsidTr="00E35A97">
        <w:tc>
          <w:tcPr>
            <w:tcW w:w="4212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Climate-sensitive livelihood</w:t>
            </w:r>
          </w:p>
        </w:tc>
        <w:tc>
          <w:tcPr>
            <w:tcW w:w="163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0.875</w:t>
            </w:r>
          </w:p>
        </w:tc>
        <w:tc>
          <w:tcPr>
            <w:tcW w:w="234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0.726–1.056</w:t>
            </w:r>
          </w:p>
        </w:tc>
        <w:tc>
          <w:tcPr>
            <w:tcW w:w="1530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0.157</w:t>
            </w:r>
          </w:p>
        </w:tc>
      </w:tr>
    </w:tbl>
    <w:p w:rsidR="00633228" w:rsidRDefault="00633228"/>
    <w:p w:rsidR="00633228" w:rsidRDefault="00633228" w:rsidP="00633228"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t xml:space="preserve">: </w:t>
      </w:r>
      <w:r w:rsidRPr="00215CAD">
        <w:t>Sensitivity of adaptation-gap estimates to the vulnerability threshold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1367"/>
        <w:gridCol w:w="1648"/>
        <w:gridCol w:w="933"/>
        <w:gridCol w:w="1519"/>
        <w:gridCol w:w="1367"/>
      </w:tblGrid>
      <w:tr w:rsidR="00633228" w:rsidRPr="000518C4" w:rsidTr="00E35A97">
        <w:trPr>
          <w:trHeight w:val="512"/>
        </w:trPr>
        <w:tc>
          <w:tcPr>
            <w:tcW w:w="2925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High-vulnerability definition</w:t>
            </w:r>
          </w:p>
        </w:tc>
        <w:tc>
          <w:tcPr>
            <w:tcW w:w="136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GSHVI threshold</w:t>
            </w:r>
          </w:p>
        </w:tc>
        <w:tc>
          <w:tcPr>
            <w:tcW w:w="164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High-vulnerability N</w:t>
            </w:r>
          </w:p>
        </w:tc>
        <w:tc>
          <w:tcPr>
            <w:tcW w:w="933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Gap N</w:t>
            </w:r>
          </w:p>
        </w:tc>
        <w:tc>
          <w:tcPr>
            <w:tcW w:w="1519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Gap within high (%)</w:t>
            </w:r>
          </w:p>
        </w:tc>
        <w:tc>
          <w:tcPr>
            <w:tcW w:w="136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Gap in sample (%)</w:t>
            </w:r>
          </w:p>
        </w:tc>
      </w:tr>
      <w:tr w:rsidR="00633228" w:rsidRPr="000518C4" w:rsidTr="00E35A97">
        <w:trPr>
          <w:trHeight w:val="240"/>
        </w:trPr>
        <w:tc>
          <w:tcPr>
            <w:tcW w:w="2925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Top 20%</w:t>
            </w:r>
          </w:p>
        </w:tc>
        <w:tc>
          <w:tcPr>
            <w:tcW w:w="136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0.614</w:t>
            </w:r>
          </w:p>
        </w:tc>
        <w:tc>
          <w:tcPr>
            <w:tcW w:w="164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77</w:t>
            </w:r>
          </w:p>
        </w:tc>
        <w:tc>
          <w:tcPr>
            <w:tcW w:w="933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67</w:t>
            </w:r>
          </w:p>
        </w:tc>
        <w:tc>
          <w:tcPr>
            <w:tcW w:w="1519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87.0</w:t>
            </w:r>
          </w:p>
        </w:tc>
        <w:tc>
          <w:tcPr>
            <w:tcW w:w="136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17.5</w:t>
            </w:r>
          </w:p>
        </w:tc>
      </w:tr>
      <w:tr w:rsidR="00633228" w:rsidRPr="000518C4" w:rsidTr="00E35A97">
        <w:trPr>
          <w:trHeight w:val="240"/>
        </w:trPr>
        <w:tc>
          <w:tcPr>
            <w:tcW w:w="2925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Top 33%</w:t>
            </w:r>
          </w:p>
        </w:tc>
        <w:tc>
          <w:tcPr>
            <w:tcW w:w="136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0.572</w:t>
            </w:r>
          </w:p>
        </w:tc>
        <w:tc>
          <w:tcPr>
            <w:tcW w:w="164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128</w:t>
            </w:r>
          </w:p>
        </w:tc>
        <w:tc>
          <w:tcPr>
            <w:tcW w:w="933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106</w:t>
            </w:r>
          </w:p>
        </w:tc>
        <w:tc>
          <w:tcPr>
            <w:tcW w:w="1519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82.8</w:t>
            </w:r>
          </w:p>
        </w:tc>
        <w:tc>
          <w:tcPr>
            <w:tcW w:w="136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27.7</w:t>
            </w:r>
          </w:p>
        </w:tc>
      </w:tr>
      <w:tr w:rsidR="00633228" w:rsidRPr="000518C4" w:rsidTr="00E35A97">
        <w:trPr>
          <w:trHeight w:val="231"/>
        </w:trPr>
        <w:tc>
          <w:tcPr>
            <w:tcW w:w="2925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Top 40%</w:t>
            </w:r>
          </w:p>
        </w:tc>
        <w:tc>
          <w:tcPr>
            <w:tcW w:w="136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0.552</w:t>
            </w:r>
          </w:p>
        </w:tc>
        <w:tc>
          <w:tcPr>
            <w:tcW w:w="1648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153</w:t>
            </w:r>
          </w:p>
        </w:tc>
        <w:tc>
          <w:tcPr>
            <w:tcW w:w="933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119</w:t>
            </w:r>
          </w:p>
        </w:tc>
        <w:tc>
          <w:tcPr>
            <w:tcW w:w="1519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77.8</w:t>
            </w:r>
          </w:p>
        </w:tc>
        <w:tc>
          <w:tcPr>
            <w:tcW w:w="136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31.1</w:t>
            </w:r>
          </w:p>
        </w:tc>
      </w:tr>
    </w:tbl>
    <w:p w:rsidR="00633228" w:rsidRDefault="00633228"/>
    <w:p w:rsidR="00633228" w:rsidRDefault="00633228" w:rsidP="00633228"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t xml:space="preserve">: </w:t>
      </w:r>
      <w:r w:rsidRPr="00D01DB6">
        <w:t>Mixed-method joint display of principal quantitative and qualitative findings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404"/>
        <w:gridCol w:w="3917"/>
        <w:gridCol w:w="3473"/>
      </w:tblGrid>
      <w:tr w:rsidR="00633228" w:rsidRPr="000518C4" w:rsidTr="00E35A97">
        <w:trPr>
          <w:trHeight w:val="253"/>
        </w:trPr>
        <w:tc>
          <w:tcPr>
            <w:tcW w:w="2404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Quantitative result</w:t>
            </w:r>
          </w:p>
        </w:tc>
        <w:tc>
          <w:tcPr>
            <w:tcW w:w="391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Qualitative evidence</w:t>
            </w:r>
          </w:p>
        </w:tc>
        <w:tc>
          <w:tcPr>
            <w:tcW w:w="3473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  <w:b/>
              </w:rPr>
              <w:t>Integrated interpretation</w:t>
            </w:r>
          </w:p>
        </w:tc>
      </w:tr>
      <w:tr w:rsidR="00633228" w:rsidRPr="000518C4" w:rsidTr="00E35A97">
        <w:trPr>
          <w:trHeight w:val="997"/>
        </w:trPr>
        <w:tc>
          <w:tcPr>
            <w:tcW w:w="2404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Higher GSHVI strongly associated with lower adaptation</w:t>
            </w:r>
          </w:p>
        </w:tc>
        <w:tc>
          <w:tcPr>
            <w:tcW w:w="391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Debt-financed recovery, asset loss and difficult post-disaster labor</w:t>
            </w:r>
          </w:p>
        </w:tc>
        <w:tc>
          <w:tcPr>
            <w:tcW w:w="3473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High adaptation need can coexist with insufficient financial and labor capacity to invest in longer-term measures</w:t>
            </w:r>
          </w:p>
        </w:tc>
      </w:tr>
      <w:tr w:rsidR="00633228" w:rsidRPr="000518C4" w:rsidTr="00E35A97">
        <w:trPr>
          <w:trHeight w:val="1005"/>
        </w:trPr>
        <w:tc>
          <w:tcPr>
            <w:tcW w:w="2404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Sensitivity negatively associated with adaptation</w:t>
            </w:r>
          </w:p>
        </w:tc>
        <w:tc>
          <w:tcPr>
            <w:tcW w:w="391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Weak embankments, impassable roads, saline water and inadequate shelters</w:t>
            </w:r>
          </w:p>
        </w:tc>
        <w:tc>
          <w:tcPr>
            <w:tcW w:w="3473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Structural sensitivity includes constraints that individual households cannot readily overcome</w:t>
            </w:r>
          </w:p>
        </w:tc>
      </w:tr>
      <w:tr w:rsidR="00633228" w:rsidRPr="000518C4" w:rsidTr="00E35A97">
        <w:trPr>
          <w:trHeight w:val="1005"/>
        </w:trPr>
        <w:tc>
          <w:tcPr>
            <w:tcW w:w="2404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Material capacity strongly positive</w:t>
            </w:r>
          </w:p>
        </w:tc>
        <w:tc>
          <w:tcPr>
            <w:tcW w:w="391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Low savings, borrowing and disrupted livelihoods shaped recovery choices</w:t>
            </w:r>
          </w:p>
        </w:tc>
        <w:tc>
          <w:tcPr>
            <w:tcW w:w="3473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Liquidity, diversification and self-sufficiency are central to converting risk awareness into action</w:t>
            </w:r>
          </w:p>
        </w:tc>
      </w:tr>
      <w:tr w:rsidR="00633228" w:rsidRPr="000518C4" w:rsidTr="00E35A97">
        <w:trPr>
          <w:trHeight w:val="752"/>
        </w:trPr>
        <w:tc>
          <w:tcPr>
            <w:tcW w:w="2404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Gender main effect non</w:t>
            </w:r>
            <w:r>
              <w:rPr>
                <w:rFonts w:eastAsia="Times New Roman"/>
              </w:rPr>
              <w:t>-</w:t>
            </w:r>
            <w:r w:rsidRPr="000518C4">
              <w:rPr>
                <w:rFonts w:eastAsia="Times New Roman"/>
              </w:rPr>
              <w:t>significant; interaction inconclusive</w:t>
            </w:r>
          </w:p>
        </w:tc>
        <w:tc>
          <w:tcPr>
            <w:tcW w:w="391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Women and girls reported sanitation, care, safety, mobility and recovery burdens alongside some decision voice</w:t>
            </w:r>
          </w:p>
        </w:tc>
        <w:tc>
          <w:tcPr>
            <w:tcW w:w="3473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Gender operates relationally and contextually rather than as a simple female-versus-male coefficient</w:t>
            </w:r>
          </w:p>
        </w:tc>
      </w:tr>
      <w:tr w:rsidR="00633228" w:rsidRPr="000518C4" w:rsidTr="00E35A97">
        <w:trPr>
          <w:trHeight w:val="1250"/>
        </w:trPr>
        <w:tc>
          <w:tcPr>
            <w:tcW w:w="2404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Institutional access positive but inference-sensitive</w:t>
            </w:r>
          </w:p>
        </w:tc>
        <w:tc>
          <w:tcPr>
            <w:tcW w:w="3917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Committees reported active coordination but insufficient funds, equipment and infrastructure</w:t>
            </w:r>
          </w:p>
        </w:tc>
        <w:tc>
          <w:tcPr>
            <w:tcW w:w="3473" w:type="dxa"/>
          </w:tcPr>
          <w:p w:rsidR="00633228" w:rsidRPr="000518C4" w:rsidRDefault="00633228" w:rsidP="00E35A97">
            <w:pPr>
              <w:spacing w:after="0"/>
            </w:pPr>
            <w:r w:rsidRPr="000518C4">
              <w:rPr>
                <w:rFonts w:eastAsia="Times New Roman"/>
              </w:rPr>
              <w:t>Connection to institutions can enable adaptation, but operational capability and last-mile reach determine whether access becomes effective support</w:t>
            </w:r>
          </w:p>
        </w:tc>
      </w:tr>
    </w:tbl>
    <w:p w:rsidR="00633228" w:rsidRDefault="00633228">
      <w:bookmarkStart w:id="0" w:name="_GoBack"/>
      <w:bookmarkEnd w:id="0"/>
    </w:p>
    <w:sectPr w:rsidR="00633228" w:rsidSect="00633228">
      <w:pgSz w:w="11906" w:h="16838" w:code="9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ESRI NIMA VMAP1&amp;2 PT"/>
    <w:panose1 w:val="00000400000000000000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588"/>
    <w:rsid w:val="001E3185"/>
    <w:rsid w:val="002C48F1"/>
    <w:rsid w:val="004941E0"/>
    <w:rsid w:val="00633228"/>
    <w:rsid w:val="00960C1D"/>
    <w:rsid w:val="009D4863"/>
    <w:rsid w:val="00A07588"/>
    <w:rsid w:val="00B17A63"/>
    <w:rsid w:val="00F0401C"/>
    <w:rsid w:val="00F5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47453"/>
  <w15:chartTrackingRefBased/>
  <w15:docId w15:val="{75DF27FE-D1A8-4525-AC7B-B928210CE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228"/>
    <w:pPr>
      <w:spacing w:after="80" w:line="276" w:lineRule="auto"/>
    </w:pPr>
    <w:rPr>
      <w:rFonts w:ascii="Times New Roman" w:eastAsiaTheme="minorEastAsia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401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401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401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01C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040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0401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401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401C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401C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401C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401C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401C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0401C"/>
    <w:pPr>
      <w:spacing w:after="160" w:line="240" w:lineRule="auto"/>
    </w:pPr>
    <w:rPr>
      <w:rFonts w:asciiTheme="minorHAnsi" w:eastAsiaTheme="minorHAnsi" w:hAnsi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F0401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0401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401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401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F0401C"/>
    <w:rPr>
      <w:b/>
      <w:bCs/>
    </w:rPr>
  </w:style>
  <w:style w:type="character" w:styleId="Emphasis">
    <w:name w:val="Emphasis"/>
    <w:basedOn w:val="DefaultParagraphFont"/>
    <w:uiPriority w:val="20"/>
    <w:qFormat/>
    <w:rsid w:val="00F0401C"/>
    <w:rPr>
      <w:i/>
      <w:iCs/>
    </w:rPr>
  </w:style>
  <w:style w:type="paragraph" w:styleId="NoSpacing">
    <w:name w:val="No Spacing"/>
    <w:link w:val="NoSpacingChar"/>
    <w:uiPriority w:val="1"/>
    <w:qFormat/>
    <w:rsid w:val="00F0401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0401C"/>
  </w:style>
  <w:style w:type="paragraph" w:styleId="ListParagraph">
    <w:name w:val="List Paragraph"/>
    <w:basedOn w:val="Normal"/>
    <w:uiPriority w:val="34"/>
    <w:qFormat/>
    <w:rsid w:val="00F0401C"/>
    <w:pPr>
      <w:spacing w:after="160" w:line="259" w:lineRule="auto"/>
      <w:ind w:left="720"/>
      <w:contextualSpacing/>
    </w:pPr>
    <w:rPr>
      <w:rFonts w:asciiTheme="minorHAnsi" w:eastAsiaTheme="minorHAnsi" w:hAnsiTheme="minorHAnsi"/>
    </w:rPr>
  </w:style>
  <w:style w:type="paragraph" w:styleId="Quote">
    <w:name w:val="Quote"/>
    <w:basedOn w:val="Normal"/>
    <w:next w:val="Normal"/>
    <w:link w:val="QuoteChar"/>
    <w:uiPriority w:val="29"/>
    <w:qFormat/>
    <w:rsid w:val="00F0401C"/>
    <w:pPr>
      <w:spacing w:before="120" w:after="120" w:line="259" w:lineRule="auto"/>
      <w:ind w:left="720"/>
    </w:pPr>
    <w:rPr>
      <w:rFonts w:asciiTheme="minorHAnsi" w:eastAsiaTheme="minorHAnsi" w:hAnsi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0401C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01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01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0401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0401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0401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0401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F0401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0401C"/>
    <w:pPr>
      <w:outlineLvl w:val="9"/>
    </w:pPr>
  </w:style>
  <w:style w:type="table" w:styleId="TableGrid">
    <w:name w:val="Table Grid"/>
    <w:basedOn w:val="TableNormal"/>
    <w:uiPriority w:val="59"/>
    <w:rsid w:val="0063322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2394</Words>
  <Characters>13650</Characters>
  <Application>Microsoft Office Word</Application>
  <DocSecurity>0</DocSecurity>
  <Lines>113</Lines>
  <Paragraphs>32</Paragraphs>
  <ScaleCrop>false</ScaleCrop>
  <Company/>
  <LinksUpToDate>false</LinksUpToDate>
  <CharactersWithSpaces>16012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Shovon Das</dc:creator>
  <cp:keywords/>
  <dc:description/>
  <cp:lastModifiedBy>Shovon Das</cp:lastModifiedBy>
  <cp:revision>2</cp:revision>
  <dcterms:created xsi:type="dcterms:W3CDTF">2026-09-04T15:46:00Z</dcterms:created>
  <dcterms:modified xsi:type="dcterms:W3CDTF">2026-09-04T15:51:00Z</dcterms:modified>
</cp:coreProperties>
</file>