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pageBreakBefore w:val="0"/>
        <w:spacing w:before="140" w:after="80" w:lineRule="auto" w:line="24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24"/>
        </w:rPr>
        <w:t>Table 2. DGE incidence according to anatomical location and operative exposure</w:t>
      </w:r>
    </w:p>
    <w:tbl>
      <w:tblPr>
        <w:tblW w:type="dxa" w:w="8208"/>
        <w:jc w:val="center"/>
        <w:tblLayout w:type="fixed"/>
        <w:tblLook w:firstColumn="1" w:firstRow="1" w:lastColumn="0" w:lastRow="0" w:noHBand="0" w:noVBand="1" w:val="04A0"/>
        <w:tblBorders>
          <w:top w:val="single" w:sz="12" w:space="0" w:color="2F5597"/>
          <w:bottom w:val="single" w:sz="12" w:space="0" w:color="2F5597"/>
          <w:insideH w:val="single" w:sz="4" w:space="0" w:color="B4C6E7"/>
          <w:left w:val="nil" w:sz="0" w:space="0" w:color="auto"/>
          <w:right w:val="nil" w:sz="0" w:space="0" w:color="auto"/>
          <w:insideV w:val="nil" w:sz="0" w:space="0" w:color="auto"/>
        </w:tblBorders>
      </w:tblPr>
      <w:tblGrid>
        <w:gridCol w:w="1831"/>
        <w:gridCol w:w="2716"/>
        <w:gridCol w:w="1063"/>
        <w:gridCol w:w="1831"/>
        <w:gridCol w:w="768"/>
      </w:tblGrid>
      <w:tr>
        <w:trPr>
          <w:tblHeader w:val="true"/>
          <w:cantSplit/>
        </w:trPr>
        <w:tc>
          <w:tcPr>
            <w:tcW w:type="dxa" w:w="1831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Domain</w:t>
            </w:r>
          </w:p>
        </w:tc>
        <w:tc>
          <w:tcPr>
            <w:tcW w:type="dxa" w:w="2716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Stratum</w:t>
            </w:r>
          </w:p>
        </w:tc>
        <w:tc>
          <w:tcPr>
            <w:tcW w:type="dxa" w:w="1063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DGE/total</w:t>
            </w:r>
          </w:p>
        </w:tc>
        <w:tc>
          <w:tcPr>
            <w:tcW w:type="dxa" w:w="1831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Incidence, %</w:t>
              <w:br/>
              <w:t>(95% CI)</w:t>
            </w:r>
          </w:p>
        </w:tc>
        <w:tc>
          <w:tcPr>
            <w:tcW w:type="dxa" w:w="768"/>
            <w:shd w:fill="D9E2F3"/>
            <w:tcMar>
              <w:top w:w="70" w:type="dxa"/>
              <w:start w:w="65" w:type="dxa"/>
              <w:bottom w:w="70" w:type="dxa"/>
              <w:end w:w="65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color w:val="000000"/>
                <w:sz w:val="15"/>
              </w:rPr>
              <w:t>Overall P</w:t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Tumour location</w:t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Distal transverse colon near the splenic flexure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4/86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4.65 (1.83–11.35)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0.192</w:t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Splenic flexure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3/85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3.53 (1.21–9.87)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Middle/upper descending colon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2/73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2.74 (0.75–9.45)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Lower descending colon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0/65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 (0–5.58)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Descending–sigmoid junction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0/70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 (0–5.20)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Proximal–extended operative field</w:t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Yes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9/244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3.69 (1.95–6.86)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0.030</w:t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No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0/135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 (0–2.77)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Splenic-flexure mobilisation</w:t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Yes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9/244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3.69 (1.95–6.86)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0.030</w:t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No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0/135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 (0–2.77)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IMV ligation level</w:t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Root ligation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6/116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5.17 (2.39–10.83)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0.015</w:t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High ligation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3/128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2.34 (0.80–6.66)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Non-high ligation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0/135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 (0–2.77)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Treitz-adjacent dissection</w:t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Yes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9/244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3.69 (1.95–6.86)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0.030</w:t>
            </w:r>
          </w:p>
        </w:tc>
      </w:tr>
      <w:tr>
        <w:trPr>
          <w:cantSplit/>
        </w:trPr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2716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No</w:t>
            </w:r>
          </w:p>
        </w:tc>
        <w:tc>
          <w:tcPr>
            <w:tcW w:type="dxa" w:w="1063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0/135</w:t>
            </w:r>
          </w:p>
        </w:tc>
        <w:tc>
          <w:tcPr>
            <w:tcW w:type="dxa" w:w="1831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  <w:t>0 (0–2.77)</w:t>
            </w:r>
          </w:p>
        </w:tc>
        <w:tc>
          <w:tcPr>
            <w:tcW w:type="dxa" w:w="768"/>
            <w:shd w:fill="FFFFFF"/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  <w:tcBorders>
              <w:top w:val="nil" w:sz="0" w:space="0" w:color="auto"/>
              <w:bottom w:val="nil" w:sz="0" w:space="0" w:color="auto"/>
              <w:left w:val="nil" w:sz="0" w:space="0" w:color="auto"/>
              <w:right w:val="nil" w:sz="0" w:space="0" w:color="auto"/>
              <w:insideH w:val="nil" w:sz="0" w:space="0" w:color="auto"/>
              <w:insideV w:val="nil" w:sz="0" w:space="0" w:color="auto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keepNext w:val="0"/>
        <w:pageBreakBefore w:val="0"/>
        <w:spacing w:before="40" w:after="80" w:lineRule="auto" w:line="240"/>
        <w:jc w:val="left"/>
      </w:pPr>
      <w:r>
        <w:rPr>
          <w:rFonts w:ascii="Times New Roman" w:hAnsi="Times New Roman" w:eastAsia="Times New Roman" w:cs="Times New Roman"/>
          <w:b w:val="0"/>
          <w:i w:val="0"/>
          <w:color w:val="000000"/>
          <w:sz w:val="17"/>
        </w:rPr>
        <w:t>Confidence intervals are Wilson 95% CIs and overall P values are from Fisher’s exact test. The proximal–extended operative-field phenotype, splenic-flexure mobilisation, and Treitz-adjacent dissection coincided completely in this cohort and cannot be attributed separately.</w:t>
      </w:r>
    </w:p>
    <w:sectPr w:rsidR="00800465" w:rsidRPr="00375CE6">
      <w:headerReference w:type="default" r:id="rId12"/>
      <w:footerReference w:type="default" r:id="rId13"/>
      <w:pgSz w:w="11909" w:h="16834"/>
      <w:pgMar w:top="1440" w:right="1800" w:bottom="1440" w:left="1800" w:header="432" w:footer="43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lef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3F"/>
    <w:rsid w:val="000021B9"/>
    <w:rsid w:val="000068EE"/>
    <w:rsid w:val="00011D70"/>
    <w:rsid w:val="0003350C"/>
    <w:rsid w:val="00033FF5"/>
    <w:rsid w:val="00050B7F"/>
    <w:rsid w:val="0008253F"/>
    <w:rsid w:val="00095C29"/>
    <w:rsid w:val="000C069A"/>
    <w:rsid w:val="000C08F7"/>
    <w:rsid w:val="000C2F3C"/>
    <w:rsid w:val="000C3E0C"/>
    <w:rsid w:val="000C5B7F"/>
    <w:rsid w:val="000D6197"/>
    <w:rsid w:val="0010539B"/>
    <w:rsid w:val="001216AC"/>
    <w:rsid w:val="00127C38"/>
    <w:rsid w:val="00133A03"/>
    <w:rsid w:val="0014523F"/>
    <w:rsid w:val="001460FF"/>
    <w:rsid w:val="0016079F"/>
    <w:rsid w:val="00162860"/>
    <w:rsid w:val="00170725"/>
    <w:rsid w:val="00191F7A"/>
    <w:rsid w:val="001945E3"/>
    <w:rsid w:val="001949F9"/>
    <w:rsid w:val="001A0937"/>
    <w:rsid w:val="001D331D"/>
    <w:rsid w:val="001E5CE7"/>
    <w:rsid w:val="001F1C51"/>
    <w:rsid w:val="001F3EA2"/>
    <w:rsid w:val="001F46F3"/>
    <w:rsid w:val="002044D7"/>
    <w:rsid w:val="002470F0"/>
    <w:rsid w:val="00252439"/>
    <w:rsid w:val="00255F4C"/>
    <w:rsid w:val="00257C46"/>
    <w:rsid w:val="00276550"/>
    <w:rsid w:val="00294C09"/>
    <w:rsid w:val="002A3735"/>
    <w:rsid w:val="002B7011"/>
    <w:rsid w:val="002D0BF8"/>
    <w:rsid w:val="002D2D7D"/>
    <w:rsid w:val="002D565C"/>
    <w:rsid w:val="002D5CA7"/>
    <w:rsid w:val="002D725C"/>
    <w:rsid w:val="002D781B"/>
    <w:rsid w:val="002F38DA"/>
    <w:rsid w:val="002F49C6"/>
    <w:rsid w:val="002F6C9F"/>
    <w:rsid w:val="00303F3A"/>
    <w:rsid w:val="00316C0E"/>
    <w:rsid w:val="00352173"/>
    <w:rsid w:val="003663D6"/>
    <w:rsid w:val="00367233"/>
    <w:rsid w:val="00371639"/>
    <w:rsid w:val="00375CE6"/>
    <w:rsid w:val="003A7981"/>
    <w:rsid w:val="003C4D37"/>
    <w:rsid w:val="003C7D92"/>
    <w:rsid w:val="003D0CC7"/>
    <w:rsid w:val="003F45DE"/>
    <w:rsid w:val="004036F5"/>
    <w:rsid w:val="00405D9A"/>
    <w:rsid w:val="00411256"/>
    <w:rsid w:val="00412972"/>
    <w:rsid w:val="0041565C"/>
    <w:rsid w:val="004172BD"/>
    <w:rsid w:val="00422849"/>
    <w:rsid w:val="00426AC3"/>
    <w:rsid w:val="00426CB1"/>
    <w:rsid w:val="00433143"/>
    <w:rsid w:val="00434871"/>
    <w:rsid w:val="00437F08"/>
    <w:rsid w:val="004475E9"/>
    <w:rsid w:val="00447B70"/>
    <w:rsid w:val="00452CB4"/>
    <w:rsid w:val="0045339B"/>
    <w:rsid w:val="0045520F"/>
    <w:rsid w:val="00460D8E"/>
    <w:rsid w:val="00467466"/>
    <w:rsid w:val="004833E3"/>
    <w:rsid w:val="0049024E"/>
    <w:rsid w:val="00495291"/>
    <w:rsid w:val="004B29D0"/>
    <w:rsid w:val="004B3889"/>
    <w:rsid w:val="004D3DFA"/>
    <w:rsid w:val="004E10DD"/>
    <w:rsid w:val="004E71A3"/>
    <w:rsid w:val="004F3C29"/>
    <w:rsid w:val="004F43CB"/>
    <w:rsid w:val="00501020"/>
    <w:rsid w:val="005057D9"/>
    <w:rsid w:val="00533246"/>
    <w:rsid w:val="00536049"/>
    <w:rsid w:val="00546397"/>
    <w:rsid w:val="005478F2"/>
    <w:rsid w:val="005623B9"/>
    <w:rsid w:val="00566D0E"/>
    <w:rsid w:val="0057182A"/>
    <w:rsid w:val="0058415C"/>
    <w:rsid w:val="00593B96"/>
    <w:rsid w:val="00596B65"/>
    <w:rsid w:val="005A1B64"/>
    <w:rsid w:val="005A297B"/>
    <w:rsid w:val="005B59EE"/>
    <w:rsid w:val="005B7237"/>
    <w:rsid w:val="005C0E09"/>
    <w:rsid w:val="005C576B"/>
    <w:rsid w:val="005D52D4"/>
    <w:rsid w:val="005D6798"/>
    <w:rsid w:val="005E3DEE"/>
    <w:rsid w:val="005E5DA0"/>
    <w:rsid w:val="005F033A"/>
    <w:rsid w:val="00603334"/>
    <w:rsid w:val="006172C3"/>
    <w:rsid w:val="006202E8"/>
    <w:rsid w:val="00627D1B"/>
    <w:rsid w:val="00634607"/>
    <w:rsid w:val="006707F2"/>
    <w:rsid w:val="006903E4"/>
    <w:rsid w:val="00692FA1"/>
    <w:rsid w:val="006D2C55"/>
    <w:rsid w:val="006E77F3"/>
    <w:rsid w:val="006F29BE"/>
    <w:rsid w:val="006F69C2"/>
    <w:rsid w:val="00703072"/>
    <w:rsid w:val="007047FD"/>
    <w:rsid w:val="00721D3A"/>
    <w:rsid w:val="00733E53"/>
    <w:rsid w:val="00736B37"/>
    <w:rsid w:val="007428A5"/>
    <w:rsid w:val="007550AD"/>
    <w:rsid w:val="00757F2B"/>
    <w:rsid w:val="00763E0B"/>
    <w:rsid w:val="00767FEF"/>
    <w:rsid w:val="00770659"/>
    <w:rsid w:val="0078263B"/>
    <w:rsid w:val="007930ED"/>
    <w:rsid w:val="007A44B9"/>
    <w:rsid w:val="007A7E92"/>
    <w:rsid w:val="007E5B23"/>
    <w:rsid w:val="00800465"/>
    <w:rsid w:val="008121F4"/>
    <w:rsid w:val="00814954"/>
    <w:rsid w:val="00814E7B"/>
    <w:rsid w:val="00822FCA"/>
    <w:rsid w:val="00826C60"/>
    <w:rsid w:val="008336A6"/>
    <w:rsid w:val="00835AA6"/>
    <w:rsid w:val="00837B11"/>
    <w:rsid w:val="008540EC"/>
    <w:rsid w:val="008600FD"/>
    <w:rsid w:val="008734E7"/>
    <w:rsid w:val="00877593"/>
    <w:rsid w:val="008A7978"/>
    <w:rsid w:val="008C7A70"/>
    <w:rsid w:val="008F0090"/>
    <w:rsid w:val="008F706C"/>
    <w:rsid w:val="009072F1"/>
    <w:rsid w:val="00907948"/>
    <w:rsid w:val="00962A91"/>
    <w:rsid w:val="0098680B"/>
    <w:rsid w:val="0098755E"/>
    <w:rsid w:val="009A537F"/>
    <w:rsid w:val="009D6726"/>
    <w:rsid w:val="009D68E2"/>
    <w:rsid w:val="009E3B1F"/>
    <w:rsid w:val="009F54AC"/>
    <w:rsid w:val="009F6BFF"/>
    <w:rsid w:val="009F6CE1"/>
    <w:rsid w:val="009F7242"/>
    <w:rsid w:val="00A1026B"/>
    <w:rsid w:val="00A17780"/>
    <w:rsid w:val="00A425D0"/>
    <w:rsid w:val="00A646E9"/>
    <w:rsid w:val="00A945E5"/>
    <w:rsid w:val="00AA7C73"/>
    <w:rsid w:val="00AC551A"/>
    <w:rsid w:val="00AD07D6"/>
    <w:rsid w:val="00AD13AE"/>
    <w:rsid w:val="00AD6852"/>
    <w:rsid w:val="00B04B18"/>
    <w:rsid w:val="00B06FFA"/>
    <w:rsid w:val="00B11485"/>
    <w:rsid w:val="00B11A6D"/>
    <w:rsid w:val="00B34A23"/>
    <w:rsid w:val="00B477CD"/>
    <w:rsid w:val="00B70BEA"/>
    <w:rsid w:val="00B77779"/>
    <w:rsid w:val="00BA340E"/>
    <w:rsid w:val="00BB11BE"/>
    <w:rsid w:val="00BB5F3E"/>
    <w:rsid w:val="00BE1625"/>
    <w:rsid w:val="00BE1A84"/>
    <w:rsid w:val="00BF1004"/>
    <w:rsid w:val="00BF1943"/>
    <w:rsid w:val="00BF4C4E"/>
    <w:rsid w:val="00C00F9B"/>
    <w:rsid w:val="00C0114D"/>
    <w:rsid w:val="00C61CBD"/>
    <w:rsid w:val="00C8092B"/>
    <w:rsid w:val="00C8306A"/>
    <w:rsid w:val="00C86EBF"/>
    <w:rsid w:val="00C97BEB"/>
    <w:rsid w:val="00CA6D26"/>
    <w:rsid w:val="00CB612F"/>
    <w:rsid w:val="00CC1968"/>
    <w:rsid w:val="00CC74E6"/>
    <w:rsid w:val="00CD1090"/>
    <w:rsid w:val="00CD70C6"/>
    <w:rsid w:val="00CE09D2"/>
    <w:rsid w:val="00CE0EBA"/>
    <w:rsid w:val="00CF32C1"/>
    <w:rsid w:val="00CF64F1"/>
    <w:rsid w:val="00CF68A1"/>
    <w:rsid w:val="00D12A5F"/>
    <w:rsid w:val="00D1433E"/>
    <w:rsid w:val="00D144C4"/>
    <w:rsid w:val="00D31F22"/>
    <w:rsid w:val="00D544D3"/>
    <w:rsid w:val="00D56329"/>
    <w:rsid w:val="00D72B2F"/>
    <w:rsid w:val="00D740A7"/>
    <w:rsid w:val="00D771F6"/>
    <w:rsid w:val="00D91008"/>
    <w:rsid w:val="00D9395A"/>
    <w:rsid w:val="00D95E62"/>
    <w:rsid w:val="00DA0F95"/>
    <w:rsid w:val="00DA3CC1"/>
    <w:rsid w:val="00DD129A"/>
    <w:rsid w:val="00DD2894"/>
    <w:rsid w:val="00DD4641"/>
    <w:rsid w:val="00DD6BF8"/>
    <w:rsid w:val="00DD7BA3"/>
    <w:rsid w:val="00DE6CB4"/>
    <w:rsid w:val="00DF1AC0"/>
    <w:rsid w:val="00DF2C42"/>
    <w:rsid w:val="00E0313B"/>
    <w:rsid w:val="00E06CCD"/>
    <w:rsid w:val="00E16241"/>
    <w:rsid w:val="00E57A85"/>
    <w:rsid w:val="00E7102C"/>
    <w:rsid w:val="00E72048"/>
    <w:rsid w:val="00E74B63"/>
    <w:rsid w:val="00E75507"/>
    <w:rsid w:val="00EA5C9A"/>
    <w:rsid w:val="00EA5D9B"/>
    <w:rsid w:val="00EB244E"/>
    <w:rsid w:val="00EB2D9C"/>
    <w:rsid w:val="00EB5BCC"/>
    <w:rsid w:val="00EC6952"/>
    <w:rsid w:val="00EC7D59"/>
    <w:rsid w:val="00ED3CDE"/>
    <w:rsid w:val="00F04E82"/>
    <w:rsid w:val="00F1216B"/>
    <w:rsid w:val="00F1255C"/>
    <w:rsid w:val="00F31D95"/>
    <w:rsid w:val="00F41320"/>
    <w:rsid w:val="00F42470"/>
    <w:rsid w:val="00F43BBF"/>
    <w:rsid w:val="00F45C95"/>
    <w:rsid w:val="00F502E8"/>
    <w:rsid w:val="00F54DF9"/>
    <w:rsid w:val="00F54EB8"/>
    <w:rsid w:val="00F560FA"/>
    <w:rsid w:val="00F658D4"/>
    <w:rsid w:val="00F67822"/>
    <w:rsid w:val="00F874F7"/>
    <w:rsid w:val="00FA635D"/>
    <w:rsid w:val="00FB3FFA"/>
    <w:rsid w:val="00FB4FB7"/>
    <w:rsid w:val="00FC44F1"/>
    <w:rsid w:val="00FD011D"/>
    <w:rsid w:val="00FF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A34C1"/>
  <w15:chartTrackingRefBased/>
  <w15:docId w15:val="{33A38FBE-42EA-3041-97A8-EB82CA9E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53F"/>
    <w:pPr>
      <w:spacing w:after="0" w:line="317" w:lineRule="auto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253F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53F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53F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53F"/>
    <w:pPr>
      <w:keepNext/>
      <w:keepLines/>
      <w:widowControl w:val="0"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53F"/>
    <w:pPr>
      <w:keepNext/>
      <w:keepLines/>
      <w:widowControl w:val="0"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53F"/>
    <w:pPr>
      <w:keepNext/>
      <w:keepLines/>
      <w:widowControl w:val="0"/>
      <w:spacing w:before="40" w:after="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53F"/>
    <w:pPr>
      <w:keepNext/>
      <w:keepLines/>
      <w:widowControl w:val="0"/>
      <w:spacing w:before="40" w:after="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53F"/>
    <w:pPr>
      <w:keepNext/>
      <w:keepLines/>
      <w:widowControl w:val="0"/>
      <w:spacing w:after="0"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53F"/>
    <w:pPr>
      <w:keepNext/>
      <w:keepLines/>
      <w:widowControl w:val="0"/>
      <w:spacing w:after="0"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253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2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2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253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253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253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253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253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253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253F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82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53F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8253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253F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825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253F"/>
    <w:pPr>
      <w:widowControl w:val="0"/>
      <w:spacing w:after="0" w:line="240" w:lineRule="auto"/>
      <w:ind w:left="720"/>
      <w:contextualSpacing/>
    </w:pPr>
    <w:rPr>
      <w:rFonts w:asciiTheme="minorHAnsi" w:eastAsiaTheme="minorEastAsia" w:hAnsiTheme="minorHAnsi" w:cstheme="minorBidi"/>
      <w:color w:val="auto"/>
      <w:kern w:val="2"/>
      <w:sz w:val="21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0825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253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825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2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25</Pages>
  <Words>5890</Words>
  <Characters>37878</Characters>
  <Application>Microsoft Office Word</Application>
  <DocSecurity>0</DocSecurity>
  <Lines>582</Lines>
  <Paragraphs>306</Paragraphs>
  <ScaleCrop>false</ScaleCrop>
  <Company/>
  <LinksUpToDate>false</LinksUpToDate>
  <CharactersWithSpaces>43462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2. DGE incidence according to anatomical location and operative exposure</dc:title>
  <dc:subject/>
  <dc:creator>fei teng</dc:creator>
  <cp:keywords/>
  <dc:description/>
  <cp:lastModifiedBy>fei teng</cp:lastModifiedBy>
  <cp:revision>2</cp:revision>
  <dcterms:created xsi:type="dcterms:W3CDTF">2026-08-23T05:09:00Z</dcterms:created>
  <dcterms:modified xsi:type="dcterms:W3CDTF">2026-08-23T05:52:00Z</dcterms:modified>
</cp:coreProperties>
</file>