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pageBreakBefore w:val="0"/>
        <w:spacing w:before="140" w:after="80" w:lineRule="auto" w:line="240"/>
        <w:jc w:val="left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4"/>
        </w:rPr>
        <w:t>Table 1. Clinical and perioperative characteristics of the study cohort</w:t>
      </w:r>
    </w:p>
    <w:tbl>
      <w:tblPr>
        <w:tblW w:type="dxa" w:w="8208"/>
        <w:jc w:val="center"/>
        <w:tblLayout w:type="fixed"/>
        <w:tblLook w:firstColumn="1" w:firstRow="1" w:lastColumn="0" w:lastRow="0" w:noHBand="0" w:noVBand="1" w:val="04A0"/>
        <w:tblBorders>
          <w:top w:val="single" w:sz="12" w:space="0" w:color="2F5597"/>
          <w:bottom w:val="single" w:sz="12" w:space="0" w:color="2F5597"/>
          <w:insideH w:val="single" w:sz="4" w:space="0" w:color="B4C6E7"/>
          <w:left w:val="nil" w:sz="0" w:space="0" w:color="auto"/>
          <w:right w:val="nil" w:sz="0" w:space="0" w:color="auto"/>
          <w:insideV w:val="nil" w:sz="0" w:space="0" w:color="auto"/>
        </w:tblBorders>
      </w:tblPr>
      <w:tblGrid>
        <w:gridCol w:w="3063"/>
        <w:gridCol w:w="1531"/>
        <w:gridCol w:w="1531"/>
        <w:gridCol w:w="1409"/>
        <w:gridCol w:w="674"/>
      </w:tblGrid>
      <w:tr>
        <w:trPr>
          <w:tblHeader w:val="true"/>
          <w:cantSplit/>
        </w:trPr>
        <w:tc>
          <w:tcPr>
            <w:tcW w:type="dxa" w:w="3063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Variable</w:t>
            </w:r>
          </w:p>
        </w:tc>
        <w:tc>
          <w:tcPr>
            <w:tcW w:type="dxa" w:w="1531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Overall</w:t>
              <w:br/>
              <w:t>(n=379)</w:t>
            </w:r>
          </w:p>
        </w:tc>
        <w:tc>
          <w:tcPr>
            <w:tcW w:type="dxa" w:w="1531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No DGE</w:t>
              <w:br/>
              <w:t>(n=370)</w:t>
            </w:r>
          </w:p>
        </w:tc>
        <w:tc>
          <w:tcPr>
            <w:tcW w:type="dxa" w:w="1409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DGE</w:t>
              <w:br/>
              <w:t>(n=9)</w:t>
            </w:r>
          </w:p>
        </w:tc>
        <w:tc>
          <w:tcPr>
            <w:tcW w:type="dxa" w:w="674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P value</w:t>
            </w:r>
          </w:p>
        </w:tc>
      </w:tr>
      <w:tr>
        <w:trPr>
          <w:cantSplit/>
        </w:trPr>
        <w:tc>
          <w:tcPr>
            <w:tcW w:type="dxa" w:w="3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Age, years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69.0 [59.0–76.0]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69.0 [59.0–76.0]</w:t>
            </w:r>
          </w:p>
        </w:tc>
        <w:tc>
          <w:tcPr>
            <w:tcW w:type="dxa" w:w="1409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67.0 [65.0–75.0]</w:t>
            </w:r>
          </w:p>
        </w:tc>
        <w:tc>
          <w:tcPr>
            <w:tcW w:type="dxa" w:w="67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0.958</w:t>
            </w:r>
          </w:p>
        </w:tc>
      </w:tr>
      <w:tr>
        <w:trPr>
          <w:cantSplit/>
        </w:trPr>
        <w:tc>
          <w:tcPr>
            <w:tcW w:type="dxa" w:w="3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BMI, kg/m²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23.2 [21.1–25.2]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23.2 [21.2–25.2]</w:t>
            </w:r>
          </w:p>
        </w:tc>
        <w:tc>
          <w:tcPr>
            <w:tcW w:type="dxa" w:w="1409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22.1 [20.7–23.9]</w:t>
            </w:r>
          </w:p>
        </w:tc>
        <w:tc>
          <w:tcPr>
            <w:tcW w:type="dxa" w:w="67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0.484</w:t>
            </w:r>
          </w:p>
        </w:tc>
      </w:tr>
      <w:tr>
        <w:trPr>
          <w:cantSplit/>
        </w:trPr>
        <w:tc>
          <w:tcPr>
            <w:tcW w:type="dxa" w:w="3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Operating time, min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132.0 [118.5–147.0]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132.0 [118.2–147.0]</w:t>
            </w:r>
          </w:p>
        </w:tc>
        <w:tc>
          <w:tcPr>
            <w:tcW w:type="dxa" w:w="1409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136.0 [126.0–146.0]</w:t>
            </w:r>
          </w:p>
        </w:tc>
        <w:tc>
          <w:tcPr>
            <w:tcW w:type="dxa" w:w="67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0.576</w:t>
            </w:r>
          </w:p>
        </w:tc>
      </w:tr>
      <w:tr>
        <w:trPr>
          <w:cantSplit/>
        </w:trPr>
        <w:tc>
          <w:tcPr>
            <w:tcW w:type="dxa" w:w="3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Intraoperative blood loss, mL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90.0 [60.0–120.0]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90.0 [60.0–120.0]</w:t>
            </w:r>
          </w:p>
        </w:tc>
        <w:tc>
          <w:tcPr>
            <w:tcW w:type="dxa" w:w="1409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100.0 [80.0–120.0]</w:t>
            </w:r>
          </w:p>
        </w:tc>
        <w:tc>
          <w:tcPr>
            <w:tcW w:type="dxa" w:w="67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0.699</w:t>
            </w:r>
          </w:p>
        </w:tc>
      </w:tr>
      <w:tr>
        <w:trPr>
          <w:cantSplit/>
        </w:trPr>
        <w:tc>
          <w:tcPr>
            <w:tcW w:type="dxa" w:w="3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Preoperative albumin, g/L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38.0 [33.0–43.0]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38.0 [33.0–43.0]</w:t>
            </w:r>
          </w:p>
        </w:tc>
        <w:tc>
          <w:tcPr>
            <w:tcW w:type="dxa" w:w="1409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36.0 [32.0–41.0]</w:t>
            </w:r>
          </w:p>
        </w:tc>
        <w:tc>
          <w:tcPr>
            <w:tcW w:type="dxa" w:w="67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0.582</w:t>
            </w:r>
          </w:p>
        </w:tc>
      </w:tr>
      <w:tr>
        <w:trPr>
          <w:cantSplit/>
        </w:trPr>
        <w:tc>
          <w:tcPr>
            <w:tcW w:type="dxa" w:w="3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Maximum tumour diameter, cm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4.5 [3.0–5.5]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4.2 [3.0–5.5]</w:t>
            </w:r>
          </w:p>
        </w:tc>
        <w:tc>
          <w:tcPr>
            <w:tcW w:type="dxa" w:w="1409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4.5 [4.0–5.5]</w:t>
            </w:r>
          </w:p>
        </w:tc>
        <w:tc>
          <w:tcPr>
            <w:tcW w:type="dxa" w:w="67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0.419</w:t>
            </w:r>
          </w:p>
        </w:tc>
      </w:tr>
      <w:tr>
        <w:trPr>
          <w:cantSplit/>
        </w:trPr>
        <w:tc>
          <w:tcPr>
            <w:tcW w:type="dxa" w:w="3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Male sex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242 (63.9%)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236 (63.8%)</w:t>
            </w:r>
          </w:p>
        </w:tc>
        <w:tc>
          <w:tcPr>
            <w:tcW w:type="dxa" w:w="1409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6 (66.7%)</w:t>
            </w:r>
          </w:p>
        </w:tc>
        <w:tc>
          <w:tcPr>
            <w:tcW w:type="dxa" w:w="67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1.000</w:t>
            </w:r>
          </w:p>
        </w:tc>
      </w:tr>
      <w:tr>
        <w:trPr>
          <w:cantSplit/>
        </w:trPr>
        <w:tc>
          <w:tcPr>
            <w:tcW w:type="dxa" w:w="3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Type 2 diabetes mellitus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129 (34.0%)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126 (34.1%)</w:t>
            </w:r>
          </w:p>
        </w:tc>
        <w:tc>
          <w:tcPr>
            <w:tcW w:type="dxa" w:w="1409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3 (33.3%)</w:t>
            </w:r>
          </w:p>
        </w:tc>
        <w:tc>
          <w:tcPr>
            <w:tcW w:type="dxa" w:w="67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1.000</w:t>
            </w:r>
          </w:p>
        </w:tc>
      </w:tr>
      <w:tr>
        <w:trPr>
          <w:cantSplit/>
        </w:trPr>
        <w:tc>
          <w:tcPr>
            <w:tcW w:type="dxa" w:w="3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Preoperative anxiety (GAD-7 ≥10)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120 (31.7%)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117 (31.6%)</w:t>
            </w:r>
          </w:p>
        </w:tc>
        <w:tc>
          <w:tcPr>
            <w:tcW w:type="dxa" w:w="1409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3 (33.3%)</w:t>
            </w:r>
          </w:p>
        </w:tc>
        <w:tc>
          <w:tcPr>
            <w:tcW w:type="dxa" w:w="67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1.000</w:t>
            </w:r>
          </w:p>
        </w:tc>
      </w:tr>
      <w:tr>
        <w:trPr>
          <w:cantSplit/>
        </w:trPr>
        <w:tc>
          <w:tcPr>
            <w:tcW w:type="dxa" w:w="3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Previous abdominal surgery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130 (34.3%)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126 (34.1%)</w:t>
            </w:r>
          </w:p>
        </w:tc>
        <w:tc>
          <w:tcPr>
            <w:tcW w:type="dxa" w:w="1409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4 (44.4%)</w:t>
            </w:r>
          </w:p>
        </w:tc>
        <w:tc>
          <w:tcPr>
            <w:tcW w:type="dxa" w:w="67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0.500</w:t>
            </w:r>
          </w:p>
        </w:tc>
      </w:tr>
      <w:tr>
        <w:trPr>
          <w:cantSplit/>
        </w:trPr>
        <w:tc>
          <w:tcPr>
            <w:tcW w:type="dxa" w:w="3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Preoperative colonic obstruction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65 (17.2%)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62 (16.8%)</w:t>
            </w:r>
          </w:p>
        </w:tc>
        <w:tc>
          <w:tcPr>
            <w:tcW w:type="dxa" w:w="1409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3 (33.3%)</w:t>
            </w:r>
          </w:p>
        </w:tc>
        <w:tc>
          <w:tcPr>
            <w:tcW w:type="dxa" w:w="67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0.188</w:t>
            </w:r>
          </w:p>
        </w:tc>
      </w:tr>
      <w:tr>
        <w:trPr>
          <w:cantSplit/>
        </w:trPr>
        <w:tc>
          <w:tcPr>
            <w:tcW w:type="dxa" w:w="3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Net-positive fluid balance &gt;1000 mL, postoperative days 1–7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75 (19.8%)</w:t>
            </w:r>
          </w:p>
        </w:tc>
        <w:tc>
          <w:tcPr>
            <w:tcW w:type="dxa" w:w="15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71 (19.2%)</w:t>
            </w:r>
          </w:p>
        </w:tc>
        <w:tc>
          <w:tcPr>
            <w:tcW w:type="dxa" w:w="1409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4 (44.4%)</w:t>
            </w:r>
          </w:p>
        </w:tc>
        <w:tc>
          <w:tcPr>
            <w:tcW w:type="dxa" w:w="67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0.080</w:t>
            </w:r>
          </w:p>
        </w:tc>
      </w:tr>
    </w:tbl>
    <w:p>
      <w:pPr>
        <w:keepNext w:val="0"/>
        <w:pageBreakBefore w:val="0"/>
        <w:spacing w:before="40" w:after="80" w:lineRule="auto" w:line="240"/>
        <w:jc w:val="left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7"/>
        </w:rPr>
        <w:t>Data are median [interquartile range] or n (%). Continuous variables were compared using the Mann–Whitney U test and categorical variables using Fisher’s exact test. Postoperative fluid balance was an exploratory time-overlapping variable.</w:t>
      </w:r>
    </w:p>
    <w:sectPr w:rsidR="00800465" w:rsidRPr="00375CE6">
      <w:headerReference w:type="default" r:id="rId12"/>
      <w:footerReference w:type="default" r:id="rId13"/>
      <w:pgSz w:w="11909" w:h="16834"/>
      <w:pgMar w:top="1440" w:right="1800" w:bottom="1440" w:left="1800" w:header="432" w:footer="43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lef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3F"/>
    <w:rsid w:val="000021B9"/>
    <w:rsid w:val="000068EE"/>
    <w:rsid w:val="00011D70"/>
    <w:rsid w:val="0003350C"/>
    <w:rsid w:val="00033FF5"/>
    <w:rsid w:val="00050B7F"/>
    <w:rsid w:val="0008253F"/>
    <w:rsid w:val="00095C29"/>
    <w:rsid w:val="000C069A"/>
    <w:rsid w:val="000C08F7"/>
    <w:rsid w:val="000C2F3C"/>
    <w:rsid w:val="000C3E0C"/>
    <w:rsid w:val="000C5B7F"/>
    <w:rsid w:val="000D6197"/>
    <w:rsid w:val="0010539B"/>
    <w:rsid w:val="001216AC"/>
    <w:rsid w:val="00127C38"/>
    <w:rsid w:val="00133A03"/>
    <w:rsid w:val="0014523F"/>
    <w:rsid w:val="001460FF"/>
    <w:rsid w:val="0016079F"/>
    <w:rsid w:val="00162860"/>
    <w:rsid w:val="00170725"/>
    <w:rsid w:val="00191F7A"/>
    <w:rsid w:val="001945E3"/>
    <w:rsid w:val="001949F9"/>
    <w:rsid w:val="001A0937"/>
    <w:rsid w:val="001D331D"/>
    <w:rsid w:val="001E5CE7"/>
    <w:rsid w:val="001F1C51"/>
    <w:rsid w:val="001F3EA2"/>
    <w:rsid w:val="001F46F3"/>
    <w:rsid w:val="002044D7"/>
    <w:rsid w:val="002470F0"/>
    <w:rsid w:val="00252439"/>
    <w:rsid w:val="00255F4C"/>
    <w:rsid w:val="00257C46"/>
    <w:rsid w:val="00276550"/>
    <w:rsid w:val="00294C09"/>
    <w:rsid w:val="002A3735"/>
    <w:rsid w:val="002B7011"/>
    <w:rsid w:val="002D0BF8"/>
    <w:rsid w:val="002D2D7D"/>
    <w:rsid w:val="002D565C"/>
    <w:rsid w:val="002D5CA7"/>
    <w:rsid w:val="002D725C"/>
    <w:rsid w:val="002D781B"/>
    <w:rsid w:val="002F38DA"/>
    <w:rsid w:val="002F49C6"/>
    <w:rsid w:val="002F6C9F"/>
    <w:rsid w:val="00303F3A"/>
    <w:rsid w:val="00316C0E"/>
    <w:rsid w:val="00352173"/>
    <w:rsid w:val="003663D6"/>
    <w:rsid w:val="00367233"/>
    <w:rsid w:val="00371639"/>
    <w:rsid w:val="00375CE6"/>
    <w:rsid w:val="003A7981"/>
    <w:rsid w:val="003C4D37"/>
    <w:rsid w:val="003C7D92"/>
    <w:rsid w:val="003D0CC7"/>
    <w:rsid w:val="003F45DE"/>
    <w:rsid w:val="004036F5"/>
    <w:rsid w:val="00405D9A"/>
    <w:rsid w:val="00411256"/>
    <w:rsid w:val="00412972"/>
    <w:rsid w:val="0041565C"/>
    <w:rsid w:val="004172BD"/>
    <w:rsid w:val="00422849"/>
    <w:rsid w:val="00426AC3"/>
    <w:rsid w:val="00426CB1"/>
    <w:rsid w:val="00433143"/>
    <w:rsid w:val="00434871"/>
    <w:rsid w:val="00437F08"/>
    <w:rsid w:val="004475E9"/>
    <w:rsid w:val="00447B70"/>
    <w:rsid w:val="00452CB4"/>
    <w:rsid w:val="0045339B"/>
    <w:rsid w:val="0045520F"/>
    <w:rsid w:val="00460D8E"/>
    <w:rsid w:val="00467466"/>
    <w:rsid w:val="004833E3"/>
    <w:rsid w:val="0049024E"/>
    <w:rsid w:val="00495291"/>
    <w:rsid w:val="004B29D0"/>
    <w:rsid w:val="004B3889"/>
    <w:rsid w:val="004D3DFA"/>
    <w:rsid w:val="004E10DD"/>
    <w:rsid w:val="004E71A3"/>
    <w:rsid w:val="004F3C29"/>
    <w:rsid w:val="004F43CB"/>
    <w:rsid w:val="00501020"/>
    <w:rsid w:val="005057D9"/>
    <w:rsid w:val="00533246"/>
    <w:rsid w:val="00536049"/>
    <w:rsid w:val="00546397"/>
    <w:rsid w:val="005478F2"/>
    <w:rsid w:val="005623B9"/>
    <w:rsid w:val="00566D0E"/>
    <w:rsid w:val="0057182A"/>
    <w:rsid w:val="0058415C"/>
    <w:rsid w:val="00593B96"/>
    <w:rsid w:val="00596B65"/>
    <w:rsid w:val="005A1B64"/>
    <w:rsid w:val="005A297B"/>
    <w:rsid w:val="005B59EE"/>
    <w:rsid w:val="005B7237"/>
    <w:rsid w:val="005C0E09"/>
    <w:rsid w:val="005C576B"/>
    <w:rsid w:val="005D52D4"/>
    <w:rsid w:val="005D6798"/>
    <w:rsid w:val="005E3DEE"/>
    <w:rsid w:val="005E5DA0"/>
    <w:rsid w:val="005F033A"/>
    <w:rsid w:val="00603334"/>
    <w:rsid w:val="006172C3"/>
    <w:rsid w:val="006202E8"/>
    <w:rsid w:val="00627D1B"/>
    <w:rsid w:val="00634607"/>
    <w:rsid w:val="006707F2"/>
    <w:rsid w:val="006903E4"/>
    <w:rsid w:val="00692FA1"/>
    <w:rsid w:val="006D2C55"/>
    <w:rsid w:val="006E77F3"/>
    <w:rsid w:val="006F29BE"/>
    <w:rsid w:val="006F69C2"/>
    <w:rsid w:val="00703072"/>
    <w:rsid w:val="007047FD"/>
    <w:rsid w:val="00721D3A"/>
    <w:rsid w:val="00733E53"/>
    <w:rsid w:val="00736B37"/>
    <w:rsid w:val="007428A5"/>
    <w:rsid w:val="007550AD"/>
    <w:rsid w:val="00757F2B"/>
    <w:rsid w:val="00763E0B"/>
    <w:rsid w:val="00767FEF"/>
    <w:rsid w:val="00770659"/>
    <w:rsid w:val="0078263B"/>
    <w:rsid w:val="007930ED"/>
    <w:rsid w:val="007A44B9"/>
    <w:rsid w:val="007A7E92"/>
    <w:rsid w:val="007E5B23"/>
    <w:rsid w:val="00800465"/>
    <w:rsid w:val="008121F4"/>
    <w:rsid w:val="00814954"/>
    <w:rsid w:val="00814E7B"/>
    <w:rsid w:val="00822FCA"/>
    <w:rsid w:val="00826C60"/>
    <w:rsid w:val="008336A6"/>
    <w:rsid w:val="00835AA6"/>
    <w:rsid w:val="00837B11"/>
    <w:rsid w:val="008540EC"/>
    <w:rsid w:val="008600FD"/>
    <w:rsid w:val="008734E7"/>
    <w:rsid w:val="00877593"/>
    <w:rsid w:val="008A7978"/>
    <w:rsid w:val="008C7A70"/>
    <w:rsid w:val="008F0090"/>
    <w:rsid w:val="008F706C"/>
    <w:rsid w:val="009072F1"/>
    <w:rsid w:val="00907948"/>
    <w:rsid w:val="00962A91"/>
    <w:rsid w:val="0098680B"/>
    <w:rsid w:val="0098755E"/>
    <w:rsid w:val="009A537F"/>
    <w:rsid w:val="009D6726"/>
    <w:rsid w:val="009D68E2"/>
    <w:rsid w:val="009E3B1F"/>
    <w:rsid w:val="009F54AC"/>
    <w:rsid w:val="009F6BFF"/>
    <w:rsid w:val="009F6CE1"/>
    <w:rsid w:val="009F7242"/>
    <w:rsid w:val="00A1026B"/>
    <w:rsid w:val="00A17780"/>
    <w:rsid w:val="00A425D0"/>
    <w:rsid w:val="00A646E9"/>
    <w:rsid w:val="00A945E5"/>
    <w:rsid w:val="00AA7C73"/>
    <w:rsid w:val="00AC551A"/>
    <w:rsid w:val="00AD07D6"/>
    <w:rsid w:val="00AD13AE"/>
    <w:rsid w:val="00AD6852"/>
    <w:rsid w:val="00B04B18"/>
    <w:rsid w:val="00B06FFA"/>
    <w:rsid w:val="00B11485"/>
    <w:rsid w:val="00B11A6D"/>
    <w:rsid w:val="00B34A23"/>
    <w:rsid w:val="00B477CD"/>
    <w:rsid w:val="00B70BEA"/>
    <w:rsid w:val="00B77779"/>
    <w:rsid w:val="00BA340E"/>
    <w:rsid w:val="00BB11BE"/>
    <w:rsid w:val="00BB5F3E"/>
    <w:rsid w:val="00BE1625"/>
    <w:rsid w:val="00BE1A84"/>
    <w:rsid w:val="00BF1004"/>
    <w:rsid w:val="00BF1943"/>
    <w:rsid w:val="00BF4C4E"/>
    <w:rsid w:val="00C00F9B"/>
    <w:rsid w:val="00C0114D"/>
    <w:rsid w:val="00C61CBD"/>
    <w:rsid w:val="00C8092B"/>
    <w:rsid w:val="00C8306A"/>
    <w:rsid w:val="00C86EBF"/>
    <w:rsid w:val="00C97BEB"/>
    <w:rsid w:val="00CA6D26"/>
    <w:rsid w:val="00CB612F"/>
    <w:rsid w:val="00CC1968"/>
    <w:rsid w:val="00CC74E6"/>
    <w:rsid w:val="00CD1090"/>
    <w:rsid w:val="00CD70C6"/>
    <w:rsid w:val="00CE09D2"/>
    <w:rsid w:val="00CE0EBA"/>
    <w:rsid w:val="00CF32C1"/>
    <w:rsid w:val="00CF64F1"/>
    <w:rsid w:val="00CF68A1"/>
    <w:rsid w:val="00D12A5F"/>
    <w:rsid w:val="00D1433E"/>
    <w:rsid w:val="00D144C4"/>
    <w:rsid w:val="00D31F22"/>
    <w:rsid w:val="00D544D3"/>
    <w:rsid w:val="00D56329"/>
    <w:rsid w:val="00D72B2F"/>
    <w:rsid w:val="00D740A7"/>
    <w:rsid w:val="00D771F6"/>
    <w:rsid w:val="00D91008"/>
    <w:rsid w:val="00D9395A"/>
    <w:rsid w:val="00D95E62"/>
    <w:rsid w:val="00DA0F95"/>
    <w:rsid w:val="00DA3CC1"/>
    <w:rsid w:val="00DD129A"/>
    <w:rsid w:val="00DD2894"/>
    <w:rsid w:val="00DD4641"/>
    <w:rsid w:val="00DD6BF8"/>
    <w:rsid w:val="00DD7BA3"/>
    <w:rsid w:val="00DE6CB4"/>
    <w:rsid w:val="00DF1AC0"/>
    <w:rsid w:val="00DF2C42"/>
    <w:rsid w:val="00E0313B"/>
    <w:rsid w:val="00E06CCD"/>
    <w:rsid w:val="00E16241"/>
    <w:rsid w:val="00E57A85"/>
    <w:rsid w:val="00E7102C"/>
    <w:rsid w:val="00E72048"/>
    <w:rsid w:val="00E74B63"/>
    <w:rsid w:val="00E75507"/>
    <w:rsid w:val="00EA5C9A"/>
    <w:rsid w:val="00EA5D9B"/>
    <w:rsid w:val="00EB244E"/>
    <w:rsid w:val="00EB2D9C"/>
    <w:rsid w:val="00EB5BCC"/>
    <w:rsid w:val="00EC6952"/>
    <w:rsid w:val="00EC7D59"/>
    <w:rsid w:val="00ED3CDE"/>
    <w:rsid w:val="00F04E82"/>
    <w:rsid w:val="00F1216B"/>
    <w:rsid w:val="00F1255C"/>
    <w:rsid w:val="00F31D95"/>
    <w:rsid w:val="00F41320"/>
    <w:rsid w:val="00F42470"/>
    <w:rsid w:val="00F43BBF"/>
    <w:rsid w:val="00F45C95"/>
    <w:rsid w:val="00F502E8"/>
    <w:rsid w:val="00F54DF9"/>
    <w:rsid w:val="00F54EB8"/>
    <w:rsid w:val="00F560FA"/>
    <w:rsid w:val="00F658D4"/>
    <w:rsid w:val="00F67822"/>
    <w:rsid w:val="00F874F7"/>
    <w:rsid w:val="00FA635D"/>
    <w:rsid w:val="00FB3FFA"/>
    <w:rsid w:val="00FB4FB7"/>
    <w:rsid w:val="00FC44F1"/>
    <w:rsid w:val="00FD011D"/>
    <w:rsid w:val="00F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2A34C1"/>
  <w15:chartTrackingRefBased/>
  <w15:docId w15:val="{33A38FBE-42EA-3041-97A8-EB82CA9E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53F"/>
    <w:pPr>
      <w:spacing w:after="0" w:line="317" w:lineRule="auto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253F"/>
    <w:pPr>
      <w:keepNext/>
      <w:keepLines/>
      <w:widowControl w:val="0"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53F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253F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253F"/>
    <w:pPr>
      <w:keepNext/>
      <w:keepLines/>
      <w:widowControl w:val="0"/>
      <w:spacing w:before="80" w:after="40" w:line="240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253F"/>
    <w:pPr>
      <w:keepNext/>
      <w:keepLines/>
      <w:widowControl w:val="0"/>
      <w:spacing w:before="80" w:after="40" w:line="240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253F"/>
    <w:pPr>
      <w:keepNext/>
      <w:keepLines/>
      <w:widowControl w:val="0"/>
      <w:spacing w:before="40" w:after="0" w:line="240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253F"/>
    <w:pPr>
      <w:keepNext/>
      <w:keepLines/>
      <w:widowControl w:val="0"/>
      <w:spacing w:before="40" w:after="0" w:line="240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253F"/>
    <w:pPr>
      <w:keepNext/>
      <w:keepLines/>
      <w:widowControl w:val="0"/>
      <w:spacing w:after="0" w:line="240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253F"/>
    <w:pPr>
      <w:keepNext/>
      <w:keepLines/>
      <w:widowControl w:val="0"/>
      <w:spacing w:after="0" w:line="240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8253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82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82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8253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8253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8253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8253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8253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8253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8253F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82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253F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825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253F"/>
    <w:pPr>
      <w:widowControl w:val="0"/>
      <w:spacing w:before="160" w:after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825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253F"/>
    <w:pPr>
      <w:widowControl w:val="0"/>
      <w:spacing w:after="0" w:line="240" w:lineRule="auto"/>
      <w:ind w:left="720"/>
      <w:contextualSpacing/>
    </w:pPr>
    <w:rPr>
      <w:rFonts w:asciiTheme="minorHAnsi" w:eastAsiaTheme="minorEastAsia" w:hAnsiTheme="minorHAnsi" w:cstheme="minorBidi"/>
      <w:color w:val="auto"/>
      <w:kern w:val="2"/>
      <w:sz w:val="21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08253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253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8253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25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25</Pages>
  <Words>5890</Words>
  <Characters>37878</Characters>
  <Application>Microsoft Office Word</Application>
  <DocSecurity>0</DocSecurity>
  <Lines>582</Lines>
  <Paragraphs>306</Paragraphs>
  <ScaleCrop>false</ScaleCrop>
  <Company/>
  <LinksUpToDate>false</LinksUpToDate>
  <CharactersWithSpaces>43462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1. Clinical and perioperative characteristics of the study cohort</dc:title>
  <dc:subject/>
  <dc:creator>fei teng</dc:creator>
  <cp:keywords/>
  <dc:description/>
  <cp:lastModifiedBy>fei teng</cp:lastModifiedBy>
  <cp:revision>2</cp:revision>
  <dcterms:created xsi:type="dcterms:W3CDTF">2026-08-23T05:09:00Z</dcterms:created>
  <dcterms:modified xsi:type="dcterms:W3CDTF">2026-08-23T05:52:00Z</dcterms:modified>
</cp:coreProperties>
</file>