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pageBreakBefore w:val="0"/>
        <w:spacing w:before="0" w:after="120" w:lineRule="auto" w:line="360"/>
        <w:jc w:val="left"/>
      </w:pPr>
      <w:r>
        <w:rPr>
          <w:rFonts w:ascii="Times New Roman" w:hAnsi="Times New Roman" w:eastAsia="Times New Roman" w:cs="Times New Roman"/>
          <w:b/>
          <w:i w:val="0"/>
          <w:color w:val="000000"/>
          <w:sz w:val="24"/>
        </w:rPr>
        <w:t>SUPPLEMENTAL INFORMATION</w:t>
      </w:r>
    </w:p>
    <w:p>
      <w:pPr>
        <w:keepNext/>
        <w:pageBreakBefore w:val="0"/>
        <w:spacing w:before="0" w:after="200" w:lineRule="auto" w:line="360"/>
        <w:jc w:val="left"/>
      </w:pPr>
      <w:r>
        <w:rPr>
          <w:rFonts w:ascii="Times New Roman" w:hAnsi="Times New Roman" w:eastAsia="Times New Roman" w:cs="Times New Roman"/>
          <w:b/>
          <w:i w:val="0"/>
          <w:color w:val="000000"/>
          <w:sz w:val="28"/>
        </w:rPr>
        <w:t>Supplemental Information: Delayed Gastric Emptying After Laparoscopic Left Hemicolectomy: Incidence, Clinical Course, and Operative-Field Extension</w:t>
      </w:r>
    </w:p>
    <w:p>
      <w:pPr>
        <w:keepNext w:val="0"/>
        <w:pageBreakBefore w:val="0"/>
        <w:spacing w:before="0" w:after="140" w:lineRule="auto" w:line="317"/>
        <w:jc w:val="left"/>
      </w:pPr>
      <w:r>
        <w:rPr>
          <w:rFonts w:ascii="Times New Roman" w:hAnsi="Times New Roman" w:eastAsia="Times New Roman" w:cs="Times New Roman"/>
          <w:b w:val="0"/>
          <w:i w:val="0"/>
          <w:color w:val="000000"/>
          <w:sz w:val="24"/>
        </w:rPr>
        <w:t>Fei Teng1,2†, Ming Lei1†, Chun-Yan Yuan3, Pu-hua Wang1, Yi-Ou Cao1*, Shao-Qun Liu1*</w:t>
      </w:r>
    </w:p>
    <w:p>
      <w:pPr>
        <w:keepNext w:val="0"/>
        <w:pageBreakBefore w:val="0"/>
        <w:spacing w:before="0" w:after="0" w:lineRule="auto" w:line="240"/>
        <w:jc w:val="left"/>
      </w:pPr>
    </w:p>
    <w:p>
      <w:pPr>
        <w:keepNext w:val="0"/>
        <w:pageBreakBefore w:val="0"/>
        <w:spacing w:before="0" w:after="40" w:lineRule="auto" w:line="317"/>
        <w:jc w:val="left"/>
      </w:pPr>
      <w:r>
        <w:rPr>
          <w:rFonts w:ascii="Times New Roman" w:hAnsi="Times New Roman" w:eastAsia="Times New Roman" w:cs="Times New Roman"/>
          <w:b w:val="0"/>
          <w:i w:val="0"/>
          <w:color w:val="000000"/>
          <w:sz w:val="24"/>
        </w:rPr>
        <w:t>1Department of Gastrointestinal Surgery, Minhang Hospital, Fudan University, Shanghai, 201199, P. R. China.</w:t>
      </w:r>
    </w:p>
    <w:p>
      <w:pPr>
        <w:keepNext w:val="0"/>
        <w:pageBreakBefore w:val="0"/>
        <w:spacing w:before="0" w:after="40" w:lineRule="auto" w:line="317"/>
        <w:jc w:val="left"/>
      </w:pPr>
      <w:r>
        <w:rPr>
          <w:rFonts w:ascii="Times New Roman" w:hAnsi="Times New Roman" w:eastAsia="Times New Roman" w:cs="Times New Roman"/>
          <w:b w:val="0"/>
          <w:i w:val="0"/>
          <w:color w:val="000000"/>
          <w:sz w:val="24"/>
        </w:rPr>
        <w:t>2Department of General Surgery, People's Hospital of Daguan County, Daguan County, Yunnan Province, 657400, P. R. China.</w:t>
      </w:r>
    </w:p>
    <w:p>
      <w:pPr>
        <w:keepNext w:val="0"/>
        <w:pageBreakBefore w:val="0"/>
        <w:spacing w:before="0" w:after="40" w:lineRule="auto" w:line="317"/>
        <w:jc w:val="left"/>
      </w:pPr>
      <w:r>
        <w:rPr>
          <w:rFonts w:ascii="Times New Roman" w:hAnsi="Times New Roman" w:eastAsia="Times New Roman" w:cs="Times New Roman"/>
          <w:b w:val="0"/>
          <w:i w:val="0"/>
          <w:color w:val="000000"/>
          <w:sz w:val="24"/>
        </w:rPr>
        <w:t>3Department of Pathology, Minhang Hospital, Fudan University, Shanghai, 201199, P. R. China.</w:t>
      </w:r>
    </w:p>
    <w:p>
      <w:pPr>
        <w:keepNext w:val="0"/>
        <w:pageBreakBefore w:val="0"/>
        <w:spacing w:before="0" w:after="0" w:lineRule="auto" w:line="240"/>
        <w:jc w:val="left"/>
      </w:pPr>
    </w:p>
    <w:p>
      <w:pPr>
        <w:keepNext w:val="0"/>
        <w:pageBreakBefore w:val="0"/>
        <w:spacing w:before="100" w:after="40" w:lineRule="auto" w:line="317"/>
        <w:jc w:val="left"/>
      </w:pPr>
      <w:r>
        <w:rPr>
          <w:rFonts w:ascii="Times New Roman" w:hAnsi="Times New Roman" w:eastAsia="Times New Roman" w:cs="Times New Roman"/>
          <w:b w:val="0"/>
          <w:i w:val="0"/>
          <w:color w:val="000000"/>
          <w:sz w:val="24"/>
        </w:rPr>
        <w:t xml:space="preserve">* Correspondence: liushaoqun@fudan.edu.cn; </w:t>
      </w:r>
    </w:p>
    <w:p>
      <w:pPr>
        <w:keepNext w:val="0"/>
        <w:pageBreakBefore w:val="0"/>
        <w:spacing w:before="0" w:after="40" w:lineRule="auto" w:line="317"/>
        <w:jc w:val="left"/>
      </w:pPr>
      <w:r>
        <w:rPr>
          <w:rFonts w:ascii="Times New Roman" w:hAnsi="Times New Roman" w:eastAsia="Times New Roman" w:cs="Times New Roman"/>
          <w:b w:val="0"/>
          <w:i w:val="0"/>
          <w:color w:val="000000"/>
          <w:sz w:val="24"/>
        </w:rPr>
        <w:t>yioucao_doctor@126.com</w:t>
      </w:r>
    </w:p>
    <w:p>
      <w:pPr>
        <w:keepNext w:val="0"/>
        <w:pageBreakBefore w:val="0"/>
        <w:spacing w:before="0" w:after="0" w:lineRule="auto" w:line="240"/>
        <w:jc w:val="left"/>
      </w:pPr>
    </w:p>
    <w:p>
      <w:pPr>
        <w:keepNext w:val="0"/>
        <w:pageBreakBefore w:val="0"/>
        <w:spacing w:before="0" w:after="0" w:lineRule="auto" w:line="317"/>
        <w:jc w:val="left"/>
      </w:pPr>
      <w:r>
        <w:rPr>
          <w:rFonts w:ascii="Times New Roman" w:hAnsi="Times New Roman" w:eastAsia="Times New Roman" w:cs="Times New Roman"/>
          <w:b w:val="0"/>
          <w:i w:val="0"/>
          <w:color w:val="000000"/>
          <w:sz w:val="24"/>
        </w:rPr>
        <w:t>† Fei Teng, Ming Lei contributed equally to this work.</w:t>
      </w:r>
    </w:p>
    <w:p>
      <w:pPr>
        <w:keepNext w:val="0"/>
        <w:pageBreakBefore w:val="0"/>
        <w:spacing w:before="0" w:after="0" w:lineRule="auto" w:line="240"/>
        <w:jc w:val="left"/>
      </w:pPr>
      <w:r>
        <w:br w:type="page"/>
      </w:r>
    </w:p>
    <w:p>
      <w:pPr>
        <w:keepNext/>
        <w:pageBreakBefore w:val="0"/>
        <w:spacing w:before="180" w:after="80" w:lineRule="auto" w:line="317"/>
        <w:jc w:val="left"/>
      </w:pPr>
      <w:r>
        <w:rPr>
          <w:rFonts w:ascii="Times New Roman" w:hAnsi="Times New Roman" w:eastAsia="Times New Roman" w:cs="Times New Roman"/>
          <w:b/>
          <w:i w:val="0"/>
          <w:color w:val="000000"/>
          <w:sz w:val="28"/>
        </w:rPr>
        <w:t>Supplemental Methods</w:t>
      </w:r>
    </w:p>
    <w:p>
      <w:pPr>
        <w:keepNext/>
        <w:pageBreakBefore w:val="0"/>
        <w:spacing w:before="140" w:after="80" w:lineRule="auto" w:line="317"/>
        <w:jc w:val="left"/>
      </w:pPr>
      <w:r>
        <w:rPr>
          <w:rFonts w:ascii="Times New Roman" w:hAnsi="Times New Roman" w:eastAsia="Times New Roman" w:cs="Times New Roman"/>
          <w:b/>
          <w:i w:val="0"/>
          <w:color w:val="000000"/>
          <w:sz w:val="24"/>
        </w:rPr>
        <w:t>DGE adjudication and diagnostic boundaries</w:t>
      </w:r>
    </w:p>
    <w:p>
      <w:pPr>
        <w:keepNext w:val="0"/>
        <w:pageBreakBefore w:val="0"/>
        <w:spacing w:before="0" w:after="0" w:lineRule="auto" w:line="317"/>
        <w:jc w:val="both"/>
      </w:pPr>
      <w:r>
        <w:rPr>
          <w:rFonts w:ascii="Times New Roman" w:hAnsi="Times New Roman" w:eastAsia="Times New Roman" w:cs="Times New Roman"/>
          <w:b w:val="0"/>
          <w:i w:val="0"/>
          <w:color w:val="000000"/>
          <w:sz w:val="24"/>
        </w:rPr>
        <w:t>DGE required a stomach-predominant symptom complex, intolerance of oral intake, or a need for decompression, together with objective evidence of delayed gastric emptying and exclusion of fixed mechanical obstruction. All 9 patients with DGE underwent computed tomography and an upper gastrointestinal contrast study on postoperative day 6; computed tomography showed no fixed mechanical obstruction and contrast imaging supported delayed gastric emptying. Imaging review included angulation at the Treitz region, a local transition point, vascular compression, and proximal dilatation. The available source summaries did not contain standardised measurements of duodenojejunal-flexure angle or proximal bowel calibre, so no patient-level frequency of mild angulation was inferred.</w:t>
      </w:r>
    </w:p>
    <w:p>
      <w:pPr>
        <w:keepNext w:val="0"/>
        <w:pageBreakBefore w:val="0"/>
        <w:spacing w:before="0" w:after="0" w:lineRule="auto" w:line="317"/>
        <w:jc w:val="both"/>
      </w:pPr>
      <w:r>
        <w:rPr>
          <w:rFonts w:ascii="Times New Roman" w:hAnsi="Times New Roman" w:eastAsia="Times New Roman" w:cs="Times New Roman"/>
          <w:b w:val="0"/>
          <w:i w:val="0"/>
          <w:color w:val="000000"/>
          <w:sz w:val="24"/>
        </w:rPr>
        <w:t>A fixed mechanical lesion was defined by a stable transition point, clear external or vascular compression, or persistent anatomical angulation. Diffuse POI referred to broadly delayed recovery of the stomach, small bowel, and colon. Occult functional obstruction at the Treitz region was conceived as a dynamic reduction in transit produced jointly by local inflammatory dysmotility, tissue oedema, and mild or intermittent angulation; it serves as an imaging and mechanistic framework for postoperative gastric retention.</w:t>
      </w:r>
    </w:p>
    <w:p>
      <w:pPr>
        <w:keepNext/>
        <w:pageBreakBefore/>
        <w:spacing w:before="180" w:after="80" w:lineRule="auto" w:line="317"/>
        <w:jc w:val="left"/>
      </w:pPr>
      <w:r>
        <w:rPr>
          <w:rFonts w:ascii="Times New Roman" w:hAnsi="Times New Roman" w:eastAsia="Times New Roman" w:cs="Times New Roman"/>
          <w:b/>
          <w:i w:val="0"/>
          <w:color w:val="000000"/>
          <w:sz w:val="28"/>
        </w:rPr>
        <w:t>Supplemental Tables</w:t>
      </w:r>
    </w:p>
    <w:p>
      <w:pPr>
        <w:keepNext/>
        <w:pageBreakBefore w:val="0"/>
        <w:spacing w:before="140" w:after="80" w:lineRule="auto" w:line="240"/>
        <w:jc w:val="left"/>
      </w:pPr>
      <w:r>
        <w:rPr>
          <w:rFonts w:ascii="Times New Roman" w:hAnsi="Times New Roman" w:eastAsia="Times New Roman" w:cs="Times New Roman"/>
          <w:b w:val="0"/>
          <w:i w:val="0"/>
          <w:color w:val="000000"/>
          <w:sz w:val="24"/>
        </w:rPr>
        <w:t>Table S1. Clinical definitions and analytical roles of key variables</w:t>
      </w:r>
    </w:p>
    <w:tbl>
      <w:tblPr>
        <w:tblW w:type="dxa" w:w="8208"/>
        <w:jc w:val="center"/>
        <w:tblLayout w:type="fixed"/>
        <w:tblLook w:firstColumn="1" w:firstRow="1" w:lastColumn="0" w:lastRow="0" w:noHBand="0" w:noVBand="1" w:val="04A0"/>
        <w:tblBorders>
          <w:top w:val="single" w:sz="12" w:space="0" w:color="2F5597"/>
          <w:bottom w:val="single" w:sz="12" w:space="0" w:color="2F5597"/>
          <w:insideH w:val="single" w:sz="4" w:space="0" w:color="B4C6E7"/>
          <w:left w:val="nil" w:sz="0" w:space="0" w:color="auto"/>
          <w:right w:val="nil" w:sz="0" w:space="0" w:color="auto"/>
          <w:insideV w:val="nil" w:sz="0" w:space="0" w:color="auto"/>
        </w:tblBorders>
      </w:tblPr>
      <w:tblGrid>
        <w:gridCol w:w="1992"/>
        <w:gridCol w:w="5009"/>
        <w:gridCol w:w="1207"/>
      </w:tblGrid>
      <w:tr>
        <w:trPr>
          <w:tblHeader w:val="true"/>
          <w:cantSplit/>
        </w:trPr>
        <w:tc>
          <w:tcPr>
            <w:tcW w:type="dxa" w:w="1992"/>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Variable</w:t>
            </w:r>
          </w:p>
        </w:tc>
        <w:tc>
          <w:tcPr>
            <w:tcW w:type="dxa" w:w="5009"/>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Clinical definition</w:t>
            </w:r>
          </w:p>
        </w:tc>
        <w:tc>
          <w:tcPr>
            <w:tcW w:type="dxa" w:w="1207"/>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Analytical role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DGE</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Persistent upper-GI symptoms, oral-intake intolerance, or decompression requirement; contrast evidence of delayed emptying; and CT exclusion of fixed mechanical obstruction</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Primary outcome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DGE duration</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From first fulfilment of the DGE criteria until decompression was no longer required and oral intake resumed</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Days</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Proximal tumour</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Distal transverse colon near the splenic flexure, splenic flexure, or middle/upper descending colon</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Anatomical classification</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IMV root ligation</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Division close to the IMV–splenic-vein confluence with full exposure posterolateral to the ligament of Treitz</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Operative exposure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IMV high ligation</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Division at the level of the inferior border of the ligament of Treitz</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Operative exposure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IMV non-high ligation</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Division &gt;2 cm below the inferior border of the ligament of Treitz without disturbing the surrounding region</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Operative exposure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Proximal–extended operative field</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Proximal tumour plus splenic-flexure mobilisation, IMV root/high ligation, and Treitz-adjacent dissection</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Composite exposure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Preoperative anxiety</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GAD-7 score ≥10 on the day before surgery</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Preoperative variable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Fluid balance, postoperative days 1–7</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Cumulative input minus output: net negative &gt;1000 mL, within ±1000 mL, or net positive &gt;1000 mL</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Time-overlapping exploratory variable</w:t>
            </w:r>
          </w:p>
        </w:tc>
      </w:tr>
      <w:tr>
        <w:trPr>
          <w:cantSplit/>
        </w:trPr>
        <w:tc>
          <w:tcPr>
            <w:tcW w:type="dxa" w:w="1992"/>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Pathological T4 stage</w:t>
            </w:r>
          </w:p>
        </w:tc>
        <w:tc>
          <w:tcPr>
            <w:tcW w:type="dxa" w:w="5009"/>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Classified according to the AJCC 8th edition</w:t>
            </w:r>
          </w:p>
        </w:tc>
        <w:tc>
          <w:tcPr>
            <w:tcW w:type="dxa" w:w="120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Exploratory pathological exposure</w:t>
            </w:r>
          </w:p>
        </w:tc>
      </w:tr>
    </w:tbl>
    <w:p>
      <w:pPr>
        <w:keepNext w:val="0"/>
        <w:pageBreakBefore w:val="0"/>
        <w:spacing w:before="40" w:after="80" w:lineRule="auto" w:line="240"/>
        <w:jc w:val="left"/>
      </w:pPr>
      <w:r>
        <w:rPr>
          <w:rFonts w:ascii="Times New Roman" w:hAnsi="Times New Roman" w:eastAsia="Times New Roman" w:cs="Times New Roman"/>
          <w:b w:val="0"/>
          <w:i w:val="0"/>
          <w:color w:val="000000"/>
          <w:sz w:val="17"/>
        </w:rPr>
        <w:t>The proximal–extended operative-field phenotype was analysed as the combination of proximal tumour location, splenic-flexure mobilisation, IMV root/high ligation, and Treitz-adjacent dissection. The source dataset contained only a cumulative postoperative-day 1–7 fluid-balance category; a separate day 1–3 exposure could not be reconstructed.</w:t>
      </w:r>
    </w:p>
    <w:p>
      <w:pPr>
        <w:keepNext w:val="0"/>
        <w:pageBreakBefore w:val="0"/>
        <w:spacing w:before="0" w:after="0" w:lineRule="auto" w:line="240"/>
        <w:jc w:val="left"/>
      </w:pPr>
      <w:r>
        <w:br w:type="page"/>
      </w:r>
    </w:p>
    <w:p>
      <w:pPr>
        <w:keepNext/>
        <w:pageBreakBefore w:val="0"/>
        <w:spacing w:before="140" w:after="80" w:lineRule="auto" w:line="240"/>
        <w:jc w:val="left"/>
      </w:pPr>
      <w:r>
        <w:rPr>
          <w:rFonts w:ascii="Times New Roman" w:hAnsi="Times New Roman" w:eastAsia="Times New Roman" w:cs="Times New Roman"/>
          <w:b w:val="0"/>
          <w:i w:val="0"/>
          <w:color w:val="000000"/>
          <w:sz w:val="24"/>
        </w:rPr>
        <w:t>Table S2. Univariable Firth logistic regression for DGE</w:t>
      </w:r>
    </w:p>
    <w:tbl>
      <w:tblPr>
        <w:tblW w:type="dxa" w:w="8208"/>
        <w:jc w:val="center"/>
        <w:tblLayout w:type="fixed"/>
        <w:tblLook w:firstColumn="1" w:firstRow="1" w:lastColumn="0" w:lastRow="0" w:noHBand="0" w:noVBand="1" w:val="04A0"/>
        <w:tblBorders>
          <w:top w:val="single" w:sz="12" w:space="0" w:color="2F5597"/>
          <w:bottom w:val="single" w:sz="12" w:space="0" w:color="2F5597"/>
          <w:insideH w:val="single" w:sz="4" w:space="0" w:color="B4C6E7"/>
          <w:left w:val="nil" w:sz="0" w:space="0" w:color="auto"/>
          <w:right w:val="nil" w:sz="0" w:space="0" w:color="auto"/>
          <w:insideV w:val="nil" w:sz="0" w:space="0" w:color="auto"/>
        </w:tblBorders>
      </w:tblPr>
      <w:tblGrid>
        <w:gridCol w:w="4518"/>
        <w:gridCol w:w="954"/>
        <w:gridCol w:w="1845"/>
        <w:gridCol w:w="891"/>
      </w:tblGrid>
      <w:tr>
        <w:trPr>
          <w:tblHeader w:val="true"/>
          <w:cantSplit/>
        </w:trPr>
        <w:tc>
          <w:tcPr>
            <w:tcW w:type="dxa" w:w="4518"/>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Variable</w:t>
            </w:r>
          </w:p>
        </w:tc>
        <w:tc>
          <w:tcPr>
            <w:tcW w:type="dxa" w:w="954"/>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6"/>
              </w:rPr>
              <w:t>OR</w:t>
            </w:r>
          </w:p>
        </w:tc>
        <w:tc>
          <w:tcPr>
            <w:tcW w:type="dxa" w:w="1845"/>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6"/>
              </w:rPr>
              <w:t>95% CI</w:t>
            </w:r>
          </w:p>
        </w:tc>
        <w:tc>
          <w:tcPr>
            <w:tcW w:type="dxa" w:w="891"/>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6"/>
              </w:rPr>
              <w:t>P value</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Age, per 10 years</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1.04</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0.61–1.88</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0.895</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BMI, per 1 kg/m²</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0.95</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0.77–1.16</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0.647</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Operating time, per 30 min</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1.39</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0.48–4.08</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0.543</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Intraoperative blood loss, per 100 mL</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1.34</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0.24–7.46</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0.732</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Preoperative albumin, per 5 g/L</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0.86</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0.49–1.49</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0.594</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Maximum tumour diameter, per 2 cm</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1.38</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0.71–2.32</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0.322</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Male sex</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1.06</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0.29–4.50</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0.935</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Proximal–extended operative field</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10.93</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1.37–1413.38</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0.018</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Type 2 diabetes mellitus</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1.04</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0.24–3.73</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0.953</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Net-positive fluid balance &gt;1000 mL, postoperative days 1–7</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3.43</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0.90–12.39</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0.069</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Preoperative anxiety</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1.16</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0.27–4.17</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0.825</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Previous abdominal surgery</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1.58</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0.42–5.67</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0.482</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Preoperative colonic obstruction</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2.66</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0.62–9.64</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0.173</w:t>
            </w:r>
          </w:p>
        </w:tc>
      </w:tr>
      <w:tr>
        <w:trPr>
          <w:cantSplit/>
        </w:trPr>
        <w:tc>
          <w:tcPr>
            <w:tcW w:type="dxa" w:w="451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6"/>
              </w:rPr>
              <w:t>AJCC stage III/IV</w:t>
            </w:r>
          </w:p>
        </w:tc>
        <w:tc>
          <w:tcPr>
            <w:tcW w:type="dxa" w:w="954"/>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1.57</w:t>
            </w:r>
          </w:p>
        </w:tc>
        <w:tc>
          <w:tcPr>
            <w:tcW w:type="dxa" w:w="184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0.44–5.92</w:t>
            </w:r>
          </w:p>
        </w:tc>
        <w:tc>
          <w:tcPr>
            <w:tcW w:type="dxa" w:w="89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0.483</w:t>
            </w:r>
          </w:p>
        </w:tc>
      </w:tr>
    </w:tbl>
    <w:p>
      <w:pPr>
        <w:keepNext w:val="0"/>
        <w:pageBreakBefore w:val="0"/>
        <w:spacing w:before="40" w:after="80" w:lineRule="auto" w:line="240"/>
        <w:jc w:val="left"/>
      </w:pPr>
      <w:r>
        <w:rPr>
          <w:rFonts w:ascii="Times New Roman" w:hAnsi="Times New Roman" w:eastAsia="Times New Roman" w:cs="Times New Roman"/>
          <w:b w:val="0"/>
          <w:i w:val="0"/>
          <w:color w:val="000000"/>
          <w:sz w:val="17"/>
        </w:rPr>
        <w:t>The source dataset contained a categorical cumulative balance for postoperative days 1–7 rather than day-specific input and output, so a separate postoperative-day 1–3 exposure could not be reconstructed. The 7-day variable overlapped temporally with outcome ascertainment and was not interpreted causally. Confidence intervals were obtained from profile penalised likelihood.</w:t>
      </w:r>
    </w:p>
    <w:p>
      <w:pPr>
        <w:keepNext w:val="0"/>
        <w:pageBreakBefore w:val="0"/>
        <w:spacing w:before="0" w:after="0" w:lineRule="auto" w:line="240"/>
        <w:jc w:val="left"/>
      </w:pPr>
      <w:r>
        <w:br w:type="page"/>
      </w:r>
    </w:p>
    <w:p>
      <w:pPr>
        <w:keepNext/>
        <w:pageBreakBefore w:val="0"/>
        <w:spacing w:before="140" w:after="80" w:lineRule="auto" w:line="240"/>
        <w:jc w:val="left"/>
      </w:pPr>
      <w:r>
        <w:rPr>
          <w:rFonts w:ascii="Times New Roman" w:hAnsi="Times New Roman" w:eastAsia="Times New Roman" w:cs="Times New Roman"/>
          <w:b w:val="0"/>
          <w:i w:val="0"/>
          <w:color w:val="000000"/>
          <w:sz w:val="24"/>
        </w:rPr>
        <w:t>Table S3. Focused exploratory multivariable Firth models</w:t>
      </w:r>
    </w:p>
    <w:tbl>
      <w:tblPr>
        <w:tblW w:type="dxa" w:w="8208"/>
        <w:jc w:val="center"/>
        <w:tblLayout w:type="fixed"/>
        <w:tblLook w:firstColumn="1" w:firstRow="1" w:lastColumn="0" w:lastRow="0" w:noHBand="0" w:noVBand="1" w:val="04A0"/>
        <w:tblBorders>
          <w:top w:val="single" w:sz="12" w:space="0" w:color="2F5597"/>
          <w:bottom w:val="single" w:sz="12" w:space="0" w:color="2F5597"/>
          <w:insideH w:val="single" w:sz="4" w:space="0" w:color="B4C6E7"/>
          <w:left w:val="nil" w:sz="0" w:space="0" w:color="auto"/>
          <w:right w:val="nil" w:sz="0" w:space="0" w:color="auto"/>
          <w:insideV w:val="nil" w:sz="0" w:space="0" w:color="auto"/>
        </w:tblBorders>
      </w:tblPr>
      <w:tblGrid>
        <w:gridCol w:w="1831"/>
        <w:gridCol w:w="2657"/>
        <w:gridCol w:w="768"/>
        <w:gridCol w:w="1653"/>
        <w:gridCol w:w="768"/>
        <w:gridCol w:w="531"/>
      </w:tblGrid>
      <w:tr>
        <w:trPr>
          <w:tblHeader w:val="true"/>
          <w:cantSplit/>
        </w:trPr>
        <w:tc>
          <w:tcPr>
            <w:tcW w:type="dxa" w:w="1831"/>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5"/>
              </w:rPr>
              <w:t>Analysis population</w:t>
            </w:r>
          </w:p>
        </w:tc>
        <w:tc>
          <w:tcPr>
            <w:tcW w:type="dxa" w:w="2657"/>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Variable</w:t>
            </w:r>
          </w:p>
        </w:tc>
        <w:tc>
          <w:tcPr>
            <w:tcW w:type="dxa" w:w="768"/>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aOR</w:t>
            </w:r>
          </w:p>
        </w:tc>
        <w:tc>
          <w:tcPr>
            <w:tcW w:type="dxa" w:w="1653"/>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95% CI</w:t>
            </w:r>
          </w:p>
        </w:tc>
        <w:tc>
          <w:tcPr>
            <w:tcW w:type="dxa" w:w="768"/>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P value</w:t>
            </w:r>
          </w:p>
        </w:tc>
        <w:tc>
          <w:tcPr>
            <w:tcW w:type="dxa" w:w="531"/>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5"/>
              </w:rPr>
              <w:t>N</w:t>
            </w:r>
          </w:p>
        </w:tc>
      </w:tr>
      <w:tr>
        <w:trPr>
          <w:cantSplit/>
        </w:trPr>
        <w:tc>
          <w:tcPr>
            <w:tcW w:type="dxa" w:w="18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5"/>
              </w:rPr>
              <w:t>Full cohort</w:t>
            </w:r>
          </w:p>
        </w:tc>
        <w:tc>
          <w:tcPr>
            <w:tcW w:type="dxa" w:w="265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Proximal–extended operative field</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14.75</w:t>
            </w:r>
          </w:p>
        </w:tc>
        <w:tc>
          <w:tcPr>
            <w:tcW w:type="dxa" w:w="165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1.79–1922.10</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0.007</w:t>
            </w:r>
          </w:p>
        </w:tc>
        <w:tc>
          <w:tcPr>
            <w:tcW w:type="dxa" w:w="5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379</w:t>
            </w:r>
          </w:p>
        </w:tc>
      </w:tr>
      <w:tr>
        <w:trPr>
          <w:cantSplit/>
        </w:trPr>
        <w:tc>
          <w:tcPr>
            <w:tcW w:type="dxa" w:w="18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5"/>
              </w:rPr>
            </w:r>
          </w:p>
        </w:tc>
        <w:tc>
          <w:tcPr>
            <w:tcW w:type="dxa" w:w="265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Pathological T4 stage</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14.01</w:t>
            </w:r>
          </w:p>
        </w:tc>
        <w:tc>
          <w:tcPr>
            <w:tcW w:type="dxa" w:w="165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3.59–77.11</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&lt;0.001</w:t>
            </w:r>
          </w:p>
        </w:tc>
        <w:tc>
          <w:tcPr>
            <w:tcW w:type="dxa" w:w="5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379</w:t>
            </w:r>
          </w:p>
        </w:tc>
      </w:tr>
      <w:tr>
        <w:trPr>
          <w:cantSplit/>
        </w:trPr>
        <w:tc>
          <w:tcPr>
            <w:tcW w:type="dxa" w:w="18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5"/>
              </w:rPr>
              <w:t>Extended-field subgroup</w:t>
            </w:r>
          </w:p>
        </w:tc>
        <w:tc>
          <w:tcPr>
            <w:tcW w:type="dxa" w:w="265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Pathological T4 stage</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13.98</w:t>
            </w:r>
          </w:p>
        </w:tc>
        <w:tc>
          <w:tcPr>
            <w:tcW w:type="dxa" w:w="165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3.59–76.81</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&lt;0.001</w:t>
            </w:r>
          </w:p>
        </w:tc>
        <w:tc>
          <w:tcPr>
            <w:tcW w:type="dxa" w:w="5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244</w:t>
            </w:r>
          </w:p>
        </w:tc>
      </w:tr>
      <w:tr>
        <w:trPr>
          <w:cantSplit/>
        </w:trPr>
        <w:tc>
          <w:tcPr>
            <w:tcW w:type="dxa" w:w="18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val="0"/>
                <w:i w:val="0"/>
                <w:color w:val="000000"/>
                <w:sz w:val="15"/>
              </w:rPr>
            </w:r>
          </w:p>
        </w:tc>
        <w:tc>
          <w:tcPr>
            <w:tcW w:type="dxa" w:w="2657"/>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Age, per 10 years</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1.06</w:t>
            </w:r>
          </w:p>
        </w:tc>
        <w:tc>
          <w:tcPr>
            <w:tcW w:type="dxa" w:w="165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0.58–2.02</w:t>
            </w:r>
          </w:p>
        </w:tc>
        <w:tc>
          <w:tcPr>
            <w:tcW w:type="dxa" w:w="768"/>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0.849</w:t>
            </w:r>
          </w:p>
        </w:tc>
        <w:tc>
          <w:tcPr>
            <w:tcW w:type="dxa" w:w="531"/>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5"/>
              </w:rPr>
              <w:t>244</w:t>
            </w:r>
          </w:p>
        </w:tc>
      </w:tr>
    </w:tbl>
    <w:p>
      <w:pPr>
        <w:keepNext w:val="0"/>
        <w:pageBreakBefore w:val="0"/>
        <w:spacing w:before="40" w:after="80" w:lineRule="auto" w:line="240"/>
        <w:jc w:val="left"/>
      </w:pPr>
      <w:r>
        <w:rPr>
          <w:rFonts w:ascii="Times New Roman" w:hAnsi="Times New Roman" w:eastAsia="Times New Roman" w:cs="Times New Roman"/>
          <w:b w:val="0"/>
          <w:i w:val="0"/>
          <w:color w:val="000000"/>
          <w:sz w:val="17"/>
        </w:rPr>
        <w:t>aOR, adjusted odds ratio; CI, confidence interval. Estimates were derived from Firth penalised-likelihood logistic regression. Extended-field status and pathological T4 stage were not nested: 48 of 83 patients with T4 disease and 196 of 296 patients with T0–T3 disease were in the extended-field group. With only 9 events, the very wide confidence interval for the extended-field estimate indicates substantial uncertainty in the magnitude of association; these estimates are hypothesis-generating rather than independent causal effects.</w:t>
      </w:r>
    </w:p>
    <w:p>
      <w:pPr>
        <w:keepNext w:val="0"/>
        <w:pageBreakBefore w:val="0"/>
        <w:spacing w:before="0" w:after="0" w:lineRule="auto" w:line="240"/>
        <w:jc w:val="left"/>
      </w:pPr>
      <w:r>
        <w:br w:type="page"/>
      </w:r>
    </w:p>
    <w:p>
      <w:pPr>
        <w:keepNext/>
        <w:pageBreakBefore w:val="0"/>
        <w:spacing w:before="140" w:after="80" w:lineRule="auto" w:line="240"/>
        <w:jc w:val="left"/>
      </w:pPr>
      <w:r>
        <w:rPr>
          <w:rFonts w:ascii="Times New Roman" w:hAnsi="Times New Roman" w:eastAsia="Times New Roman" w:cs="Times New Roman"/>
          <w:b w:val="0"/>
          <w:i w:val="0"/>
          <w:color w:val="000000"/>
          <w:sz w:val="24"/>
        </w:rPr>
        <w:t>Table S4. Aggregated diagnostic evidence and characteristics of DGE events</w:t>
      </w:r>
    </w:p>
    <w:tbl>
      <w:tblPr>
        <w:tblW w:type="dxa" w:w="8208"/>
        <w:jc w:val="center"/>
        <w:tblLayout w:type="fixed"/>
        <w:tblLook w:firstColumn="1" w:firstRow="1" w:lastColumn="0" w:lastRow="0" w:noHBand="0" w:noVBand="1" w:val="04A0"/>
        <w:tblBorders>
          <w:top w:val="single" w:sz="12" w:space="0" w:color="2F5597"/>
          <w:bottom w:val="single" w:sz="12" w:space="0" w:color="2F5597"/>
          <w:insideH w:val="single" w:sz="4" w:space="0" w:color="B4C6E7"/>
          <w:left w:val="nil" w:sz="0" w:space="0" w:color="auto"/>
          <w:right w:val="nil" w:sz="0" w:space="0" w:color="auto"/>
          <w:insideV w:val="nil" w:sz="0" w:space="0" w:color="auto"/>
        </w:tblBorders>
      </w:tblPr>
      <w:tblGrid>
        <w:gridCol w:w="6035"/>
        <w:gridCol w:w="2173"/>
      </w:tblGrid>
      <w:tr>
        <w:trPr>
          <w:tblHeader w:val="true"/>
          <w:cantSplit/>
        </w:trPr>
        <w:tc>
          <w:tcPr>
            <w:tcW w:type="dxa" w:w="6035"/>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Item</w:t>
            </w:r>
          </w:p>
        </w:tc>
        <w:tc>
          <w:tcPr>
            <w:tcW w:type="dxa" w:w="2173"/>
            <w:shd w:fill="D9E2F3"/>
            <w:tcMar>
              <w:top w:w="70" w:type="dxa"/>
              <w:start w:w="65" w:type="dxa"/>
              <w:bottom w:w="70" w:type="dxa"/>
              <w:end w:w="65"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i w:val="0"/>
                <w:color w:val="000000"/>
                <w:sz w:val="16"/>
              </w:rPr>
              <w:t>Result</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Number of DGE events</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9</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No fixed mechanical obstruction on CT, postoperative day 6</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9/9</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Upper-GI contrast study supporting delayed gastric emptying, postoperative day 6</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9/9</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DGE duration, days</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24 [18–26]; range 15–31</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Proximal–extended operative field</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9/9</w:t>
            </w:r>
          </w:p>
        </w:tc>
      </w:tr>
      <w:tr>
        <w:trPr>
          <w:cantSplit/>
        </w:trPr>
        <w:tc>
          <w:tcPr>
            <w:tcW w:type="dxa" w:w="6035"/>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left"/>
            </w:pPr>
            <w:r>
              <w:rPr>
                <w:rFonts w:ascii="Times New Roman" w:hAnsi="Times New Roman" w:eastAsia="Times New Roman" w:cs="Times New Roman"/>
                <w:b/>
                <w:i w:val="0"/>
                <w:color w:val="000000"/>
                <w:sz w:val="16"/>
              </w:rPr>
              <w:t>Pathological T4 stage</w:t>
            </w:r>
          </w:p>
        </w:tc>
        <w:tc>
          <w:tcPr>
            <w:tcW w:type="dxa" w:w="2173"/>
            <w:shd w:fill="FFFFFF"/>
            <w:tcMar>
              <w:top w:w="55" w:type="dxa"/>
              <w:start w:w="70" w:type="dxa"/>
              <w:bottom w:w="55" w:type="dxa"/>
              <w:end w:w="70" w:type="dxa"/>
            </w:tcMar>
            <w:vAlign w:val="center"/>
            <w:tcBorders>
              <w:top w:val="nil" w:sz="0" w:space="0" w:color="auto"/>
              <w:bottom w:val="nil" w:sz="0" w:space="0" w:color="auto"/>
              <w:left w:val="nil" w:sz="0" w:space="0" w:color="auto"/>
              <w:right w:val="nil" w:sz="0" w:space="0" w:color="auto"/>
              <w:insideH w:val="nil" w:sz="0" w:space="0" w:color="auto"/>
              <w:insideV w:val="nil" w:sz="0" w:space="0" w:color="auto"/>
            </w:tcBorders>
          </w:tcPr>
          <w:p>
            <w:pPr>
              <w:spacing w:before="0" w:after="0" w:line="240" w:lineRule="auto"/>
              <w:jc w:val="center"/>
            </w:pPr>
            <w:r>
              <w:rPr>
                <w:rFonts w:ascii="Times New Roman" w:hAnsi="Times New Roman" w:eastAsia="Times New Roman" w:cs="Times New Roman"/>
                <w:b w:val="0"/>
                <w:i w:val="0"/>
                <w:color w:val="000000"/>
                <w:sz w:val="16"/>
              </w:rPr>
              <w:t>7/9</w:t>
            </w:r>
          </w:p>
        </w:tc>
      </w:tr>
    </w:tbl>
    <w:p>
      <w:pPr>
        <w:keepNext w:val="0"/>
        <w:pageBreakBefore w:val="0"/>
        <w:spacing w:before="40" w:after="80" w:lineRule="auto" w:line="240"/>
        <w:jc w:val="left"/>
      </w:pPr>
      <w:r>
        <w:rPr>
          <w:rFonts w:ascii="Times New Roman" w:hAnsi="Times New Roman" w:eastAsia="Times New Roman" w:cs="Times New Roman"/>
          <w:b w:val="0"/>
          <w:i w:val="0"/>
          <w:color w:val="000000"/>
          <w:sz w:val="17"/>
        </w:rPr>
        <w:t>DGE, delayed gastric emptying; CT, computed tomography; GI, gastrointestinal. Source imaging summaries confirmed exclusion of overt fixed obstruction but did not contain standardised measurements of duodenojejunal-flexure angulation or proximal bowel calibre; therefore, no frequency or quantitative estimate of mild Treitz-region angulation is reported.</w:t>
      </w:r>
    </w:p>
    <w:p>
      <w:pPr>
        <w:keepNext/>
        <w:pageBreakBefore/>
        <w:spacing w:before="180" w:after="80" w:lineRule="auto" w:line="317"/>
        <w:jc w:val="left"/>
      </w:pPr>
      <w:r>
        <w:rPr>
          <w:rFonts w:ascii="Times New Roman" w:hAnsi="Times New Roman" w:eastAsia="Times New Roman" w:cs="Times New Roman"/>
          <w:b/>
          <w:i w:val="0"/>
          <w:color w:val="000000"/>
          <w:sz w:val="28"/>
        </w:rPr>
        <w:t>Supplemental Figures</w:t>
      </w:r>
    </w:p>
    <w:p>
      <w:pPr>
        <w:keepNext/>
        <w:pageBreakBefore w:val="0"/>
        <w:spacing w:before="80" w:after="40" w:lineRule="auto" w:line="240"/>
        <w:jc w:val="center"/>
      </w:pPr>
      <w:r>
        <w:drawing>
          <wp:inline xmlns:a="http://schemas.openxmlformats.org/drawingml/2006/main" xmlns:pic="http://schemas.openxmlformats.org/drawingml/2006/picture">
            <wp:extent cx="5212080" cy="3561588"/>
            <wp:docPr id="1" name="Picture 1"/>
            <wp:cNvGraphicFramePr>
              <a:graphicFrameLocks noChangeAspect="1"/>
            </wp:cNvGraphicFramePr>
            <a:graphic>
              <a:graphicData uri="http://schemas.openxmlformats.org/drawingml/2006/picture">
                <pic:pic>
                  <pic:nvPicPr>
                    <pic:cNvPr id="0" name="Figure_S1_continuous_variables.png"/>
                    <pic:cNvPicPr/>
                  </pic:nvPicPr>
                  <pic:blipFill>
                    <a:blip r:embed="rId14"/>
                    <a:stretch>
                      <a:fillRect/>
                    </a:stretch>
                  </pic:blipFill>
                  <pic:spPr>
                    <a:xfrm>
                      <a:off x="0" y="0"/>
                      <a:ext cx="5212080" cy="3561588"/>
                    </a:xfrm>
                    <a:prstGeom prst="rect"/>
                  </pic:spPr>
                </pic:pic>
              </a:graphicData>
            </a:graphic>
          </wp:inline>
        </w:drawing>
      </w:r>
    </w:p>
    <w:p>
      <w:pPr>
        <w:keepNext w:val="0"/>
        <w:pageBreakBefore w:val="0"/>
        <w:spacing w:before="40" w:after="100" w:lineRule="auto" w:line="240"/>
        <w:jc w:val="left"/>
      </w:pPr>
      <w:r>
        <w:rPr>
          <w:rFonts w:ascii="Times New Roman" w:hAnsi="Times New Roman" w:eastAsia="Times New Roman" w:cs="Times New Roman"/>
          <w:b/>
          <w:i w:val="0"/>
          <w:color w:val="000000"/>
          <w:sz w:val="18"/>
        </w:rPr>
        <w:t xml:space="preserve">Figure S1. </w:t>
      </w:r>
      <w:r>
        <w:rPr>
          <w:rFonts w:ascii="Times New Roman" w:hAnsi="Times New Roman" w:eastAsia="Times New Roman" w:cs="Times New Roman"/>
          <w:b w:val="0"/>
          <w:i w:val="0"/>
          <w:color w:val="000000"/>
          <w:sz w:val="18"/>
        </w:rPr>
        <w:t>Distributions of continuous variables in patients without and with DGE. Boxes indicate interquartile ranges, horizontal lines medians, and points individual observations.</w:t>
      </w:r>
    </w:p>
    <w:sectPr w:rsidR="00B852C2">
      <w:headerReference w:type="default" r:id="rId10"/>
      <w:footerReference w:type="default" r:id="rId11"/>
      <w:pgSz w:w="11909" w:h="16834"/>
      <w:pgMar w:top="1440" w:right="1800" w:bottom="1440" w:left="1800" w:header="432" w:footer="43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A1D6" w14:textId="77777777" w:rsidR="00444B5A" w:rsidRDefault="00444B5A">
      <w:pPr>
        <w:spacing w:after="0" w:line="240" w:lineRule="auto"/>
      </w:pPr>
      <w:r>
        <w:separator/>
      </w:r>
    </w:p>
  </w:endnote>
  <w:endnote w:type="continuationSeparator" w:id="0">
    <w:p w14:paraId="446F9CE0" w14:textId="77777777" w:rsidR="00444B5A" w:rsidRDefault="00444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4EA3" w14:textId="77777777" w:rsidR="00B95BCD" w:rsidRDefault="00B95BCD">
    <w:pPr>
      <w:spacing w:before="0" w:after="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C53D1" w14:textId="77777777" w:rsidR="00444B5A" w:rsidRDefault="00444B5A">
      <w:pPr>
        <w:spacing w:after="0" w:line="240" w:lineRule="auto"/>
      </w:pPr>
      <w:r>
        <w:separator/>
      </w:r>
    </w:p>
  </w:footnote>
  <w:footnote w:type="continuationSeparator" w:id="0">
    <w:p w14:paraId="0C7232BF" w14:textId="77777777" w:rsidR="00444B5A" w:rsidRDefault="00444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25AC" w14:textId="77777777" w:rsidR="00B95BCD" w:rsidRDefault="00B95BCD">
    <w:pPr>
      <w:spacing w:before="0" w:after="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3F"/>
    <w:rsid w:val="000021B9"/>
    <w:rsid w:val="000068EE"/>
    <w:rsid w:val="00011D70"/>
    <w:rsid w:val="0003350C"/>
    <w:rsid w:val="00033FF5"/>
    <w:rsid w:val="00050B7F"/>
    <w:rsid w:val="0008253F"/>
    <w:rsid w:val="00095C29"/>
    <w:rsid w:val="000C069A"/>
    <w:rsid w:val="000C08F7"/>
    <w:rsid w:val="000C2F3C"/>
    <w:rsid w:val="000C3E0C"/>
    <w:rsid w:val="000C5B7F"/>
    <w:rsid w:val="000D6197"/>
    <w:rsid w:val="0010539B"/>
    <w:rsid w:val="001216AC"/>
    <w:rsid w:val="00127C38"/>
    <w:rsid w:val="00133A03"/>
    <w:rsid w:val="0014523F"/>
    <w:rsid w:val="001460FF"/>
    <w:rsid w:val="0016079F"/>
    <w:rsid w:val="00162860"/>
    <w:rsid w:val="00170725"/>
    <w:rsid w:val="00191F7A"/>
    <w:rsid w:val="001945E3"/>
    <w:rsid w:val="001949F9"/>
    <w:rsid w:val="001A0937"/>
    <w:rsid w:val="001D331D"/>
    <w:rsid w:val="001E5CE7"/>
    <w:rsid w:val="001F1C51"/>
    <w:rsid w:val="001F3EA2"/>
    <w:rsid w:val="001F46F3"/>
    <w:rsid w:val="002044D7"/>
    <w:rsid w:val="002470F0"/>
    <w:rsid w:val="00252439"/>
    <w:rsid w:val="00255F4C"/>
    <w:rsid w:val="00257C46"/>
    <w:rsid w:val="00276550"/>
    <w:rsid w:val="00294C09"/>
    <w:rsid w:val="002A1B53"/>
    <w:rsid w:val="002A3735"/>
    <w:rsid w:val="002B7011"/>
    <w:rsid w:val="002D0BF8"/>
    <w:rsid w:val="002D2D7D"/>
    <w:rsid w:val="002D565C"/>
    <w:rsid w:val="002D5CA7"/>
    <w:rsid w:val="002D725C"/>
    <w:rsid w:val="002D781B"/>
    <w:rsid w:val="002F38DA"/>
    <w:rsid w:val="002F49C6"/>
    <w:rsid w:val="002F6C9F"/>
    <w:rsid w:val="00303F3A"/>
    <w:rsid w:val="00316C0E"/>
    <w:rsid w:val="00352173"/>
    <w:rsid w:val="003663D6"/>
    <w:rsid w:val="00367233"/>
    <w:rsid w:val="00371639"/>
    <w:rsid w:val="00375CE6"/>
    <w:rsid w:val="003A7981"/>
    <w:rsid w:val="003C4D37"/>
    <w:rsid w:val="003C7D92"/>
    <w:rsid w:val="003D0CC7"/>
    <w:rsid w:val="003F45DE"/>
    <w:rsid w:val="004036F5"/>
    <w:rsid w:val="00405D9A"/>
    <w:rsid w:val="00411256"/>
    <w:rsid w:val="00412972"/>
    <w:rsid w:val="0041565C"/>
    <w:rsid w:val="004172BD"/>
    <w:rsid w:val="00422849"/>
    <w:rsid w:val="00426AC3"/>
    <w:rsid w:val="00426CB1"/>
    <w:rsid w:val="00433143"/>
    <w:rsid w:val="00434871"/>
    <w:rsid w:val="00437F08"/>
    <w:rsid w:val="00444B5A"/>
    <w:rsid w:val="004475E9"/>
    <w:rsid w:val="00447B70"/>
    <w:rsid w:val="00452CB4"/>
    <w:rsid w:val="0045339B"/>
    <w:rsid w:val="0045520F"/>
    <w:rsid w:val="00460D8E"/>
    <w:rsid w:val="00467466"/>
    <w:rsid w:val="004833E3"/>
    <w:rsid w:val="0049024E"/>
    <w:rsid w:val="00495291"/>
    <w:rsid w:val="004B29D0"/>
    <w:rsid w:val="004B3889"/>
    <w:rsid w:val="004D3DFA"/>
    <w:rsid w:val="004E10DD"/>
    <w:rsid w:val="004E71A3"/>
    <w:rsid w:val="004F3C29"/>
    <w:rsid w:val="004F43CB"/>
    <w:rsid w:val="00501020"/>
    <w:rsid w:val="005057D9"/>
    <w:rsid w:val="00533246"/>
    <w:rsid w:val="00536049"/>
    <w:rsid w:val="00546397"/>
    <w:rsid w:val="005478F2"/>
    <w:rsid w:val="005522B3"/>
    <w:rsid w:val="005623B9"/>
    <w:rsid w:val="00566D0E"/>
    <w:rsid w:val="0057182A"/>
    <w:rsid w:val="0058415C"/>
    <w:rsid w:val="00593B96"/>
    <w:rsid w:val="00596B65"/>
    <w:rsid w:val="005A1B64"/>
    <w:rsid w:val="005A297B"/>
    <w:rsid w:val="005B59EE"/>
    <w:rsid w:val="005B7237"/>
    <w:rsid w:val="005C0E09"/>
    <w:rsid w:val="005C576B"/>
    <w:rsid w:val="005D52D4"/>
    <w:rsid w:val="005D6798"/>
    <w:rsid w:val="005E3525"/>
    <w:rsid w:val="005E3DEE"/>
    <w:rsid w:val="005E5DA0"/>
    <w:rsid w:val="005E6857"/>
    <w:rsid w:val="005F033A"/>
    <w:rsid w:val="00603334"/>
    <w:rsid w:val="006172C3"/>
    <w:rsid w:val="006202E8"/>
    <w:rsid w:val="00627D1B"/>
    <w:rsid w:val="00634607"/>
    <w:rsid w:val="006707F2"/>
    <w:rsid w:val="006903E4"/>
    <w:rsid w:val="00692FA1"/>
    <w:rsid w:val="006D2C55"/>
    <w:rsid w:val="006E77F3"/>
    <w:rsid w:val="006F29BE"/>
    <w:rsid w:val="006F69C2"/>
    <w:rsid w:val="00703072"/>
    <w:rsid w:val="007047FD"/>
    <w:rsid w:val="00721D3A"/>
    <w:rsid w:val="00733E53"/>
    <w:rsid w:val="00736B37"/>
    <w:rsid w:val="007428A5"/>
    <w:rsid w:val="007550AD"/>
    <w:rsid w:val="00757F2B"/>
    <w:rsid w:val="00763E0B"/>
    <w:rsid w:val="00767FEF"/>
    <w:rsid w:val="00770659"/>
    <w:rsid w:val="0078263B"/>
    <w:rsid w:val="007930ED"/>
    <w:rsid w:val="007A44B9"/>
    <w:rsid w:val="007A7E92"/>
    <w:rsid w:val="007E5B23"/>
    <w:rsid w:val="00800465"/>
    <w:rsid w:val="008121F4"/>
    <w:rsid w:val="00814954"/>
    <w:rsid w:val="00814E7B"/>
    <w:rsid w:val="00822FCA"/>
    <w:rsid w:val="00826C60"/>
    <w:rsid w:val="008336A6"/>
    <w:rsid w:val="00835AA6"/>
    <w:rsid w:val="00837B11"/>
    <w:rsid w:val="008540EC"/>
    <w:rsid w:val="008600FD"/>
    <w:rsid w:val="008734E7"/>
    <w:rsid w:val="00877593"/>
    <w:rsid w:val="008A7978"/>
    <w:rsid w:val="008C7A70"/>
    <w:rsid w:val="008F0090"/>
    <w:rsid w:val="008F706C"/>
    <w:rsid w:val="009072F1"/>
    <w:rsid w:val="00907948"/>
    <w:rsid w:val="00962A91"/>
    <w:rsid w:val="0098680B"/>
    <w:rsid w:val="0098755E"/>
    <w:rsid w:val="009A537F"/>
    <w:rsid w:val="009D6002"/>
    <w:rsid w:val="009D6726"/>
    <w:rsid w:val="009D68E2"/>
    <w:rsid w:val="009E3B1F"/>
    <w:rsid w:val="009F54AC"/>
    <w:rsid w:val="009F6BFF"/>
    <w:rsid w:val="009F6CE1"/>
    <w:rsid w:val="009F7242"/>
    <w:rsid w:val="00A1026B"/>
    <w:rsid w:val="00A17780"/>
    <w:rsid w:val="00A425D0"/>
    <w:rsid w:val="00A646E9"/>
    <w:rsid w:val="00A945E5"/>
    <w:rsid w:val="00AA7C73"/>
    <w:rsid w:val="00AC551A"/>
    <w:rsid w:val="00AD07D6"/>
    <w:rsid w:val="00AD13AE"/>
    <w:rsid w:val="00AD6852"/>
    <w:rsid w:val="00B04B18"/>
    <w:rsid w:val="00B06FFA"/>
    <w:rsid w:val="00B11485"/>
    <w:rsid w:val="00B11A6D"/>
    <w:rsid w:val="00B34A23"/>
    <w:rsid w:val="00B477CD"/>
    <w:rsid w:val="00B70BEA"/>
    <w:rsid w:val="00B77779"/>
    <w:rsid w:val="00B852C2"/>
    <w:rsid w:val="00B95BCD"/>
    <w:rsid w:val="00BA340E"/>
    <w:rsid w:val="00BB11BE"/>
    <w:rsid w:val="00BB5F3E"/>
    <w:rsid w:val="00BE1625"/>
    <w:rsid w:val="00BE1A84"/>
    <w:rsid w:val="00BF1004"/>
    <w:rsid w:val="00BF1943"/>
    <w:rsid w:val="00BF4C4E"/>
    <w:rsid w:val="00C00F9B"/>
    <w:rsid w:val="00C0114D"/>
    <w:rsid w:val="00C61CBD"/>
    <w:rsid w:val="00C8092B"/>
    <w:rsid w:val="00C8306A"/>
    <w:rsid w:val="00C86EBF"/>
    <w:rsid w:val="00C97BEB"/>
    <w:rsid w:val="00CA6D26"/>
    <w:rsid w:val="00CB612F"/>
    <w:rsid w:val="00CC1968"/>
    <w:rsid w:val="00CC74E6"/>
    <w:rsid w:val="00CD1090"/>
    <w:rsid w:val="00CD70C6"/>
    <w:rsid w:val="00CE09D2"/>
    <w:rsid w:val="00CE0EBA"/>
    <w:rsid w:val="00CF32C1"/>
    <w:rsid w:val="00CF64F1"/>
    <w:rsid w:val="00CF68A1"/>
    <w:rsid w:val="00D12A5F"/>
    <w:rsid w:val="00D1433E"/>
    <w:rsid w:val="00D144C4"/>
    <w:rsid w:val="00D31F22"/>
    <w:rsid w:val="00D544D3"/>
    <w:rsid w:val="00D56329"/>
    <w:rsid w:val="00D72B2F"/>
    <w:rsid w:val="00D740A7"/>
    <w:rsid w:val="00D771F6"/>
    <w:rsid w:val="00D91008"/>
    <w:rsid w:val="00D9395A"/>
    <w:rsid w:val="00D95E62"/>
    <w:rsid w:val="00DA0F95"/>
    <w:rsid w:val="00DA3CC1"/>
    <w:rsid w:val="00DD129A"/>
    <w:rsid w:val="00DD2894"/>
    <w:rsid w:val="00DD4641"/>
    <w:rsid w:val="00DD6BF8"/>
    <w:rsid w:val="00DD7BA3"/>
    <w:rsid w:val="00DE6CB4"/>
    <w:rsid w:val="00DF1AC0"/>
    <w:rsid w:val="00DF2C42"/>
    <w:rsid w:val="00E0313B"/>
    <w:rsid w:val="00E06CCD"/>
    <w:rsid w:val="00E16241"/>
    <w:rsid w:val="00E57A85"/>
    <w:rsid w:val="00E7102C"/>
    <w:rsid w:val="00E72048"/>
    <w:rsid w:val="00E74B63"/>
    <w:rsid w:val="00E75507"/>
    <w:rsid w:val="00EA5C9A"/>
    <w:rsid w:val="00EA5D9B"/>
    <w:rsid w:val="00EB244E"/>
    <w:rsid w:val="00EB2D9C"/>
    <w:rsid w:val="00EB5BCC"/>
    <w:rsid w:val="00EC6952"/>
    <w:rsid w:val="00EC7D59"/>
    <w:rsid w:val="00ED3CDE"/>
    <w:rsid w:val="00F04E82"/>
    <w:rsid w:val="00F1216B"/>
    <w:rsid w:val="00F1255C"/>
    <w:rsid w:val="00F31D95"/>
    <w:rsid w:val="00F41320"/>
    <w:rsid w:val="00F42470"/>
    <w:rsid w:val="00F43BBF"/>
    <w:rsid w:val="00F45C95"/>
    <w:rsid w:val="00F502E8"/>
    <w:rsid w:val="00F54DF9"/>
    <w:rsid w:val="00F54EB8"/>
    <w:rsid w:val="00F560FA"/>
    <w:rsid w:val="00F658D4"/>
    <w:rsid w:val="00F67822"/>
    <w:rsid w:val="00F874F7"/>
    <w:rsid w:val="00FA635D"/>
    <w:rsid w:val="00FB3FFA"/>
    <w:rsid w:val="00FB4FB7"/>
    <w:rsid w:val="00FC44F1"/>
    <w:rsid w:val="00FD011D"/>
    <w:rsid w:val="00FF7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70F11C0"/>
  <w15:chartTrackingRefBased/>
  <w15:docId w15:val="{33A38FBE-42EA-3041-97A8-EB82CA9E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53F"/>
    <w:pPr>
      <w:spacing w:after="0" w:line="317" w:lineRule="auto"/>
      <w:jc w:val="both"/>
    </w:pPr>
    <w:rPr>
      <w:rFonts w:ascii="Times New Roman" w:eastAsia="Times New Roman" w:hAnsi="Times New Roman" w:cs="Times New Roman"/>
      <w:color w:val="000000"/>
      <w:kern w:val="0"/>
      <w:sz w:val="24"/>
      <w:szCs w:val="22"/>
      <w:lang w:eastAsia="en-US"/>
      <w14:ligatures w14:val="none"/>
    </w:rPr>
  </w:style>
  <w:style w:type="paragraph" w:styleId="1">
    <w:name w:val="heading 1"/>
    <w:basedOn w:val="a"/>
    <w:next w:val="a"/>
    <w:link w:val="10"/>
    <w:uiPriority w:val="9"/>
    <w:qFormat/>
    <w:rsid w:val="0008253F"/>
    <w:pPr>
      <w:keepNext/>
      <w:keepLines/>
      <w:widowControl w:val="0"/>
      <w:spacing w:before="480" w:after="80" w:line="240" w:lineRule="auto"/>
      <w:outlineLvl w:val="0"/>
    </w:pPr>
    <w:rPr>
      <w:rFonts w:asciiTheme="majorHAnsi" w:eastAsiaTheme="majorEastAsia" w:hAnsiTheme="majorHAnsi" w:cstheme="majorBidi"/>
      <w:color w:val="0F4761"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08253F"/>
    <w:pPr>
      <w:keepNext/>
      <w:keepLines/>
      <w:widowControl w:val="0"/>
      <w:spacing w:before="160" w:after="80" w:line="240" w:lineRule="auto"/>
      <w:outlineLvl w:val="1"/>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08253F"/>
    <w:pPr>
      <w:keepNext/>
      <w:keepLines/>
      <w:widowControl w:val="0"/>
      <w:spacing w:before="160" w:after="80" w:line="240" w:lineRule="auto"/>
      <w:outlineLvl w:val="2"/>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08253F"/>
    <w:pPr>
      <w:keepNext/>
      <w:keepLines/>
      <w:widowControl w:val="0"/>
      <w:spacing w:before="80" w:after="40" w:line="240" w:lineRule="auto"/>
      <w:outlineLvl w:val="3"/>
    </w:pPr>
    <w:rPr>
      <w:rFonts w:asciiTheme="minorHAnsi" w:eastAsiaTheme="minorEastAsia" w:hAnsiTheme="minorHAnsi" w:cstheme="majorBidi"/>
      <w:color w:val="0F4761"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08253F"/>
    <w:pPr>
      <w:keepNext/>
      <w:keepLines/>
      <w:widowControl w:val="0"/>
      <w:spacing w:before="80" w:after="40" w:line="240" w:lineRule="auto"/>
      <w:outlineLvl w:val="4"/>
    </w:pPr>
    <w:rPr>
      <w:rFonts w:asciiTheme="minorHAnsi" w:eastAsiaTheme="minorEastAsia" w:hAnsiTheme="minorHAnsi" w:cstheme="majorBidi"/>
      <w:color w:val="0F4761"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08253F"/>
    <w:pPr>
      <w:keepNext/>
      <w:keepLines/>
      <w:widowControl w:val="0"/>
      <w:spacing w:before="40" w:after="0" w:line="240" w:lineRule="auto"/>
      <w:outlineLvl w:val="5"/>
    </w:pPr>
    <w:rPr>
      <w:rFonts w:asciiTheme="minorHAnsi" w:eastAsiaTheme="minorEastAsia" w:hAnsiTheme="minorHAnsi" w:cstheme="majorBidi"/>
      <w:b/>
      <w:bCs/>
      <w:color w:val="0F4761" w:themeColor="accent1" w:themeShade="BF"/>
      <w:kern w:val="2"/>
      <w:sz w:val="21"/>
      <w:szCs w:val="24"/>
      <w:lang w:eastAsia="zh-CN"/>
      <w14:ligatures w14:val="standardContextual"/>
    </w:rPr>
  </w:style>
  <w:style w:type="paragraph" w:styleId="7">
    <w:name w:val="heading 7"/>
    <w:basedOn w:val="a"/>
    <w:next w:val="a"/>
    <w:link w:val="70"/>
    <w:uiPriority w:val="9"/>
    <w:semiHidden/>
    <w:unhideWhenUsed/>
    <w:qFormat/>
    <w:rsid w:val="0008253F"/>
    <w:pPr>
      <w:keepNext/>
      <w:keepLines/>
      <w:widowControl w:val="0"/>
      <w:spacing w:before="40" w:after="0" w:line="240" w:lineRule="auto"/>
      <w:outlineLvl w:val="6"/>
    </w:pPr>
    <w:rPr>
      <w:rFonts w:asciiTheme="minorHAnsi" w:eastAsiaTheme="minorEastAsia" w:hAnsiTheme="minorHAnsi" w:cstheme="majorBidi"/>
      <w:b/>
      <w:bCs/>
      <w:color w:val="595959" w:themeColor="text1" w:themeTint="A6"/>
      <w:kern w:val="2"/>
      <w:sz w:val="21"/>
      <w:szCs w:val="24"/>
      <w:lang w:eastAsia="zh-CN"/>
      <w14:ligatures w14:val="standardContextual"/>
    </w:rPr>
  </w:style>
  <w:style w:type="paragraph" w:styleId="8">
    <w:name w:val="heading 8"/>
    <w:basedOn w:val="a"/>
    <w:next w:val="a"/>
    <w:link w:val="80"/>
    <w:uiPriority w:val="9"/>
    <w:semiHidden/>
    <w:unhideWhenUsed/>
    <w:qFormat/>
    <w:rsid w:val="0008253F"/>
    <w:pPr>
      <w:keepNext/>
      <w:keepLines/>
      <w:widowControl w:val="0"/>
      <w:spacing w:after="0" w:line="240" w:lineRule="auto"/>
      <w:outlineLvl w:val="7"/>
    </w:pPr>
    <w:rPr>
      <w:rFonts w:asciiTheme="minorHAnsi" w:eastAsiaTheme="minorEastAsia" w:hAnsiTheme="minorHAnsi" w:cstheme="majorBidi"/>
      <w:color w:val="595959" w:themeColor="text1" w:themeTint="A6"/>
      <w:kern w:val="2"/>
      <w:sz w:val="21"/>
      <w:szCs w:val="24"/>
      <w:lang w:eastAsia="zh-CN"/>
      <w14:ligatures w14:val="standardContextual"/>
    </w:rPr>
  </w:style>
  <w:style w:type="paragraph" w:styleId="9">
    <w:name w:val="heading 9"/>
    <w:basedOn w:val="a"/>
    <w:next w:val="a"/>
    <w:link w:val="90"/>
    <w:uiPriority w:val="9"/>
    <w:semiHidden/>
    <w:unhideWhenUsed/>
    <w:qFormat/>
    <w:rsid w:val="0008253F"/>
    <w:pPr>
      <w:keepNext/>
      <w:keepLines/>
      <w:widowControl w:val="0"/>
      <w:spacing w:after="0" w:line="240" w:lineRule="auto"/>
      <w:outlineLvl w:val="8"/>
    </w:pPr>
    <w:rPr>
      <w:rFonts w:asciiTheme="minorHAnsi" w:eastAsiaTheme="majorEastAsia" w:hAnsiTheme="minorHAnsi" w:cstheme="majorBidi"/>
      <w:color w:val="595959" w:themeColor="text1" w:themeTint="A6"/>
      <w:kern w:val="2"/>
      <w:sz w:val="21"/>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8253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8253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8253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8253F"/>
    <w:rPr>
      <w:rFonts w:cstheme="majorBidi"/>
      <w:color w:val="0F4761" w:themeColor="accent1" w:themeShade="BF"/>
      <w:sz w:val="28"/>
      <w:szCs w:val="28"/>
    </w:rPr>
  </w:style>
  <w:style w:type="character" w:customStyle="1" w:styleId="50">
    <w:name w:val="标题 5 字符"/>
    <w:basedOn w:val="a0"/>
    <w:link w:val="5"/>
    <w:uiPriority w:val="9"/>
    <w:semiHidden/>
    <w:rsid w:val="0008253F"/>
    <w:rPr>
      <w:rFonts w:cstheme="majorBidi"/>
      <w:color w:val="0F4761" w:themeColor="accent1" w:themeShade="BF"/>
      <w:sz w:val="24"/>
    </w:rPr>
  </w:style>
  <w:style w:type="character" w:customStyle="1" w:styleId="60">
    <w:name w:val="标题 6 字符"/>
    <w:basedOn w:val="a0"/>
    <w:link w:val="6"/>
    <w:uiPriority w:val="9"/>
    <w:semiHidden/>
    <w:rsid w:val="0008253F"/>
    <w:rPr>
      <w:rFonts w:cstheme="majorBidi"/>
      <w:b/>
      <w:bCs/>
      <w:color w:val="0F4761" w:themeColor="accent1" w:themeShade="BF"/>
    </w:rPr>
  </w:style>
  <w:style w:type="character" w:customStyle="1" w:styleId="70">
    <w:name w:val="标题 7 字符"/>
    <w:basedOn w:val="a0"/>
    <w:link w:val="7"/>
    <w:uiPriority w:val="9"/>
    <w:semiHidden/>
    <w:rsid w:val="0008253F"/>
    <w:rPr>
      <w:rFonts w:cstheme="majorBidi"/>
      <w:b/>
      <w:bCs/>
      <w:color w:val="595959" w:themeColor="text1" w:themeTint="A6"/>
    </w:rPr>
  </w:style>
  <w:style w:type="character" w:customStyle="1" w:styleId="80">
    <w:name w:val="标题 8 字符"/>
    <w:basedOn w:val="a0"/>
    <w:link w:val="8"/>
    <w:uiPriority w:val="9"/>
    <w:semiHidden/>
    <w:rsid w:val="0008253F"/>
    <w:rPr>
      <w:rFonts w:cstheme="majorBidi"/>
      <w:color w:val="595959" w:themeColor="text1" w:themeTint="A6"/>
    </w:rPr>
  </w:style>
  <w:style w:type="character" w:customStyle="1" w:styleId="90">
    <w:name w:val="标题 9 字符"/>
    <w:basedOn w:val="a0"/>
    <w:link w:val="9"/>
    <w:uiPriority w:val="9"/>
    <w:semiHidden/>
    <w:rsid w:val="0008253F"/>
    <w:rPr>
      <w:rFonts w:eastAsiaTheme="majorEastAsia" w:cstheme="majorBidi"/>
      <w:color w:val="595959" w:themeColor="text1" w:themeTint="A6"/>
    </w:rPr>
  </w:style>
  <w:style w:type="paragraph" w:styleId="a3">
    <w:name w:val="Title"/>
    <w:basedOn w:val="a"/>
    <w:next w:val="a"/>
    <w:link w:val="a4"/>
    <w:uiPriority w:val="10"/>
    <w:qFormat/>
    <w:rsid w:val="0008253F"/>
    <w:pPr>
      <w:widowControl w:val="0"/>
      <w:spacing w:after="80" w:line="240" w:lineRule="auto"/>
      <w:contextualSpacing/>
      <w:jc w:val="center"/>
    </w:pPr>
    <w:rPr>
      <w:rFonts w:asciiTheme="majorHAnsi" w:eastAsiaTheme="majorEastAsia" w:hAnsiTheme="majorHAnsi" w:cstheme="majorBidi"/>
      <w:color w:val="auto"/>
      <w:spacing w:val="-10"/>
      <w:kern w:val="28"/>
      <w:sz w:val="56"/>
      <w:szCs w:val="56"/>
      <w:lang w:eastAsia="zh-CN"/>
      <w14:ligatures w14:val="standardContextual"/>
    </w:rPr>
  </w:style>
  <w:style w:type="character" w:customStyle="1" w:styleId="a4">
    <w:name w:val="标题 字符"/>
    <w:basedOn w:val="a0"/>
    <w:link w:val="a3"/>
    <w:uiPriority w:val="10"/>
    <w:rsid w:val="000825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253F"/>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0825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253F"/>
    <w:pPr>
      <w:widowControl w:val="0"/>
      <w:spacing w:before="160" w:after="160" w:line="240" w:lineRule="auto"/>
      <w:jc w:val="center"/>
    </w:pPr>
    <w:rPr>
      <w:rFonts w:asciiTheme="minorHAnsi" w:eastAsiaTheme="minorEastAsia" w:hAnsiTheme="minorHAnsi" w:cstheme="minorBidi"/>
      <w:i/>
      <w:iCs/>
      <w:color w:val="404040" w:themeColor="text1" w:themeTint="BF"/>
      <w:kern w:val="2"/>
      <w:sz w:val="21"/>
      <w:szCs w:val="24"/>
      <w:lang w:eastAsia="zh-CN"/>
      <w14:ligatures w14:val="standardContextual"/>
    </w:rPr>
  </w:style>
  <w:style w:type="character" w:customStyle="1" w:styleId="a8">
    <w:name w:val="引用 字符"/>
    <w:basedOn w:val="a0"/>
    <w:link w:val="a7"/>
    <w:uiPriority w:val="29"/>
    <w:rsid w:val="0008253F"/>
    <w:rPr>
      <w:i/>
      <w:iCs/>
      <w:color w:val="404040" w:themeColor="text1" w:themeTint="BF"/>
    </w:rPr>
  </w:style>
  <w:style w:type="paragraph" w:styleId="a9">
    <w:name w:val="List Paragraph"/>
    <w:basedOn w:val="a"/>
    <w:uiPriority w:val="34"/>
    <w:qFormat/>
    <w:rsid w:val="0008253F"/>
    <w:pPr>
      <w:widowControl w:val="0"/>
      <w:spacing w:after="0" w:line="240" w:lineRule="auto"/>
      <w:ind w:left="720"/>
      <w:contextualSpacing/>
    </w:pPr>
    <w:rPr>
      <w:rFonts w:asciiTheme="minorHAnsi" w:eastAsiaTheme="minorEastAsia" w:hAnsiTheme="minorHAnsi" w:cstheme="minorBidi"/>
      <w:color w:val="auto"/>
      <w:kern w:val="2"/>
      <w:sz w:val="21"/>
      <w:szCs w:val="24"/>
      <w:lang w:eastAsia="zh-CN"/>
      <w14:ligatures w14:val="standardContextual"/>
    </w:rPr>
  </w:style>
  <w:style w:type="character" w:styleId="aa">
    <w:name w:val="Intense Emphasis"/>
    <w:basedOn w:val="a0"/>
    <w:uiPriority w:val="21"/>
    <w:qFormat/>
    <w:rsid w:val="0008253F"/>
    <w:rPr>
      <w:i/>
      <w:iCs/>
      <w:color w:val="0F4761" w:themeColor="accent1" w:themeShade="BF"/>
    </w:rPr>
  </w:style>
  <w:style w:type="paragraph" w:styleId="ab">
    <w:name w:val="Intense Quote"/>
    <w:basedOn w:val="a"/>
    <w:next w:val="a"/>
    <w:link w:val="ac"/>
    <w:uiPriority w:val="30"/>
    <w:qFormat/>
    <w:rsid w:val="0008253F"/>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kern w:val="2"/>
      <w:sz w:val="21"/>
      <w:szCs w:val="24"/>
      <w:lang w:eastAsia="zh-CN"/>
      <w14:ligatures w14:val="standardContextual"/>
    </w:rPr>
  </w:style>
  <w:style w:type="character" w:customStyle="1" w:styleId="ac">
    <w:name w:val="明显引用 字符"/>
    <w:basedOn w:val="a0"/>
    <w:link w:val="ab"/>
    <w:uiPriority w:val="30"/>
    <w:rsid w:val="0008253F"/>
    <w:rPr>
      <w:i/>
      <w:iCs/>
      <w:color w:val="0F4761" w:themeColor="accent1" w:themeShade="BF"/>
    </w:rPr>
  </w:style>
  <w:style w:type="character" w:styleId="ad">
    <w:name w:val="Intense Reference"/>
    <w:basedOn w:val="a0"/>
    <w:uiPriority w:val="32"/>
    <w:qFormat/>
    <w:rsid w:val="000825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14</Pages>
  <Words>2007</Words>
  <Characters>11440</Characters>
  <Application>Microsoft Office Word</Application>
  <DocSecurity>0</DocSecurity>
  <Lines>95</Lines>
  <Paragraphs>26</Paragraphs>
  <ScaleCrop>false</ScaleCrop>
  <Company/>
  <LinksUpToDate>false</LinksUpToDate>
  <CharactersWithSpaces>13421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Information: Delayed Gastric Emptying After Laparoscopic Left Hemicolectomy: Incidence, Clinical Course, and Operative-Field Extension</dc:title>
  <dc:subject/>
  <dc:creator>Fei Teng; Ming Lei; Chun-Yan Yuan; Pu-hua Wang; Yi-Ou Cao; Shao-Qun Liu</dc:creator>
  <cp:keywords/>
  <dc:description/>
  <cp:lastModifiedBy>fei teng</cp:lastModifiedBy>
  <cp:revision>5</cp:revision>
  <dcterms:created xsi:type="dcterms:W3CDTF">2026-08-23T05:09:00Z</dcterms:created>
  <dcterms:modified xsi:type="dcterms:W3CDTF">2026-09-01T11:15:00Z</dcterms:modified>
</cp:coreProperties>
</file>