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keepNext/>
        <w:pageBreakBefore w:val="0"/>
        <w:spacing w:before="140" w:after="80" w:lineRule="auto" w:line="240"/>
        <w:jc w:val="left"/>
      </w:pPr>
      <w:r>
        <w:rPr>
          <w:rFonts w:ascii="Times New Roman" w:hAnsi="Times New Roman" w:eastAsia="Times New Roman" w:cs="Times New Roman"/>
          <w:b w:val="0"/>
          <w:i w:val="0"/>
          <w:color w:val="000000"/>
          <w:sz w:val="24"/>
        </w:rPr>
        <w:t>Table 3. DGE incidence according to pathological and molecular characteristics</w:t>
      </w:r>
    </w:p>
    <w:tbl>
      <w:tblPr>
        <w:tblW w:type="dxa" w:w="8208"/>
        <w:jc w:val="center"/>
        <w:tblLayout w:type="fixed"/>
        <w:tblLook w:firstColumn="1" w:firstRow="1" w:lastColumn="0" w:lastRow="0" w:noHBand="0" w:noVBand="1" w:val="04A0"/>
        <w:tblBorders>
          <w:top w:val="single" w:sz="12" w:space="0" w:color="2F5597"/>
          <w:bottom w:val="single" w:sz="12" w:space="0" w:color="2F5597"/>
          <w:insideH w:val="single" w:sz="4" w:space="0" w:color="B4C6E7"/>
          <w:left w:val="nil" w:sz="0" w:space="0" w:color="auto"/>
          <w:right w:val="nil" w:sz="0" w:space="0" w:color="auto"/>
          <w:insideV w:val="nil" w:sz="0" w:space="0" w:color="auto"/>
        </w:tblBorders>
      </w:tblPr>
      <w:tblGrid>
        <w:gridCol w:w="1763"/>
        <w:gridCol w:w="2736"/>
        <w:gridCol w:w="1094"/>
        <w:gridCol w:w="1885"/>
        <w:gridCol w:w="730"/>
      </w:tblGrid>
      <w:tr>
        <w:trPr>
          <w:tblHeader w:val="true"/>
          <w:cantSplit/>
        </w:trPr>
        <w:tc>
          <w:tcPr>
            <w:tcW w:type="dxa" w:w="1763"/>
            <w:shd w:fill="D9E2F3"/>
            <w:tcMar>
              <w:top w:w="70" w:type="dxa"/>
              <w:start w:w="65" w:type="dxa"/>
              <w:bottom w:w="70" w:type="dxa"/>
              <w:end w:w="65" w:type="dxa"/>
            </w:tcMar>
            <w:vAlign w:val="center"/>
            <w:tcBorders>
              <w:top w:val="nil" w:sz="0" w:space="0" w:color="auto"/>
              <w:bottom w:val="nil" w:sz="0" w:space="0" w:color="auto"/>
              <w:left w:val="nil" w:sz="0" w:space="0" w:color="auto"/>
              <w:right w:val="nil" w:sz="0" w:space="0" w:color="auto"/>
              <w:insideH w:val="nil" w:sz="0" w:space="0" w:color="auto"/>
              <w:insideV w:val="nil" w:sz="0" w:space="0" w:color="auto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/>
                <w:i w:val="0"/>
                <w:color w:val="000000"/>
                <w:sz w:val="14"/>
              </w:rPr>
              <w:t>Domain</w:t>
            </w:r>
          </w:p>
        </w:tc>
        <w:tc>
          <w:tcPr>
            <w:tcW w:type="dxa" w:w="2736"/>
            <w:shd w:fill="D9E2F3"/>
            <w:tcMar>
              <w:top w:w="70" w:type="dxa"/>
              <w:start w:w="65" w:type="dxa"/>
              <w:bottom w:w="70" w:type="dxa"/>
              <w:end w:w="65" w:type="dxa"/>
            </w:tcMar>
            <w:vAlign w:val="center"/>
            <w:tcBorders>
              <w:top w:val="nil" w:sz="0" w:space="0" w:color="auto"/>
              <w:bottom w:val="nil" w:sz="0" w:space="0" w:color="auto"/>
              <w:left w:val="nil" w:sz="0" w:space="0" w:color="auto"/>
              <w:right w:val="nil" w:sz="0" w:space="0" w:color="auto"/>
              <w:insideH w:val="nil" w:sz="0" w:space="0" w:color="auto"/>
              <w:insideV w:val="nil" w:sz="0" w:space="0" w:color="auto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/>
                <w:i w:val="0"/>
                <w:color w:val="000000"/>
                <w:sz w:val="14"/>
              </w:rPr>
              <w:t>Stratum</w:t>
            </w:r>
          </w:p>
        </w:tc>
        <w:tc>
          <w:tcPr>
            <w:tcW w:type="dxa" w:w="1094"/>
            <w:shd w:fill="D9E2F3"/>
            <w:tcMar>
              <w:top w:w="70" w:type="dxa"/>
              <w:start w:w="65" w:type="dxa"/>
              <w:bottom w:w="70" w:type="dxa"/>
              <w:end w:w="65" w:type="dxa"/>
            </w:tcMar>
            <w:vAlign w:val="center"/>
            <w:tcBorders>
              <w:top w:val="nil" w:sz="0" w:space="0" w:color="auto"/>
              <w:bottom w:val="nil" w:sz="0" w:space="0" w:color="auto"/>
              <w:left w:val="nil" w:sz="0" w:space="0" w:color="auto"/>
              <w:right w:val="nil" w:sz="0" w:space="0" w:color="auto"/>
              <w:insideH w:val="nil" w:sz="0" w:space="0" w:color="auto"/>
              <w:insideV w:val="nil" w:sz="0" w:space="0" w:color="auto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/>
                <w:i w:val="0"/>
                <w:color w:val="000000"/>
                <w:sz w:val="14"/>
              </w:rPr>
              <w:t>DGE/n</w:t>
            </w:r>
          </w:p>
        </w:tc>
        <w:tc>
          <w:tcPr>
            <w:tcW w:type="dxa" w:w="1885"/>
            <w:shd w:fill="D9E2F3"/>
            <w:tcMar>
              <w:top w:w="70" w:type="dxa"/>
              <w:start w:w="65" w:type="dxa"/>
              <w:bottom w:w="70" w:type="dxa"/>
              <w:end w:w="65" w:type="dxa"/>
            </w:tcMar>
            <w:vAlign w:val="center"/>
            <w:tcBorders>
              <w:top w:val="nil" w:sz="0" w:space="0" w:color="auto"/>
              <w:bottom w:val="nil" w:sz="0" w:space="0" w:color="auto"/>
              <w:left w:val="nil" w:sz="0" w:space="0" w:color="auto"/>
              <w:right w:val="nil" w:sz="0" w:space="0" w:color="auto"/>
              <w:insideH w:val="nil" w:sz="0" w:space="0" w:color="auto"/>
              <w:insideV w:val="nil" w:sz="0" w:space="0" w:color="auto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/>
                <w:i w:val="0"/>
                <w:color w:val="000000"/>
                <w:sz w:val="14"/>
              </w:rPr>
              <w:t>Incidence, %</w:t>
              <w:br/>
              <w:t>(95% CI)</w:t>
            </w:r>
          </w:p>
        </w:tc>
        <w:tc>
          <w:tcPr>
            <w:tcW w:type="dxa" w:w="730"/>
            <w:shd w:fill="D9E2F3"/>
            <w:tcMar>
              <w:top w:w="70" w:type="dxa"/>
              <w:start w:w="65" w:type="dxa"/>
              <w:bottom w:w="70" w:type="dxa"/>
              <w:end w:w="65" w:type="dxa"/>
            </w:tcMar>
            <w:vAlign w:val="center"/>
            <w:tcBorders>
              <w:top w:val="nil" w:sz="0" w:space="0" w:color="auto"/>
              <w:bottom w:val="nil" w:sz="0" w:space="0" w:color="auto"/>
              <w:left w:val="nil" w:sz="0" w:space="0" w:color="auto"/>
              <w:right w:val="nil" w:sz="0" w:space="0" w:color="auto"/>
              <w:insideH w:val="nil" w:sz="0" w:space="0" w:color="auto"/>
              <w:insideV w:val="nil" w:sz="0" w:space="0" w:color="auto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/>
                <w:i w:val="0"/>
                <w:color w:val="000000"/>
                <w:sz w:val="14"/>
              </w:rPr>
              <w:t>P value</w:t>
            </w:r>
          </w:p>
        </w:tc>
      </w:tr>
      <w:tr>
        <w:trPr>
          <w:cantSplit/>
        </w:trPr>
        <w:tc>
          <w:tcPr>
            <w:tcW w:type="dxa" w:w="1763"/>
            <w:shd w:fill="FFFFFF"/>
            <w:tcMar>
              <w:top w:w="55" w:type="dxa"/>
              <w:start w:w="70" w:type="dxa"/>
              <w:bottom w:w="55" w:type="dxa"/>
              <w:end w:w="70" w:type="dxa"/>
            </w:tcMar>
            <w:vAlign w:val="center"/>
            <w:tcBorders>
              <w:top w:val="nil" w:sz="0" w:space="0" w:color="auto"/>
              <w:bottom w:val="nil" w:sz="0" w:space="0" w:color="auto"/>
              <w:left w:val="nil" w:sz="0" w:space="0" w:color="auto"/>
              <w:right w:val="nil" w:sz="0" w:space="0" w:color="auto"/>
              <w:insideH w:val="nil" w:sz="0" w:space="0" w:color="auto"/>
              <w:insideV w:val="nil" w:sz="0" w:space="0" w:color="auto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4"/>
              </w:rPr>
              <w:t>Pathological T stage</w:t>
            </w:r>
          </w:p>
        </w:tc>
        <w:tc>
          <w:tcPr>
            <w:tcW w:type="dxa" w:w="2736"/>
            <w:shd w:fill="FFFFFF"/>
            <w:tcMar>
              <w:top w:w="55" w:type="dxa"/>
              <w:start w:w="70" w:type="dxa"/>
              <w:bottom w:w="55" w:type="dxa"/>
              <w:end w:w="70" w:type="dxa"/>
            </w:tcMar>
            <w:vAlign w:val="center"/>
            <w:tcBorders>
              <w:top w:val="nil" w:sz="0" w:space="0" w:color="auto"/>
              <w:bottom w:val="nil" w:sz="0" w:space="0" w:color="auto"/>
              <w:left w:val="nil" w:sz="0" w:space="0" w:color="auto"/>
              <w:right w:val="nil" w:sz="0" w:space="0" w:color="auto"/>
              <w:insideH w:val="nil" w:sz="0" w:space="0" w:color="auto"/>
              <w:insideV w:val="nil" w:sz="0" w:space="0" w:color="auto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4"/>
              </w:rPr>
              <w:t>T4</w:t>
            </w:r>
          </w:p>
        </w:tc>
        <w:tc>
          <w:tcPr>
            <w:tcW w:type="dxa" w:w="1094"/>
            <w:shd w:fill="FFFFFF"/>
            <w:tcMar>
              <w:top w:w="55" w:type="dxa"/>
              <w:start w:w="70" w:type="dxa"/>
              <w:bottom w:w="55" w:type="dxa"/>
              <w:end w:w="70" w:type="dxa"/>
            </w:tcMar>
            <w:vAlign w:val="center"/>
            <w:tcBorders>
              <w:top w:val="nil" w:sz="0" w:space="0" w:color="auto"/>
              <w:bottom w:val="nil" w:sz="0" w:space="0" w:color="auto"/>
              <w:left w:val="nil" w:sz="0" w:space="0" w:color="auto"/>
              <w:right w:val="nil" w:sz="0" w:space="0" w:color="auto"/>
              <w:insideH w:val="nil" w:sz="0" w:space="0" w:color="auto"/>
              <w:insideV w:val="nil" w:sz="0" w:space="0" w:color="auto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4"/>
              </w:rPr>
              <w:t>7/83</w:t>
            </w:r>
          </w:p>
        </w:tc>
        <w:tc>
          <w:tcPr>
            <w:tcW w:type="dxa" w:w="1885"/>
            <w:shd w:fill="FFFFFF"/>
            <w:tcMar>
              <w:top w:w="55" w:type="dxa"/>
              <w:start w:w="70" w:type="dxa"/>
              <w:bottom w:w="55" w:type="dxa"/>
              <w:end w:w="70" w:type="dxa"/>
            </w:tcMar>
            <w:vAlign w:val="center"/>
            <w:tcBorders>
              <w:top w:val="nil" w:sz="0" w:space="0" w:color="auto"/>
              <w:bottom w:val="nil" w:sz="0" w:space="0" w:color="auto"/>
              <w:left w:val="nil" w:sz="0" w:space="0" w:color="auto"/>
              <w:right w:val="nil" w:sz="0" w:space="0" w:color="auto"/>
              <w:insideH w:val="nil" w:sz="0" w:space="0" w:color="auto"/>
              <w:insideV w:val="nil" w:sz="0" w:space="0" w:color="auto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4"/>
              </w:rPr>
              <w:t>8.43 (4.15–16.40)</w:t>
            </w:r>
          </w:p>
        </w:tc>
        <w:tc>
          <w:tcPr>
            <w:tcW w:type="dxa" w:w="730"/>
            <w:shd w:fill="FFFFFF"/>
            <w:tcMar>
              <w:top w:w="55" w:type="dxa"/>
              <w:start w:w="70" w:type="dxa"/>
              <w:bottom w:w="55" w:type="dxa"/>
              <w:end w:w="70" w:type="dxa"/>
            </w:tcMar>
            <w:vAlign w:val="center"/>
            <w:tcBorders>
              <w:top w:val="nil" w:sz="0" w:space="0" w:color="auto"/>
              <w:bottom w:val="nil" w:sz="0" w:space="0" w:color="auto"/>
              <w:left w:val="nil" w:sz="0" w:space="0" w:color="auto"/>
              <w:right w:val="nil" w:sz="0" w:space="0" w:color="auto"/>
              <w:insideH w:val="nil" w:sz="0" w:space="0" w:color="auto"/>
              <w:insideV w:val="nil" w:sz="0" w:space="0" w:color="auto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4"/>
              </w:rPr>
              <w:t>&lt;0.001</w:t>
            </w:r>
          </w:p>
        </w:tc>
      </w:tr>
      <w:tr>
        <w:trPr>
          <w:cantSplit/>
        </w:trPr>
        <w:tc>
          <w:tcPr>
            <w:tcW w:type="dxa" w:w="1763"/>
            <w:shd w:fill="FFFFFF"/>
            <w:tcMar>
              <w:top w:w="55" w:type="dxa"/>
              <w:start w:w="70" w:type="dxa"/>
              <w:bottom w:w="55" w:type="dxa"/>
              <w:end w:w="70" w:type="dxa"/>
            </w:tcMar>
            <w:vAlign w:val="center"/>
            <w:tcBorders>
              <w:top w:val="nil" w:sz="0" w:space="0" w:color="auto"/>
              <w:bottom w:val="nil" w:sz="0" w:space="0" w:color="auto"/>
              <w:left w:val="nil" w:sz="0" w:space="0" w:color="auto"/>
              <w:right w:val="nil" w:sz="0" w:space="0" w:color="auto"/>
              <w:insideH w:val="nil" w:sz="0" w:space="0" w:color="auto"/>
              <w:insideV w:val="nil" w:sz="0" w:space="0" w:color="auto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4"/>
              </w:rPr>
            </w:r>
          </w:p>
        </w:tc>
        <w:tc>
          <w:tcPr>
            <w:tcW w:type="dxa" w:w="2736"/>
            <w:shd w:fill="FFFFFF"/>
            <w:tcMar>
              <w:top w:w="55" w:type="dxa"/>
              <w:start w:w="70" w:type="dxa"/>
              <w:bottom w:w="55" w:type="dxa"/>
              <w:end w:w="70" w:type="dxa"/>
            </w:tcMar>
            <w:vAlign w:val="center"/>
            <w:tcBorders>
              <w:top w:val="nil" w:sz="0" w:space="0" w:color="auto"/>
              <w:bottom w:val="nil" w:sz="0" w:space="0" w:color="auto"/>
              <w:left w:val="nil" w:sz="0" w:space="0" w:color="auto"/>
              <w:right w:val="nil" w:sz="0" w:space="0" w:color="auto"/>
              <w:insideH w:val="nil" w:sz="0" w:space="0" w:color="auto"/>
              <w:insideV w:val="nil" w:sz="0" w:space="0" w:color="auto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4"/>
              </w:rPr>
              <w:t>T0–T3</w:t>
            </w:r>
          </w:p>
        </w:tc>
        <w:tc>
          <w:tcPr>
            <w:tcW w:type="dxa" w:w="1094"/>
            <w:shd w:fill="FFFFFF"/>
            <w:tcMar>
              <w:top w:w="55" w:type="dxa"/>
              <w:start w:w="70" w:type="dxa"/>
              <w:bottom w:w="55" w:type="dxa"/>
              <w:end w:w="70" w:type="dxa"/>
            </w:tcMar>
            <w:vAlign w:val="center"/>
            <w:tcBorders>
              <w:top w:val="nil" w:sz="0" w:space="0" w:color="auto"/>
              <w:bottom w:val="nil" w:sz="0" w:space="0" w:color="auto"/>
              <w:left w:val="nil" w:sz="0" w:space="0" w:color="auto"/>
              <w:right w:val="nil" w:sz="0" w:space="0" w:color="auto"/>
              <w:insideH w:val="nil" w:sz="0" w:space="0" w:color="auto"/>
              <w:insideV w:val="nil" w:sz="0" w:space="0" w:color="auto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4"/>
              </w:rPr>
              <w:t>2/296</w:t>
            </w:r>
          </w:p>
        </w:tc>
        <w:tc>
          <w:tcPr>
            <w:tcW w:type="dxa" w:w="1885"/>
            <w:shd w:fill="FFFFFF"/>
            <w:tcMar>
              <w:top w:w="55" w:type="dxa"/>
              <w:start w:w="70" w:type="dxa"/>
              <w:bottom w:w="55" w:type="dxa"/>
              <w:end w:w="70" w:type="dxa"/>
            </w:tcMar>
            <w:vAlign w:val="center"/>
            <w:tcBorders>
              <w:top w:val="nil" w:sz="0" w:space="0" w:color="auto"/>
              <w:bottom w:val="nil" w:sz="0" w:space="0" w:color="auto"/>
              <w:left w:val="nil" w:sz="0" w:space="0" w:color="auto"/>
              <w:right w:val="nil" w:sz="0" w:space="0" w:color="auto"/>
              <w:insideH w:val="nil" w:sz="0" w:space="0" w:color="auto"/>
              <w:insideV w:val="nil" w:sz="0" w:space="0" w:color="auto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4"/>
              </w:rPr>
              <w:t>0.68 (0.19–2.43)</w:t>
            </w:r>
          </w:p>
        </w:tc>
        <w:tc>
          <w:tcPr>
            <w:tcW w:type="dxa" w:w="730"/>
            <w:shd w:fill="FFFFFF"/>
            <w:tcMar>
              <w:top w:w="55" w:type="dxa"/>
              <w:start w:w="70" w:type="dxa"/>
              <w:bottom w:w="55" w:type="dxa"/>
              <w:end w:w="70" w:type="dxa"/>
            </w:tcMar>
            <w:vAlign w:val="center"/>
            <w:tcBorders>
              <w:top w:val="nil" w:sz="0" w:space="0" w:color="auto"/>
              <w:bottom w:val="nil" w:sz="0" w:space="0" w:color="auto"/>
              <w:left w:val="nil" w:sz="0" w:space="0" w:color="auto"/>
              <w:right w:val="nil" w:sz="0" w:space="0" w:color="auto"/>
              <w:insideH w:val="nil" w:sz="0" w:space="0" w:color="auto"/>
              <w:insideV w:val="nil" w:sz="0" w:space="0" w:color="auto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4"/>
              </w:rPr>
            </w:r>
          </w:p>
        </w:tc>
      </w:tr>
      <w:tr>
        <w:trPr>
          <w:cantSplit/>
        </w:trPr>
        <w:tc>
          <w:tcPr>
            <w:tcW w:type="dxa" w:w="1763"/>
            <w:shd w:fill="FFFFFF"/>
            <w:tcMar>
              <w:top w:w="55" w:type="dxa"/>
              <w:start w:w="70" w:type="dxa"/>
              <w:bottom w:w="55" w:type="dxa"/>
              <w:end w:w="70" w:type="dxa"/>
            </w:tcMar>
            <w:vAlign w:val="center"/>
            <w:tcBorders>
              <w:top w:val="nil" w:sz="0" w:space="0" w:color="auto"/>
              <w:bottom w:val="nil" w:sz="0" w:space="0" w:color="auto"/>
              <w:left w:val="nil" w:sz="0" w:space="0" w:color="auto"/>
              <w:right w:val="nil" w:sz="0" w:space="0" w:color="auto"/>
              <w:insideH w:val="nil" w:sz="0" w:space="0" w:color="auto"/>
              <w:insideV w:val="nil" w:sz="0" w:space="0" w:color="auto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4"/>
              </w:rPr>
              <w:t>Pathological N stage</w:t>
            </w:r>
          </w:p>
        </w:tc>
        <w:tc>
          <w:tcPr>
            <w:tcW w:type="dxa" w:w="2736"/>
            <w:shd w:fill="FFFFFF"/>
            <w:tcMar>
              <w:top w:w="55" w:type="dxa"/>
              <w:start w:w="70" w:type="dxa"/>
              <w:bottom w:w="55" w:type="dxa"/>
              <w:end w:w="70" w:type="dxa"/>
            </w:tcMar>
            <w:vAlign w:val="center"/>
            <w:tcBorders>
              <w:top w:val="nil" w:sz="0" w:space="0" w:color="auto"/>
              <w:bottom w:val="nil" w:sz="0" w:space="0" w:color="auto"/>
              <w:left w:val="nil" w:sz="0" w:space="0" w:color="auto"/>
              <w:right w:val="nil" w:sz="0" w:space="0" w:color="auto"/>
              <w:insideH w:val="nil" w:sz="0" w:space="0" w:color="auto"/>
              <w:insideV w:val="nil" w:sz="0" w:space="0" w:color="auto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4"/>
              </w:rPr>
              <w:t>N-positive</w:t>
            </w:r>
          </w:p>
        </w:tc>
        <w:tc>
          <w:tcPr>
            <w:tcW w:type="dxa" w:w="1094"/>
            <w:shd w:fill="FFFFFF"/>
            <w:tcMar>
              <w:top w:w="55" w:type="dxa"/>
              <w:start w:w="70" w:type="dxa"/>
              <w:bottom w:w="55" w:type="dxa"/>
              <w:end w:w="70" w:type="dxa"/>
            </w:tcMar>
            <w:vAlign w:val="center"/>
            <w:tcBorders>
              <w:top w:val="nil" w:sz="0" w:space="0" w:color="auto"/>
              <w:bottom w:val="nil" w:sz="0" w:space="0" w:color="auto"/>
              <w:left w:val="nil" w:sz="0" w:space="0" w:color="auto"/>
              <w:right w:val="nil" w:sz="0" w:space="0" w:color="auto"/>
              <w:insideH w:val="nil" w:sz="0" w:space="0" w:color="auto"/>
              <w:insideV w:val="nil" w:sz="0" w:space="0" w:color="auto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4"/>
              </w:rPr>
              <w:t>5/154</w:t>
            </w:r>
          </w:p>
        </w:tc>
        <w:tc>
          <w:tcPr>
            <w:tcW w:type="dxa" w:w="1885"/>
            <w:shd w:fill="FFFFFF"/>
            <w:tcMar>
              <w:top w:w="55" w:type="dxa"/>
              <w:start w:w="70" w:type="dxa"/>
              <w:bottom w:w="55" w:type="dxa"/>
              <w:end w:w="70" w:type="dxa"/>
            </w:tcMar>
            <w:vAlign w:val="center"/>
            <w:tcBorders>
              <w:top w:val="nil" w:sz="0" w:space="0" w:color="auto"/>
              <w:bottom w:val="nil" w:sz="0" w:space="0" w:color="auto"/>
              <w:left w:val="nil" w:sz="0" w:space="0" w:color="auto"/>
              <w:right w:val="nil" w:sz="0" w:space="0" w:color="auto"/>
              <w:insideH w:val="nil" w:sz="0" w:space="0" w:color="auto"/>
              <w:insideV w:val="nil" w:sz="0" w:space="0" w:color="auto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4"/>
              </w:rPr>
              <w:t>3.25 (1.39–7.37)</w:t>
            </w:r>
          </w:p>
        </w:tc>
        <w:tc>
          <w:tcPr>
            <w:tcW w:type="dxa" w:w="730"/>
            <w:shd w:fill="FFFFFF"/>
            <w:tcMar>
              <w:top w:w="55" w:type="dxa"/>
              <w:start w:w="70" w:type="dxa"/>
              <w:bottom w:w="55" w:type="dxa"/>
              <w:end w:w="70" w:type="dxa"/>
            </w:tcMar>
            <w:vAlign w:val="center"/>
            <w:tcBorders>
              <w:top w:val="nil" w:sz="0" w:space="0" w:color="auto"/>
              <w:bottom w:val="nil" w:sz="0" w:space="0" w:color="auto"/>
              <w:left w:val="nil" w:sz="0" w:space="0" w:color="auto"/>
              <w:right w:val="nil" w:sz="0" w:space="0" w:color="auto"/>
              <w:insideH w:val="nil" w:sz="0" w:space="0" w:color="auto"/>
              <w:insideV w:val="nil" w:sz="0" w:space="0" w:color="auto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4"/>
              </w:rPr>
              <w:t>0.495</w:t>
            </w:r>
          </w:p>
        </w:tc>
      </w:tr>
      <w:tr>
        <w:trPr>
          <w:cantSplit/>
        </w:trPr>
        <w:tc>
          <w:tcPr>
            <w:tcW w:type="dxa" w:w="1763"/>
            <w:shd w:fill="FFFFFF"/>
            <w:tcMar>
              <w:top w:w="55" w:type="dxa"/>
              <w:start w:w="70" w:type="dxa"/>
              <w:bottom w:w="55" w:type="dxa"/>
              <w:end w:w="70" w:type="dxa"/>
            </w:tcMar>
            <w:vAlign w:val="center"/>
            <w:tcBorders>
              <w:top w:val="nil" w:sz="0" w:space="0" w:color="auto"/>
              <w:bottom w:val="nil" w:sz="0" w:space="0" w:color="auto"/>
              <w:left w:val="nil" w:sz="0" w:space="0" w:color="auto"/>
              <w:right w:val="nil" w:sz="0" w:space="0" w:color="auto"/>
              <w:insideH w:val="nil" w:sz="0" w:space="0" w:color="auto"/>
              <w:insideV w:val="nil" w:sz="0" w:space="0" w:color="auto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4"/>
              </w:rPr>
            </w:r>
          </w:p>
        </w:tc>
        <w:tc>
          <w:tcPr>
            <w:tcW w:type="dxa" w:w="2736"/>
            <w:shd w:fill="FFFFFF"/>
            <w:tcMar>
              <w:top w:w="55" w:type="dxa"/>
              <w:start w:w="70" w:type="dxa"/>
              <w:bottom w:w="55" w:type="dxa"/>
              <w:end w:w="70" w:type="dxa"/>
            </w:tcMar>
            <w:vAlign w:val="center"/>
            <w:tcBorders>
              <w:top w:val="nil" w:sz="0" w:space="0" w:color="auto"/>
              <w:bottom w:val="nil" w:sz="0" w:space="0" w:color="auto"/>
              <w:left w:val="nil" w:sz="0" w:space="0" w:color="auto"/>
              <w:right w:val="nil" w:sz="0" w:space="0" w:color="auto"/>
              <w:insideH w:val="nil" w:sz="0" w:space="0" w:color="auto"/>
              <w:insideV w:val="nil" w:sz="0" w:space="0" w:color="auto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4"/>
              </w:rPr>
              <w:t>N0</w:t>
            </w:r>
          </w:p>
        </w:tc>
        <w:tc>
          <w:tcPr>
            <w:tcW w:type="dxa" w:w="1094"/>
            <w:shd w:fill="FFFFFF"/>
            <w:tcMar>
              <w:top w:w="55" w:type="dxa"/>
              <w:start w:w="70" w:type="dxa"/>
              <w:bottom w:w="55" w:type="dxa"/>
              <w:end w:w="70" w:type="dxa"/>
            </w:tcMar>
            <w:vAlign w:val="center"/>
            <w:tcBorders>
              <w:top w:val="nil" w:sz="0" w:space="0" w:color="auto"/>
              <w:bottom w:val="nil" w:sz="0" w:space="0" w:color="auto"/>
              <w:left w:val="nil" w:sz="0" w:space="0" w:color="auto"/>
              <w:right w:val="nil" w:sz="0" w:space="0" w:color="auto"/>
              <w:insideH w:val="nil" w:sz="0" w:space="0" w:color="auto"/>
              <w:insideV w:val="nil" w:sz="0" w:space="0" w:color="auto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4"/>
              </w:rPr>
              <w:t>4/225</w:t>
            </w:r>
          </w:p>
        </w:tc>
        <w:tc>
          <w:tcPr>
            <w:tcW w:type="dxa" w:w="1885"/>
            <w:shd w:fill="FFFFFF"/>
            <w:tcMar>
              <w:top w:w="55" w:type="dxa"/>
              <w:start w:w="70" w:type="dxa"/>
              <w:bottom w:w="55" w:type="dxa"/>
              <w:end w:w="70" w:type="dxa"/>
            </w:tcMar>
            <w:vAlign w:val="center"/>
            <w:tcBorders>
              <w:top w:val="nil" w:sz="0" w:space="0" w:color="auto"/>
              <w:bottom w:val="nil" w:sz="0" w:space="0" w:color="auto"/>
              <w:left w:val="nil" w:sz="0" w:space="0" w:color="auto"/>
              <w:right w:val="nil" w:sz="0" w:space="0" w:color="auto"/>
              <w:insideH w:val="nil" w:sz="0" w:space="0" w:color="auto"/>
              <w:insideV w:val="nil" w:sz="0" w:space="0" w:color="auto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4"/>
              </w:rPr>
              <w:t>1.78 (0.69–4.48)</w:t>
            </w:r>
          </w:p>
        </w:tc>
        <w:tc>
          <w:tcPr>
            <w:tcW w:type="dxa" w:w="730"/>
            <w:shd w:fill="FFFFFF"/>
            <w:tcMar>
              <w:top w:w="55" w:type="dxa"/>
              <w:start w:w="70" w:type="dxa"/>
              <w:bottom w:w="55" w:type="dxa"/>
              <w:end w:w="70" w:type="dxa"/>
            </w:tcMar>
            <w:vAlign w:val="center"/>
            <w:tcBorders>
              <w:top w:val="nil" w:sz="0" w:space="0" w:color="auto"/>
              <w:bottom w:val="nil" w:sz="0" w:space="0" w:color="auto"/>
              <w:left w:val="nil" w:sz="0" w:space="0" w:color="auto"/>
              <w:right w:val="nil" w:sz="0" w:space="0" w:color="auto"/>
              <w:insideH w:val="nil" w:sz="0" w:space="0" w:color="auto"/>
              <w:insideV w:val="nil" w:sz="0" w:space="0" w:color="auto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4"/>
              </w:rPr>
            </w:r>
          </w:p>
        </w:tc>
      </w:tr>
      <w:tr>
        <w:trPr>
          <w:cantSplit/>
        </w:trPr>
        <w:tc>
          <w:tcPr>
            <w:tcW w:type="dxa" w:w="1763"/>
            <w:shd w:fill="FFFFFF"/>
            <w:tcMar>
              <w:top w:w="55" w:type="dxa"/>
              <w:start w:w="70" w:type="dxa"/>
              <w:bottom w:w="55" w:type="dxa"/>
              <w:end w:w="70" w:type="dxa"/>
            </w:tcMar>
            <w:vAlign w:val="center"/>
            <w:tcBorders>
              <w:top w:val="nil" w:sz="0" w:space="0" w:color="auto"/>
              <w:bottom w:val="nil" w:sz="0" w:space="0" w:color="auto"/>
              <w:left w:val="nil" w:sz="0" w:space="0" w:color="auto"/>
              <w:right w:val="nil" w:sz="0" w:space="0" w:color="auto"/>
              <w:insideH w:val="nil" w:sz="0" w:space="0" w:color="auto"/>
              <w:insideV w:val="nil" w:sz="0" w:space="0" w:color="auto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4"/>
              </w:rPr>
              <w:t>Distant metastasis</w:t>
            </w:r>
          </w:p>
        </w:tc>
        <w:tc>
          <w:tcPr>
            <w:tcW w:type="dxa" w:w="2736"/>
            <w:shd w:fill="FFFFFF"/>
            <w:tcMar>
              <w:top w:w="55" w:type="dxa"/>
              <w:start w:w="70" w:type="dxa"/>
              <w:bottom w:w="55" w:type="dxa"/>
              <w:end w:w="70" w:type="dxa"/>
            </w:tcMar>
            <w:vAlign w:val="center"/>
            <w:tcBorders>
              <w:top w:val="nil" w:sz="0" w:space="0" w:color="auto"/>
              <w:bottom w:val="nil" w:sz="0" w:space="0" w:color="auto"/>
              <w:left w:val="nil" w:sz="0" w:space="0" w:color="auto"/>
              <w:right w:val="nil" w:sz="0" w:space="0" w:color="auto"/>
              <w:insideH w:val="nil" w:sz="0" w:space="0" w:color="auto"/>
              <w:insideV w:val="nil" w:sz="0" w:space="0" w:color="auto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4"/>
              </w:rPr>
              <w:t>M1</w:t>
            </w:r>
          </w:p>
        </w:tc>
        <w:tc>
          <w:tcPr>
            <w:tcW w:type="dxa" w:w="1094"/>
            <w:shd w:fill="FFFFFF"/>
            <w:tcMar>
              <w:top w:w="55" w:type="dxa"/>
              <w:start w:w="70" w:type="dxa"/>
              <w:bottom w:w="55" w:type="dxa"/>
              <w:end w:w="70" w:type="dxa"/>
            </w:tcMar>
            <w:vAlign w:val="center"/>
            <w:tcBorders>
              <w:top w:val="nil" w:sz="0" w:space="0" w:color="auto"/>
              <w:bottom w:val="nil" w:sz="0" w:space="0" w:color="auto"/>
              <w:left w:val="nil" w:sz="0" w:space="0" w:color="auto"/>
              <w:right w:val="nil" w:sz="0" w:space="0" w:color="auto"/>
              <w:insideH w:val="nil" w:sz="0" w:space="0" w:color="auto"/>
              <w:insideV w:val="nil" w:sz="0" w:space="0" w:color="auto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4"/>
              </w:rPr>
              <w:t>2/56</w:t>
            </w:r>
          </w:p>
        </w:tc>
        <w:tc>
          <w:tcPr>
            <w:tcW w:type="dxa" w:w="1885"/>
            <w:shd w:fill="FFFFFF"/>
            <w:tcMar>
              <w:top w:w="55" w:type="dxa"/>
              <w:start w:w="70" w:type="dxa"/>
              <w:bottom w:w="55" w:type="dxa"/>
              <w:end w:w="70" w:type="dxa"/>
            </w:tcMar>
            <w:vAlign w:val="center"/>
            <w:tcBorders>
              <w:top w:val="nil" w:sz="0" w:space="0" w:color="auto"/>
              <w:bottom w:val="nil" w:sz="0" w:space="0" w:color="auto"/>
              <w:left w:val="nil" w:sz="0" w:space="0" w:color="auto"/>
              <w:right w:val="nil" w:sz="0" w:space="0" w:color="auto"/>
              <w:insideH w:val="nil" w:sz="0" w:space="0" w:color="auto"/>
              <w:insideV w:val="nil" w:sz="0" w:space="0" w:color="auto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4"/>
              </w:rPr>
              <w:t>3.57 (0.98–12.12)</w:t>
            </w:r>
          </w:p>
        </w:tc>
        <w:tc>
          <w:tcPr>
            <w:tcW w:type="dxa" w:w="730"/>
            <w:shd w:fill="FFFFFF"/>
            <w:tcMar>
              <w:top w:w="55" w:type="dxa"/>
              <w:start w:w="70" w:type="dxa"/>
              <w:bottom w:w="55" w:type="dxa"/>
              <w:end w:w="70" w:type="dxa"/>
            </w:tcMar>
            <w:vAlign w:val="center"/>
            <w:tcBorders>
              <w:top w:val="nil" w:sz="0" w:space="0" w:color="auto"/>
              <w:bottom w:val="nil" w:sz="0" w:space="0" w:color="auto"/>
              <w:left w:val="nil" w:sz="0" w:space="0" w:color="auto"/>
              <w:right w:val="nil" w:sz="0" w:space="0" w:color="auto"/>
              <w:insideH w:val="nil" w:sz="0" w:space="0" w:color="auto"/>
              <w:insideV w:val="nil" w:sz="0" w:space="0" w:color="auto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4"/>
              </w:rPr>
              <w:t>0.627</w:t>
            </w:r>
          </w:p>
        </w:tc>
      </w:tr>
      <w:tr>
        <w:trPr>
          <w:cantSplit/>
        </w:trPr>
        <w:tc>
          <w:tcPr>
            <w:tcW w:type="dxa" w:w="1763"/>
            <w:shd w:fill="FFFFFF"/>
            <w:tcMar>
              <w:top w:w="55" w:type="dxa"/>
              <w:start w:w="70" w:type="dxa"/>
              <w:bottom w:w="55" w:type="dxa"/>
              <w:end w:w="70" w:type="dxa"/>
            </w:tcMar>
            <w:vAlign w:val="center"/>
            <w:tcBorders>
              <w:top w:val="nil" w:sz="0" w:space="0" w:color="auto"/>
              <w:bottom w:val="nil" w:sz="0" w:space="0" w:color="auto"/>
              <w:left w:val="nil" w:sz="0" w:space="0" w:color="auto"/>
              <w:right w:val="nil" w:sz="0" w:space="0" w:color="auto"/>
              <w:insideH w:val="nil" w:sz="0" w:space="0" w:color="auto"/>
              <w:insideV w:val="nil" w:sz="0" w:space="0" w:color="auto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4"/>
              </w:rPr>
            </w:r>
          </w:p>
        </w:tc>
        <w:tc>
          <w:tcPr>
            <w:tcW w:type="dxa" w:w="2736"/>
            <w:shd w:fill="FFFFFF"/>
            <w:tcMar>
              <w:top w:w="55" w:type="dxa"/>
              <w:start w:w="70" w:type="dxa"/>
              <w:bottom w:w="55" w:type="dxa"/>
              <w:end w:w="70" w:type="dxa"/>
            </w:tcMar>
            <w:vAlign w:val="center"/>
            <w:tcBorders>
              <w:top w:val="nil" w:sz="0" w:space="0" w:color="auto"/>
              <w:bottom w:val="nil" w:sz="0" w:space="0" w:color="auto"/>
              <w:left w:val="nil" w:sz="0" w:space="0" w:color="auto"/>
              <w:right w:val="nil" w:sz="0" w:space="0" w:color="auto"/>
              <w:insideH w:val="nil" w:sz="0" w:space="0" w:color="auto"/>
              <w:insideV w:val="nil" w:sz="0" w:space="0" w:color="auto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4"/>
              </w:rPr>
              <w:t>M0</w:t>
            </w:r>
          </w:p>
        </w:tc>
        <w:tc>
          <w:tcPr>
            <w:tcW w:type="dxa" w:w="1094"/>
            <w:shd w:fill="FFFFFF"/>
            <w:tcMar>
              <w:top w:w="55" w:type="dxa"/>
              <w:start w:w="70" w:type="dxa"/>
              <w:bottom w:w="55" w:type="dxa"/>
              <w:end w:w="70" w:type="dxa"/>
            </w:tcMar>
            <w:vAlign w:val="center"/>
            <w:tcBorders>
              <w:top w:val="nil" w:sz="0" w:space="0" w:color="auto"/>
              <w:bottom w:val="nil" w:sz="0" w:space="0" w:color="auto"/>
              <w:left w:val="nil" w:sz="0" w:space="0" w:color="auto"/>
              <w:right w:val="nil" w:sz="0" w:space="0" w:color="auto"/>
              <w:insideH w:val="nil" w:sz="0" w:space="0" w:color="auto"/>
              <w:insideV w:val="nil" w:sz="0" w:space="0" w:color="auto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4"/>
              </w:rPr>
              <w:t>7/323</w:t>
            </w:r>
          </w:p>
        </w:tc>
        <w:tc>
          <w:tcPr>
            <w:tcW w:type="dxa" w:w="1885"/>
            <w:shd w:fill="FFFFFF"/>
            <w:tcMar>
              <w:top w:w="55" w:type="dxa"/>
              <w:start w:w="70" w:type="dxa"/>
              <w:bottom w:w="55" w:type="dxa"/>
              <w:end w:w="70" w:type="dxa"/>
            </w:tcMar>
            <w:vAlign w:val="center"/>
            <w:tcBorders>
              <w:top w:val="nil" w:sz="0" w:space="0" w:color="auto"/>
              <w:bottom w:val="nil" w:sz="0" w:space="0" w:color="auto"/>
              <w:left w:val="nil" w:sz="0" w:space="0" w:color="auto"/>
              <w:right w:val="nil" w:sz="0" w:space="0" w:color="auto"/>
              <w:insideH w:val="nil" w:sz="0" w:space="0" w:color="auto"/>
              <w:insideV w:val="nil" w:sz="0" w:space="0" w:color="auto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4"/>
              </w:rPr>
              <w:t>2.17 (1.05–4.41)</w:t>
            </w:r>
          </w:p>
        </w:tc>
        <w:tc>
          <w:tcPr>
            <w:tcW w:type="dxa" w:w="730"/>
            <w:shd w:fill="FFFFFF"/>
            <w:tcMar>
              <w:top w:w="55" w:type="dxa"/>
              <w:start w:w="70" w:type="dxa"/>
              <w:bottom w:w="55" w:type="dxa"/>
              <w:end w:w="70" w:type="dxa"/>
            </w:tcMar>
            <w:vAlign w:val="center"/>
            <w:tcBorders>
              <w:top w:val="nil" w:sz="0" w:space="0" w:color="auto"/>
              <w:bottom w:val="nil" w:sz="0" w:space="0" w:color="auto"/>
              <w:left w:val="nil" w:sz="0" w:space="0" w:color="auto"/>
              <w:right w:val="nil" w:sz="0" w:space="0" w:color="auto"/>
              <w:insideH w:val="nil" w:sz="0" w:space="0" w:color="auto"/>
              <w:insideV w:val="nil" w:sz="0" w:space="0" w:color="auto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4"/>
              </w:rPr>
            </w:r>
          </w:p>
        </w:tc>
      </w:tr>
      <w:tr>
        <w:trPr>
          <w:cantSplit/>
        </w:trPr>
        <w:tc>
          <w:tcPr>
            <w:tcW w:type="dxa" w:w="1763"/>
            <w:shd w:fill="FFFFFF"/>
            <w:tcMar>
              <w:top w:w="55" w:type="dxa"/>
              <w:start w:w="70" w:type="dxa"/>
              <w:bottom w:w="55" w:type="dxa"/>
              <w:end w:w="70" w:type="dxa"/>
            </w:tcMar>
            <w:vAlign w:val="center"/>
            <w:tcBorders>
              <w:top w:val="nil" w:sz="0" w:space="0" w:color="auto"/>
              <w:bottom w:val="nil" w:sz="0" w:space="0" w:color="auto"/>
              <w:left w:val="nil" w:sz="0" w:space="0" w:color="auto"/>
              <w:right w:val="nil" w:sz="0" w:space="0" w:color="auto"/>
              <w:insideH w:val="nil" w:sz="0" w:space="0" w:color="auto"/>
              <w:insideV w:val="nil" w:sz="0" w:space="0" w:color="auto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4"/>
              </w:rPr>
              <w:t>AJCC stage</w:t>
            </w:r>
          </w:p>
        </w:tc>
        <w:tc>
          <w:tcPr>
            <w:tcW w:type="dxa" w:w="2736"/>
            <w:shd w:fill="FFFFFF"/>
            <w:tcMar>
              <w:top w:w="55" w:type="dxa"/>
              <w:start w:w="70" w:type="dxa"/>
              <w:bottom w:w="55" w:type="dxa"/>
              <w:end w:w="70" w:type="dxa"/>
            </w:tcMar>
            <w:vAlign w:val="center"/>
            <w:tcBorders>
              <w:top w:val="nil" w:sz="0" w:space="0" w:color="auto"/>
              <w:bottom w:val="nil" w:sz="0" w:space="0" w:color="auto"/>
              <w:left w:val="nil" w:sz="0" w:space="0" w:color="auto"/>
              <w:right w:val="nil" w:sz="0" w:space="0" w:color="auto"/>
              <w:insideH w:val="nil" w:sz="0" w:space="0" w:color="auto"/>
              <w:insideV w:val="nil" w:sz="0" w:space="0" w:color="auto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4"/>
              </w:rPr>
              <w:t>III/IV</w:t>
            </w:r>
          </w:p>
        </w:tc>
        <w:tc>
          <w:tcPr>
            <w:tcW w:type="dxa" w:w="1094"/>
            <w:shd w:fill="FFFFFF"/>
            <w:tcMar>
              <w:top w:w="55" w:type="dxa"/>
              <w:start w:w="70" w:type="dxa"/>
              <w:bottom w:w="55" w:type="dxa"/>
              <w:end w:w="70" w:type="dxa"/>
            </w:tcMar>
            <w:vAlign w:val="center"/>
            <w:tcBorders>
              <w:top w:val="nil" w:sz="0" w:space="0" w:color="auto"/>
              <w:bottom w:val="nil" w:sz="0" w:space="0" w:color="auto"/>
              <w:left w:val="nil" w:sz="0" w:space="0" w:color="auto"/>
              <w:right w:val="nil" w:sz="0" w:space="0" w:color="auto"/>
              <w:insideH w:val="nil" w:sz="0" w:space="0" w:color="auto"/>
              <w:insideV w:val="nil" w:sz="0" w:space="0" w:color="auto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4"/>
              </w:rPr>
              <w:t>5/167</w:t>
            </w:r>
          </w:p>
        </w:tc>
        <w:tc>
          <w:tcPr>
            <w:tcW w:type="dxa" w:w="1885"/>
            <w:shd w:fill="FFFFFF"/>
            <w:tcMar>
              <w:top w:w="55" w:type="dxa"/>
              <w:start w:w="70" w:type="dxa"/>
              <w:bottom w:w="55" w:type="dxa"/>
              <w:end w:w="70" w:type="dxa"/>
            </w:tcMar>
            <w:vAlign w:val="center"/>
            <w:tcBorders>
              <w:top w:val="nil" w:sz="0" w:space="0" w:color="auto"/>
              <w:bottom w:val="nil" w:sz="0" w:space="0" w:color="auto"/>
              <w:left w:val="nil" w:sz="0" w:space="0" w:color="auto"/>
              <w:right w:val="nil" w:sz="0" w:space="0" w:color="auto"/>
              <w:insideH w:val="nil" w:sz="0" w:space="0" w:color="auto"/>
              <w:insideV w:val="nil" w:sz="0" w:space="0" w:color="auto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4"/>
              </w:rPr>
              <w:t>2.99 (1.29–6.82)</w:t>
            </w:r>
          </w:p>
        </w:tc>
        <w:tc>
          <w:tcPr>
            <w:tcW w:type="dxa" w:w="730"/>
            <w:shd w:fill="FFFFFF"/>
            <w:tcMar>
              <w:top w:w="55" w:type="dxa"/>
              <w:start w:w="70" w:type="dxa"/>
              <w:bottom w:w="55" w:type="dxa"/>
              <w:end w:w="70" w:type="dxa"/>
            </w:tcMar>
            <w:vAlign w:val="center"/>
            <w:tcBorders>
              <w:top w:val="nil" w:sz="0" w:space="0" w:color="auto"/>
              <w:bottom w:val="nil" w:sz="0" w:space="0" w:color="auto"/>
              <w:left w:val="nil" w:sz="0" w:space="0" w:color="auto"/>
              <w:right w:val="nil" w:sz="0" w:space="0" w:color="auto"/>
              <w:insideH w:val="nil" w:sz="0" w:space="0" w:color="auto"/>
              <w:insideV w:val="nil" w:sz="0" w:space="0" w:color="auto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4"/>
              </w:rPr>
              <w:t>0.515</w:t>
            </w:r>
          </w:p>
        </w:tc>
      </w:tr>
      <w:tr>
        <w:trPr>
          <w:cantSplit/>
        </w:trPr>
        <w:tc>
          <w:tcPr>
            <w:tcW w:type="dxa" w:w="1763"/>
            <w:shd w:fill="FFFFFF"/>
            <w:tcMar>
              <w:top w:w="55" w:type="dxa"/>
              <w:start w:w="70" w:type="dxa"/>
              <w:bottom w:w="55" w:type="dxa"/>
              <w:end w:w="70" w:type="dxa"/>
            </w:tcMar>
            <w:vAlign w:val="center"/>
            <w:tcBorders>
              <w:top w:val="nil" w:sz="0" w:space="0" w:color="auto"/>
              <w:bottom w:val="nil" w:sz="0" w:space="0" w:color="auto"/>
              <w:left w:val="nil" w:sz="0" w:space="0" w:color="auto"/>
              <w:right w:val="nil" w:sz="0" w:space="0" w:color="auto"/>
              <w:insideH w:val="nil" w:sz="0" w:space="0" w:color="auto"/>
              <w:insideV w:val="nil" w:sz="0" w:space="0" w:color="auto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4"/>
              </w:rPr>
            </w:r>
          </w:p>
        </w:tc>
        <w:tc>
          <w:tcPr>
            <w:tcW w:type="dxa" w:w="2736"/>
            <w:shd w:fill="FFFFFF"/>
            <w:tcMar>
              <w:top w:w="55" w:type="dxa"/>
              <w:start w:w="70" w:type="dxa"/>
              <w:bottom w:w="55" w:type="dxa"/>
              <w:end w:w="70" w:type="dxa"/>
            </w:tcMar>
            <w:vAlign w:val="center"/>
            <w:tcBorders>
              <w:top w:val="nil" w:sz="0" w:space="0" w:color="auto"/>
              <w:bottom w:val="nil" w:sz="0" w:space="0" w:color="auto"/>
              <w:left w:val="nil" w:sz="0" w:space="0" w:color="auto"/>
              <w:right w:val="nil" w:sz="0" w:space="0" w:color="auto"/>
              <w:insideH w:val="nil" w:sz="0" w:space="0" w:color="auto"/>
              <w:insideV w:val="nil" w:sz="0" w:space="0" w:color="auto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4"/>
              </w:rPr>
              <w:t>0–II</w:t>
            </w:r>
          </w:p>
        </w:tc>
        <w:tc>
          <w:tcPr>
            <w:tcW w:type="dxa" w:w="1094"/>
            <w:shd w:fill="FFFFFF"/>
            <w:tcMar>
              <w:top w:w="55" w:type="dxa"/>
              <w:start w:w="70" w:type="dxa"/>
              <w:bottom w:w="55" w:type="dxa"/>
              <w:end w:w="70" w:type="dxa"/>
            </w:tcMar>
            <w:vAlign w:val="center"/>
            <w:tcBorders>
              <w:top w:val="nil" w:sz="0" w:space="0" w:color="auto"/>
              <w:bottom w:val="nil" w:sz="0" w:space="0" w:color="auto"/>
              <w:left w:val="nil" w:sz="0" w:space="0" w:color="auto"/>
              <w:right w:val="nil" w:sz="0" w:space="0" w:color="auto"/>
              <w:insideH w:val="nil" w:sz="0" w:space="0" w:color="auto"/>
              <w:insideV w:val="nil" w:sz="0" w:space="0" w:color="auto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4"/>
              </w:rPr>
              <w:t>4/212</w:t>
            </w:r>
          </w:p>
        </w:tc>
        <w:tc>
          <w:tcPr>
            <w:tcW w:type="dxa" w:w="1885"/>
            <w:shd w:fill="FFFFFF"/>
            <w:tcMar>
              <w:top w:w="55" w:type="dxa"/>
              <w:start w:w="70" w:type="dxa"/>
              <w:bottom w:w="55" w:type="dxa"/>
              <w:end w:w="70" w:type="dxa"/>
            </w:tcMar>
            <w:vAlign w:val="center"/>
            <w:tcBorders>
              <w:top w:val="nil" w:sz="0" w:space="0" w:color="auto"/>
              <w:bottom w:val="nil" w:sz="0" w:space="0" w:color="auto"/>
              <w:left w:val="nil" w:sz="0" w:space="0" w:color="auto"/>
              <w:right w:val="nil" w:sz="0" w:space="0" w:color="auto"/>
              <w:insideH w:val="nil" w:sz="0" w:space="0" w:color="auto"/>
              <w:insideV w:val="nil" w:sz="0" w:space="0" w:color="auto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4"/>
              </w:rPr>
              <w:t>1.89 (0.74–4.75)</w:t>
            </w:r>
          </w:p>
        </w:tc>
        <w:tc>
          <w:tcPr>
            <w:tcW w:type="dxa" w:w="730"/>
            <w:shd w:fill="FFFFFF"/>
            <w:tcMar>
              <w:top w:w="55" w:type="dxa"/>
              <w:start w:w="70" w:type="dxa"/>
              <w:bottom w:w="55" w:type="dxa"/>
              <w:end w:w="70" w:type="dxa"/>
            </w:tcMar>
            <w:vAlign w:val="center"/>
            <w:tcBorders>
              <w:top w:val="nil" w:sz="0" w:space="0" w:color="auto"/>
              <w:bottom w:val="nil" w:sz="0" w:space="0" w:color="auto"/>
              <w:left w:val="nil" w:sz="0" w:space="0" w:color="auto"/>
              <w:right w:val="nil" w:sz="0" w:space="0" w:color="auto"/>
              <w:insideH w:val="nil" w:sz="0" w:space="0" w:color="auto"/>
              <w:insideV w:val="nil" w:sz="0" w:space="0" w:color="auto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4"/>
              </w:rPr>
            </w:r>
          </w:p>
        </w:tc>
      </w:tr>
      <w:tr>
        <w:trPr>
          <w:cantSplit/>
        </w:trPr>
        <w:tc>
          <w:tcPr>
            <w:tcW w:type="dxa" w:w="1763"/>
            <w:shd w:fill="FFFFFF"/>
            <w:tcMar>
              <w:top w:w="55" w:type="dxa"/>
              <w:start w:w="70" w:type="dxa"/>
              <w:bottom w:w="55" w:type="dxa"/>
              <w:end w:w="70" w:type="dxa"/>
            </w:tcMar>
            <w:vAlign w:val="center"/>
            <w:tcBorders>
              <w:top w:val="nil" w:sz="0" w:space="0" w:color="auto"/>
              <w:bottom w:val="nil" w:sz="0" w:space="0" w:color="auto"/>
              <w:left w:val="nil" w:sz="0" w:space="0" w:color="auto"/>
              <w:right w:val="nil" w:sz="0" w:space="0" w:color="auto"/>
              <w:insideH w:val="nil" w:sz="0" w:space="0" w:color="auto"/>
              <w:insideV w:val="nil" w:sz="0" w:space="0" w:color="auto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4"/>
              </w:rPr>
              <w:t>Histological type (N=354)</w:t>
            </w:r>
          </w:p>
        </w:tc>
        <w:tc>
          <w:tcPr>
            <w:tcW w:type="dxa" w:w="2736"/>
            <w:shd w:fill="FFFFFF"/>
            <w:tcMar>
              <w:top w:w="55" w:type="dxa"/>
              <w:start w:w="70" w:type="dxa"/>
              <w:bottom w:w="55" w:type="dxa"/>
              <w:end w:w="70" w:type="dxa"/>
            </w:tcMar>
            <w:vAlign w:val="center"/>
            <w:tcBorders>
              <w:top w:val="nil" w:sz="0" w:space="0" w:color="auto"/>
              <w:bottom w:val="nil" w:sz="0" w:space="0" w:color="auto"/>
              <w:left w:val="nil" w:sz="0" w:space="0" w:color="auto"/>
              <w:right w:val="nil" w:sz="0" w:space="0" w:color="auto"/>
              <w:insideH w:val="nil" w:sz="0" w:space="0" w:color="auto"/>
              <w:insideV w:val="nil" w:sz="0" w:space="0" w:color="auto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4"/>
              </w:rPr>
              <w:t>Mucinous or signet-ring cell carcinoma</w:t>
            </w:r>
          </w:p>
        </w:tc>
        <w:tc>
          <w:tcPr>
            <w:tcW w:type="dxa" w:w="1094"/>
            <w:shd w:fill="FFFFFF"/>
            <w:tcMar>
              <w:top w:w="55" w:type="dxa"/>
              <w:start w:w="70" w:type="dxa"/>
              <w:bottom w:w="55" w:type="dxa"/>
              <w:end w:w="70" w:type="dxa"/>
            </w:tcMar>
            <w:vAlign w:val="center"/>
            <w:tcBorders>
              <w:top w:val="nil" w:sz="0" w:space="0" w:color="auto"/>
              <w:bottom w:val="nil" w:sz="0" w:space="0" w:color="auto"/>
              <w:left w:val="nil" w:sz="0" w:space="0" w:color="auto"/>
              <w:right w:val="nil" w:sz="0" w:space="0" w:color="auto"/>
              <w:insideH w:val="nil" w:sz="0" w:space="0" w:color="auto"/>
              <w:insideV w:val="nil" w:sz="0" w:space="0" w:color="auto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4"/>
              </w:rPr>
              <w:t>3/43</w:t>
            </w:r>
          </w:p>
        </w:tc>
        <w:tc>
          <w:tcPr>
            <w:tcW w:type="dxa" w:w="1885"/>
            <w:shd w:fill="FFFFFF"/>
            <w:tcMar>
              <w:top w:w="55" w:type="dxa"/>
              <w:start w:w="70" w:type="dxa"/>
              <w:bottom w:w="55" w:type="dxa"/>
              <w:end w:w="70" w:type="dxa"/>
            </w:tcMar>
            <w:vAlign w:val="center"/>
            <w:tcBorders>
              <w:top w:val="nil" w:sz="0" w:space="0" w:color="auto"/>
              <w:bottom w:val="nil" w:sz="0" w:space="0" w:color="auto"/>
              <w:left w:val="nil" w:sz="0" w:space="0" w:color="auto"/>
              <w:right w:val="nil" w:sz="0" w:space="0" w:color="auto"/>
              <w:insideH w:val="nil" w:sz="0" w:space="0" w:color="auto"/>
              <w:insideV w:val="nil" w:sz="0" w:space="0" w:color="auto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4"/>
              </w:rPr>
              <w:t>6.98 (2.40–18.61)</w:t>
            </w:r>
          </w:p>
        </w:tc>
        <w:tc>
          <w:tcPr>
            <w:tcW w:type="dxa" w:w="730"/>
            <w:shd w:fill="FFFFFF"/>
            <w:tcMar>
              <w:top w:w="55" w:type="dxa"/>
              <w:start w:w="70" w:type="dxa"/>
              <w:bottom w:w="55" w:type="dxa"/>
              <w:end w:w="70" w:type="dxa"/>
            </w:tcMar>
            <w:vAlign w:val="center"/>
            <w:tcBorders>
              <w:top w:val="nil" w:sz="0" w:space="0" w:color="auto"/>
              <w:bottom w:val="nil" w:sz="0" w:space="0" w:color="auto"/>
              <w:left w:val="nil" w:sz="0" w:space="0" w:color="auto"/>
              <w:right w:val="nil" w:sz="0" w:space="0" w:color="auto"/>
              <w:insideH w:val="nil" w:sz="0" w:space="0" w:color="auto"/>
              <w:insideV w:val="nil" w:sz="0" w:space="0" w:color="auto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4"/>
              </w:rPr>
              <w:t>0.083</w:t>
            </w:r>
          </w:p>
        </w:tc>
      </w:tr>
      <w:tr>
        <w:trPr>
          <w:cantSplit/>
        </w:trPr>
        <w:tc>
          <w:tcPr>
            <w:tcW w:type="dxa" w:w="1763"/>
            <w:shd w:fill="FFFFFF"/>
            <w:tcMar>
              <w:top w:w="55" w:type="dxa"/>
              <w:start w:w="70" w:type="dxa"/>
              <w:bottom w:w="55" w:type="dxa"/>
              <w:end w:w="70" w:type="dxa"/>
            </w:tcMar>
            <w:vAlign w:val="center"/>
            <w:tcBorders>
              <w:top w:val="nil" w:sz="0" w:space="0" w:color="auto"/>
              <w:bottom w:val="nil" w:sz="0" w:space="0" w:color="auto"/>
              <w:left w:val="nil" w:sz="0" w:space="0" w:color="auto"/>
              <w:right w:val="nil" w:sz="0" w:space="0" w:color="auto"/>
              <w:insideH w:val="nil" w:sz="0" w:space="0" w:color="auto"/>
              <w:insideV w:val="nil" w:sz="0" w:space="0" w:color="auto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4"/>
              </w:rPr>
            </w:r>
          </w:p>
        </w:tc>
        <w:tc>
          <w:tcPr>
            <w:tcW w:type="dxa" w:w="2736"/>
            <w:shd w:fill="FFFFFF"/>
            <w:tcMar>
              <w:top w:w="55" w:type="dxa"/>
              <w:start w:w="70" w:type="dxa"/>
              <w:bottom w:w="55" w:type="dxa"/>
              <w:end w:w="70" w:type="dxa"/>
            </w:tcMar>
            <w:vAlign w:val="center"/>
            <w:tcBorders>
              <w:top w:val="nil" w:sz="0" w:space="0" w:color="auto"/>
              <w:bottom w:val="nil" w:sz="0" w:space="0" w:color="auto"/>
              <w:left w:val="nil" w:sz="0" w:space="0" w:color="auto"/>
              <w:right w:val="nil" w:sz="0" w:space="0" w:color="auto"/>
              <w:insideH w:val="nil" w:sz="0" w:space="0" w:color="auto"/>
              <w:insideV w:val="nil" w:sz="0" w:space="0" w:color="auto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4"/>
              </w:rPr>
              <w:t>Conventional or other adenocarcinoma</w:t>
            </w:r>
          </w:p>
        </w:tc>
        <w:tc>
          <w:tcPr>
            <w:tcW w:type="dxa" w:w="1094"/>
            <w:shd w:fill="FFFFFF"/>
            <w:tcMar>
              <w:top w:w="55" w:type="dxa"/>
              <w:start w:w="70" w:type="dxa"/>
              <w:bottom w:w="55" w:type="dxa"/>
              <w:end w:w="70" w:type="dxa"/>
            </w:tcMar>
            <w:vAlign w:val="center"/>
            <w:tcBorders>
              <w:top w:val="nil" w:sz="0" w:space="0" w:color="auto"/>
              <w:bottom w:val="nil" w:sz="0" w:space="0" w:color="auto"/>
              <w:left w:val="nil" w:sz="0" w:space="0" w:color="auto"/>
              <w:right w:val="nil" w:sz="0" w:space="0" w:color="auto"/>
              <w:insideH w:val="nil" w:sz="0" w:space="0" w:color="auto"/>
              <w:insideV w:val="nil" w:sz="0" w:space="0" w:color="auto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4"/>
              </w:rPr>
              <w:t>6/311</w:t>
            </w:r>
          </w:p>
        </w:tc>
        <w:tc>
          <w:tcPr>
            <w:tcW w:type="dxa" w:w="1885"/>
            <w:shd w:fill="FFFFFF"/>
            <w:tcMar>
              <w:top w:w="55" w:type="dxa"/>
              <w:start w:w="70" w:type="dxa"/>
              <w:bottom w:w="55" w:type="dxa"/>
              <w:end w:w="70" w:type="dxa"/>
            </w:tcMar>
            <w:vAlign w:val="center"/>
            <w:tcBorders>
              <w:top w:val="nil" w:sz="0" w:space="0" w:color="auto"/>
              <w:bottom w:val="nil" w:sz="0" w:space="0" w:color="auto"/>
              <w:left w:val="nil" w:sz="0" w:space="0" w:color="auto"/>
              <w:right w:val="nil" w:sz="0" w:space="0" w:color="auto"/>
              <w:insideH w:val="nil" w:sz="0" w:space="0" w:color="auto"/>
              <w:insideV w:val="nil" w:sz="0" w:space="0" w:color="auto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4"/>
              </w:rPr>
              <w:t>1.93 (0.89–4.14)</w:t>
            </w:r>
          </w:p>
        </w:tc>
        <w:tc>
          <w:tcPr>
            <w:tcW w:type="dxa" w:w="730"/>
            <w:shd w:fill="FFFFFF"/>
            <w:tcMar>
              <w:top w:w="55" w:type="dxa"/>
              <w:start w:w="70" w:type="dxa"/>
              <w:bottom w:w="55" w:type="dxa"/>
              <w:end w:w="70" w:type="dxa"/>
            </w:tcMar>
            <w:vAlign w:val="center"/>
            <w:tcBorders>
              <w:top w:val="nil" w:sz="0" w:space="0" w:color="auto"/>
              <w:bottom w:val="nil" w:sz="0" w:space="0" w:color="auto"/>
              <w:left w:val="nil" w:sz="0" w:space="0" w:color="auto"/>
              <w:right w:val="nil" w:sz="0" w:space="0" w:color="auto"/>
              <w:insideH w:val="nil" w:sz="0" w:space="0" w:color="auto"/>
              <w:insideV w:val="nil" w:sz="0" w:space="0" w:color="auto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4"/>
              </w:rPr>
            </w:r>
          </w:p>
        </w:tc>
      </w:tr>
      <w:tr>
        <w:trPr>
          <w:cantSplit/>
        </w:trPr>
        <w:tc>
          <w:tcPr>
            <w:tcW w:type="dxa" w:w="1763"/>
            <w:shd w:fill="FFFFFF"/>
            <w:tcMar>
              <w:top w:w="55" w:type="dxa"/>
              <w:start w:w="70" w:type="dxa"/>
              <w:bottom w:w="55" w:type="dxa"/>
              <w:end w:w="70" w:type="dxa"/>
            </w:tcMar>
            <w:vAlign w:val="center"/>
            <w:tcBorders>
              <w:top w:val="nil" w:sz="0" w:space="0" w:color="auto"/>
              <w:bottom w:val="nil" w:sz="0" w:space="0" w:color="auto"/>
              <w:left w:val="nil" w:sz="0" w:space="0" w:color="auto"/>
              <w:right w:val="nil" w:sz="0" w:space="0" w:color="auto"/>
              <w:insideH w:val="nil" w:sz="0" w:space="0" w:color="auto"/>
              <w:insideV w:val="nil" w:sz="0" w:space="0" w:color="auto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4"/>
              </w:rPr>
              <w:t>Lymphovascular invasion (N=225)</w:t>
            </w:r>
          </w:p>
        </w:tc>
        <w:tc>
          <w:tcPr>
            <w:tcW w:type="dxa" w:w="2736"/>
            <w:shd w:fill="FFFFFF"/>
            <w:tcMar>
              <w:top w:w="55" w:type="dxa"/>
              <w:start w:w="70" w:type="dxa"/>
              <w:bottom w:w="55" w:type="dxa"/>
              <w:end w:w="70" w:type="dxa"/>
            </w:tcMar>
            <w:vAlign w:val="center"/>
            <w:tcBorders>
              <w:top w:val="nil" w:sz="0" w:space="0" w:color="auto"/>
              <w:bottom w:val="nil" w:sz="0" w:space="0" w:color="auto"/>
              <w:left w:val="nil" w:sz="0" w:space="0" w:color="auto"/>
              <w:right w:val="nil" w:sz="0" w:space="0" w:color="auto"/>
              <w:insideH w:val="nil" w:sz="0" w:space="0" w:color="auto"/>
              <w:insideV w:val="nil" w:sz="0" w:space="0" w:color="auto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4"/>
              </w:rPr>
              <w:t>Positive</w:t>
            </w:r>
          </w:p>
        </w:tc>
        <w:tc>
          <w:tcPr>
            <w:tcW w:type="dxa" w:w="1094"/>
            <w:shd w:fill="FFFFFF"/>
            <w:tcMar>
              <w:top w:w="55" w:type="dxa"/>
              <w:start w:w="70" w:type="dxa"/>
              <w:bottom w:w="55" w:type="dxa"/>
              <w:end w:w="70" w:type="dxa"/>
            </w:tcMar>
            <w:vAlign w:val="center"/>
            <w:tcBorders>
              <w:top w:val="nil" w:sz="0" w:space="0" w:color="auto"/>
              <w:bottom w:val="nil" w:sz="0" w:space="0" w:color="auto"/>
              <w:left w:val="nil" w:sz="0" w:space="0" w:color="auto"/>
              <w:right w:val="nil" w:sz="0" w:space="0" w:color="auto"/>
              <w:insideH w:val="nil" w:sz="0" w:space="0" w:color="auto"/>
              <w:insideV w:val="nil" w:sz="0" w:space="0" w:color="auto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4"/>
              </w:rPr>
              <w:t>2/76</w:t>
            </w:r>
          </w:p>
        </w:tc>
        <w:tc>
          <w:tcPr>
            <w:tcW w:type="dxa" w:w="1885"/>
            <w:shd w:fill="FFFFFF"/>
            <w:tcMar>
              <w:top w:w="55" w:type="dxa"/>
              <w:start w:w="70" w:type="dxa"/>
              <w:bottom w:w="55" w:type="dxa"/>
              <w:end w:w="70" w:type="dxa"/>
            </w:tcMar>
            <w:vAlign w:val="center"/>
            <w:tcBorders>
              <w:top w:val="nil" w:sz="0" w:space="0" w:color="auto"/>
              <w:bottom w:val="nil" w:sz="0" w:space="0" w:color="auto"/>
              <w:left w:val="nil" w:sz="0" w:space="0" w:color="auto"/>
              <w:right w:val="nil" w:sz="0" w:space="0" w:color="auto"/>
              <w:insideH w:val="nil" w:sz="0" w:space="0" w:color="auto"/>
              <w:insideV w:val="nil" w:sz="0" w:space="0" w:color="auto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4"/>
              </w:rPr>
              <w:t>2.63 (0.72–9.10)</w:t>
            </w:r>
          </w:p>
        </w:tc>
        <w:tc>
          <w:tcPr>
            <w:tcW w:type="dxa" w:w="730"/>
            <w:shd w:fill="FFFFFF"/>
            <w:tcMar>
              <w:top w:w="55" w:type="dxa"/>
              <w:start w:w="70" w:type="dxa"/>
              <w:bottom w:w="55" w:type="dxa"/>
              <w:end w:w="70" w:type="dxa"/>
            </w:tcMar>
            <w:vAlign w:val="center"/>
            <w:tcBorders>
              <w:top w:val="nil" w:sz="0" w:space="0" w:color="auto"/>
              <w:bottom w:val="nil" w:sz="0" w:space="0" w:color="auto"/>
              <w:left w:val="nil" w:sz="0" w:space="0" w:color="auto"/>
              <w:right w:val="nil" w:sz="0" w:space="0" w:color="auto"/>
              <w:insideH w:val="nil" w:sz="0" w:space="0" w:color="auto"/>
              <w:insideV w:val="nil" w:sz="0" w:space="0" w:color="auto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4"/>
              </w:rPr>
              <w:t>1.000</w:t>
            </w:r>
          </w:p>
        </w:tc>
      </w:tr>
      <w:tr>
        <w:trPr>
          <w:cantSplit/>
        </w:trPr>
        <w:tc>
          <w:tcPr>
            <w:tcW w:type="dxa" w:w="1763"/>
            <w:shd w:fill="FFFFFF"/>
            <w:tcMar>
              <w:top w:w="55" w:type="dxa"/>
              <w:start w:w="70" w:type="dxa"/>
              <w:bottom w:w="55" w:type="dxa"/>
              <w:end w:w="70" w:type="dxa"/>
            </w:tcMar>
            <w:vAlign w:val="center"/>
            <w:tcBorders>
              <w:top w:val="nil" w:sz="0" w:space="0" w:color="auto"/>
              <w:bottom w:val="nil" w:sz="0" w:space="0" w:color="auto"/>
              <w:left w:val="nil" w:sz="0" w:space="0" w:color="auto"/>
              <w:right w:val="nil" w:sz="0" w:space="0" w:color="auto"/>
              <w:insideH w:val="nil" w:sz="0" w:space="0" w:color="auto"/>
              <w:insideV w:val="nil" w:sz="0" w:space="0" w:color="auto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4"/>
              </w:rPr>
            </w:r>
          </w:p>
        </w:tc>
        <w:tc>
          <w:tcPr>
            <w:tcW w:type="dxa" w:w="2736"/>
            <w:shd w:fill="FFFFFF"/>
            <w:tcMar>
              <w:top w:w="55" w:type="dxa"/>
              <w:start w:w="70" w:type="dxa"/>
              <w:bottom w:w="55" w:type="dxa"/>
              <w:end w:w="70" w:type="dxa"/>
            </w:tcMar>
            <w:vAlign w:val="center"/>
            <w:tcBorders>
              <w:top w:val="nil" w:sz="0" w:space="0" w:color="auto"/>
              <w:bottom w:val="nil" w:sz="0" w:space="0" w:color="auto"/>
              <w:left w:val="nil" w:sz="0" w:space="0" w:color="auto"/>
              <w:right w:val="nil" w:sz="0" w:space="0" w:color="auto"/>
              <w:insideH w:val="nil" w:sz="0" w:space="0" w:color="auto"/>
              <w:insideV w:val="nil" w:sz="0" w:space="0" w:color="auto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4"/>
              </w:rPr>
              <w:t>Negative</w:t>
            </w:r>
          </w:p>
        </w:tc>
        <w:tc>
          <w:tcPr>
            <w:tcW w:type="dxa" w:w="1094"/>
            <w:shd w:fill="FFFFFF"/>
            <w:tcMar>
              <w:top w:w="55" w:type="dxa"/>
              <w:start w:w="70" w:type="dxa"/>
              <w:bottom w:w="55" w:type="dxa"/>
              <w:end w:w="70" w:type="dxa"/>
            </w:tcMar>
            <w:vAlign w:val="center"/>
            <w:tcBorders>
              <w:top w:val="nil" w:sz="0" w:space="0" w:color="auto"/>
              <w:bottom w:val="nil" w:sz="0" w:space="0" w:color="auto"/>
              <w:left w:val="nil" w:sz="0" w:space="0" w:color="auto"/>
              <w:right w:val="nil" w:sz="0" w:space="0" w:color="auto"/>
              <w:insideH w:val="nil" w:sz="0" w:space="0" w:color="auto"/>
              <w:insideV w:val="nil" w:sz="0" w:space="0" w:color="auto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4"/>
              </w:rPr>
              <w:t>3/149</w:t>
            </w:r>
          </w:p>
        </w:tc>
        <w:tc>
          <w:tcPr>
            <w:tcW w:type="dxa" w:w="1885"/>
            <w:shd w:fill="FFFFFF"/>
            <w:tcMar>
              <w:top w:w="55" w:type="dxa"/>
              <w:start w:w="70" w:type="dxa"/>
              <w:bottom w:w="55" w:type="dxa"/>
              <w:end w:w="70" w:type="dxa"/>
            </w:tcMar>
            <w:vAlign w:val="center"/>
            <w:tcBorders>
              <w:top w:val="nil" w:sz="0" w:space="0" w:color="auto"/>
              <w:bottom w:val="nil" w:sz="0" w:space="0" w:color="auto"/>
              <w:left w:val="nil" w:sz="0" w:space="0" w:color="auto"/>
              <w:right w:val="nil" w:sz="0" w:space="0" w:color="auto"/>
              <w:insideH w:val="nil" w:sz="0" w:space="0" w:color="auto"/>
              <w:insideV w:val="nil" w:sz="0" w:space="0" w:color="auto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4"/>
              </w:rPr>
              <w:t>2.01 (0.69–5.75)</w:t>
            </w:r>
          </w:p>
        </w:tc>
        <w:tc>
          <w:tcPr>
            <w:tcW w:type="dxa" w:w="730"/>
            <w:shd w:fill="FFFFFF"/>
            <w:tcMar>
              <w:top w:w="55" w:type="dxa"/>
              <w:start w:w="70" w:type="dxa"/>
              <w:bottom w:w="55" w:type="dxa"/>
              <w:end w:w="70" w:type="dxa"/>
            </w:tcMar>
            <w:vAlign w:val="center"/>
            <w:tcBorders>
              <w:top w:val="nil" w:sz="0" w:space="0" w:color="auto"/>
              <w:bottom w:val="nil" w:sz="0" w:space="0" w:color="auto"/>
              <w:left w:val="nil" w:sz="0" w:space="0" w:color="auto"/>
              <w:right w:val="nil" w:sz="0" w:space="0" w:color="auto"/>
              <w:insideH w:val="nil" w:sz="0" w:space="0" w:color="auto"/>
              <w:insideV w:val="nil" w:sz="0" w:space="0" w:color="auto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4"/>
              </w:rPr>
            </w:r>
          </w:p>
        </w:tc>
      </w:tr>
      <w:tr>
        <w:trPr>
          <w:cantSplit/>
        </w:trPr>
        <w:tc>
          <w:tcPr>
            <w:tcW w:type="dxa" w:w="1763"/>
            <w:shd w:fill="FFFFFF"/>
            <w:tcMar>
              <w:top w:w="55" w:type="dxa"/>
              <w:start w:w="70" w:type="dxa"/>
              <w:bottom w:w="55" w:type="dxa"/>
              <w:end w:w="70" w:type="dxa"/>
            </w:tcMar>
            <w:vAlign w:val="center"/>
            <w:tcBorders>
              <w:top w:val="nil" w:sz="0" w:space="0" w:color="auto"/>
              <w:bottom w:val="nil" w:sz="0" w:space="0" w:color="auto"/>
              <w:left w:val="nil" w:sz="0" w:space="0" w:color="auto"/>
              <w:right w:val="nil" w:sz="0" w:space="0" w:color="auto"/>
              <w:insideH w:val="nil" w:sz="0" w:space="0" w:color="auto"/>
              <w:insideV w:val="nil" w:sz="0" w:space="0" w:color="auto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4"/>
              </w:rPr>
              <w:t>Perineural invasion (N=212)</w:t>
            </w:r>
          </w:p>
        </w:tc>
        <w:tc>
          <w:tcPr>
            <w:tcW w:type="dxa" w:w="2736"/>
            <w:shd w:fill="FFFFFF"/>
            <w:tcMar>
              <w:top w:w="55" w:type="dxa"/>
              <w:start w:w="70" w:type="dxa"/>
              <w:bottom w:w="55" w:type="dxa"/>
              <w:end w:w="70" w:type="dxa"/>
            </w:tcMar>
            <w:vAlign w:val="center"/>
            <w:tcBorders>
              <w:top w:val="nil" w:sz="0" w:space="0" w:color="auto"/>
              <w:bottom w:val="nil" w:sz="0" w:space="0" w:color="auto"/>
              <w:left w:val="nil" w:sz="0" w:space="0" w:color="auto"/>
              <w:right w:val="nil" w:sz="0" w:space="0" w:color="auto"/>
              <w:insideH w:val="nil" w:sz="0" w:space="0" w:color="auto"/>
              <w:insideV w:val="nil" w:sz="0" w:space="0" w:color="auto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4"/>
              </w:rPr>
              <w:t>Positive</w:t>
            </w:r>
          </w:p>
        </w:tc>
        <w:tc>
          <w:tcPr>
            <w:tcW w:type="dxa" w:w="1094"/>
            <w:shd w:fill="FFFFFF"/>
            <w:tcMar>
              <w:top w:w="55" w:type="dxa"/>
              <w:start w:w="70" w:type="dxa"/>
              <w:bottom w:w="55" w:type="dxa"/>
              <w:end w:w="70" w:type="dxa"/>
            </w:tcMar>
            <w:vAlign w:val="center"/>
            <w:tcBorders>
              <w:top w:val="nil" w:sz="0" w:space="0" w:color="auto"/>
              <w:bottom w:val="nil" w:sz="0" w:space="0" w:color="auto"/>
              <w:left w:val="nil" w:sz="0" w:space="0" w:color="auto"/>
              <w:right w:val="nil" w:sz="0" w:space="0" w:color="auto"/>
              <w:insideH w:val="nil" w:sz="0" w:space="0" w:color="auto"/>
              <w:insideV w:val="nil" w:sz="0" w:space="0" w:color="auto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4"/>
              </w:rPr>
              <w:t>3/88</w:t>
            </w:r>
          </w:p>
        </w:tc>
        <w:tc>
          <w:tcPr>
            <w:tcW w:type="dxa" w:w="1885"/>
            <w:shd w:fill="FFFFFF"/>
            <w:tcMar>
              <w:top w:w="55" w:type="dxa"/>
              <w:start w:w="70" w:type="dxa"/>
              <w:bottom w:w="55" w:type="dxa"/>
              <w:end w:w="70" w:type="dxa"/>
            </w:tcMar>
            <w:vAlign w:val="center"/>
            <w:tcBorders>
              <w:top w:val="nil" w:sz="0" w:space="0" w:color="auto"/>
              <w:bottom w:val="nil" w:sz="0" w:space="0" w:color="auto"/>
              <w:left w:val="nil" w:sz="0" w:space="0" w:color="auto"/>
              <w:right w:val="nil" w:sz="0" w:space="0" w:color="auto"/>
              <w:insideH w:val="nil" w:sz="0" w:space="0" w:color="auto"/>
              <w:insideV w:val="nil" w:sz="0" w:space="0" w:color="auto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4"/>
              </w:rPr>
              <w:t>3.41 (1.17–9.55)</w:t>
            </w:r>
          </w:p>
        </w:tc>
        <w:tc>
          <w:tcPr>
            <w:tcW w:type="dxa" w:w="730"/>
            <w:shd w:fill="FFFFFF"/>
            <w:tcMar>
              <w:top w:w="55" w:type="dxa"/>
              <w:start w:w="70" w:type="dxa"/>
              <w:bottom w:w="55" w:type="dxa"/>
              <w:end w:w="70" w:type="dxa"/>
            </w:tcMar>
            <w:vAlign w:val="center"/>
            <w:tcBorders>
              <w:top w:val="nil" w:sz="0" w:space="0" w:color="auto"/>
              <w:bottom w:val="nil" w:sz="0" w:space="0" w:color="auto"/>
              <w:left w:val="nil" w:sz="0" w:space="0" w:color="auto"/>
              <w:right w:val="nil" w:sz="0" w:space="0" w:color="auto"/>
              <w:insideH w:val="nil" w:sz="0" w:space="0" w:color="auto"/>
              <w:insideV w:val="nil" w:sz="0" w:space="0" w:color="auto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4"/>
              </w:rPr>
              <w:t>0.651</w:t>
            </w:r>
          </w:p>
        </w:tc>
      </w:tr>
      <w:tr>
        <w:trPr>
          <w:cantSplit/>
        </w:trPr>
        <w:tc>
          <w:tcPr>
            <w:tcW w:type="dxa" w:w="1763"/>
            <w:shd w:fill="FFFFFF"/>
            <w:tcMar>
              <w:top w:w="55" w:type="dxa"/>
              <w:start w:w="70" w:type="dxa"/>
              <w:bottom w:w="55" w:type="dxa"/>
              <w:end w:w="70" w:type="dxa"/>
            </w:tcMar>
            <w:vAlign w:val="center"/>
            <w:tcBorders>
              <w:top w:val="nil" w:sz="0" w:space="0" w:color="auto"/>
              <w:bottom w:val="nil" w:sz="0" w:space="0" w:color="auto"/>
              <w:left w:val="nil" w:sz="0" w:space="0" w:color="auto"/>
              <w:right w:val="nil" w:sz="0" w:space="0" w:color="auto"/>
              <w:insideH w:val="nil" w:sz="0" w:space="0" w:color="auto"/>
              <w:insideV w:val="nil" w:sz="0" w:space="0" w:color="auto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4"/>
              </w:rPr>
            </w:r>
          </w:p>
        </w:tc>
        <w:tc>
          <w:tcPr>
            <w:tcW w:type="dxa" w:w="2736"/>
            <w:shd w:fill="FFFFFF"/>
            <w:tcMar>
              <w:top w:w="55" w:type="dxa"/>
              <w:start w:w="70" w:type="dxa"/>
              <w:bottom w:w="55" w:type="dxa"/>
              <w:end w:w="70" w:type="dxa"/>
            </w:tcMar>
            <w:vAlign w:val="center"/>
            <w:tcBorders>
              <w:top w:val="nil" w:sz="0" w:space="0" w:color="auto"/>
              <w:bottom w:val="nil" w:sz="0" w:space="0" w:color="auto"/>
              <w:left w:val="nil" w:sz="0" w:space="0" w:color="auto"/>
              <w:right w:val="nil" w:sz="0" w:space="0" w:color="auto"/>
              <w:insideH w:val="nil" w:sz="0" w:space="0" w:color="auto"/>
              <w:insideV w:val="nil" w:sz="0" w:space="0" w:color="auto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4"/>
              </w:rPr>
              <w:t>Negative</w:t>
            </w:r>
          </w:p>
        </w:tc>
        <w:tc>
          <w:tcPr>
            <w:tcW w:type="dxa" w:w="1094"/>
            <w:shd w:fill="FFFFFF"/>
            <w:tcMar>
              <w:top w:w="55" w:type="dxa"/>
              <w:start w:w="70" w:type="dxa"/>
              <w:bottom w:w="55" w:type="dxa"/>
              <w:end w:w="70" w:type="dxa"/>
            </w:tcMar>
            <w:vAlign w:val="center"/>
            <w:tcBorders>
              <w:top w:val="nil" w:sz="0" w:space="0" w:color="auto"/>
              <w:bottom w:val="nil" w:sz="0" w:space="0" w:color="auto"/>
              <w:left w:val="nil" w:sz="0" w:space="0" w:color="auto"/>
              <w:right w:val="nil" w:sz="0" w:space="0" w:color="auto"/>
              <w:insideH w:val="nil" w:sz="0" w:space="0" w:color="auto"/>
              <w:insideV w:val="nil" w:sz="0" w:space="0" w:color="auto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4"/>
              </w:rPr>
              <w:t>2/124</w:t>
            </w:r>
          </w:p>
        </w:tc>
        <w:tc>
          <w:tcPr>
            <w:tcW w:type="dxa" w:w="1885"/>
            <w:shd w:fill="FFFFFF"/>
            <w:tcMar>
              <w:top w:w="55" w:type="dxa"/>
              <w:start w:w="70" w:type="dxa"/>
              <w:bottom w:w="55" w:type="dxa"/>
              <w:end w:w="70" w:type="dxa"/>
            </w:tcMar>
            <w:vAlign w:val="center"/>
            <w:tcBorders>
              <w:top w:val="nil" w:sz="0" w:space="0" w:color="auto"/>
              <w:bottom w:val="nil" w:sz="0" w:space="0" w:color="auto"/>
              <w:left w:val="nil" w:sz="0" w:space="0" w:color="auto"/>
              <w:right w:val="nil" w:sz="0" w:space="0" w:color="auto"/>
              <w:insideH w:val="nil" w:sz="0" w:space="0" w:color="auto"/>
              <w:insideV w:val="nil" w:sz="0" w:space="0" w:color="auto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4"/>
              </w:rPr>
              <w:t>1.61 (0.44–5.69)</w:t>
            </w:r>
          </w:p>
        </w:tc>
        <w:tc>
          <w:tcPr>
            <w:tcW w:type="dxa" w:w="730"/>
            <w:shd w:fill="FFFFFF"/>
            <w:tcMar>
              <w:top w:w="55" w:type="dxa"/>
              <w:start w:w="70" w:type="dxa"/>
              <w:bottom w:w="55" w:type="dxa"/>
              <w:end w:w="70" w:type="dxa"/>
            </w:tcMar>
            <w:vAlign w:val="center"/>
            <w:tcBorders>
              <w:top w:val="nil" w:sz="0" w:space="0" w:color="auto"/>
              <w:bottom w:val="nil" w:sz="0" w:space="0" w:color="auto"/>
              <w:left w:val="nil" w:sz="0" w:space="0" w:color="auto"/>
              <w:right w:val="nil" w:sz="0" w:space="0" w:color="auto"/>
              <w:insideH w:val="nil" w:sz="0" w:space="0" w:color="auto"/>
              <w:insideV w:val="nil" w:sz="0" w:space="0" w:color="auto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4"/>
              </w:rPr>
            </w:r>
          </w:p>
        </w:tc>
      </w:tr>
      <w:tr>
        <w:trPr>
          <w:cantSplit/>
        </w:trPr>
        <w:tc>
          <w:tcPr>
            <w:tcW w:type="dxa" w:w="1763"/>
            <w:shd w:fill="FFFFFF"/>
            <w:tcMar>
              <w:top w:w="55" w:type="dxa"/>
              <w:start w:w="70" w:type="dxa"/>
              <w:bottom w:w="55" w:type="dxa"/>
              <w:end w:w="70" w:type="dxa"/>
            </w:tcMar>
            <w:vAlign w:val="center"/>
            <w:tcBorders>
              <w:top w:val="nil" w:sz="0" w:space="0" w:color="auto"/>
              <w:bottom w:val="nil" w:sz="0" w:space="0" w:color="auto"/>
              <w:left w:val="nil" w:sz="0" w:space="0" w:color="auto"/>
              <w:right w:val="nil" w:sz="0" w:space="0" w:color="auto"/>
              <w:insideH w:val="nil" w:sz="0" w:space="0" w:color="auto"/>
              <w:insideV w:val="nil" w:sz="0" w:space="0" w:color="auto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4"/>
              </w:rPr>
              <w:t>MMR status (N=351)</w:t>
            </w:r>
          </w:p>
        </w:tc>
        <w:tc>
          <w:tcPr>
            <w:tcW w:type="dxa" w:w="2736"/>
            <w:shd w:fill="FFFFFF"/>
            <w:tcMar>
              <w:top w:w="55" w:type="dxa"/>
              <w:start w:w="70" w:type="dxa"/>
              <w:bottom w:w="55" w:type="dxa"/>
              <w:end w:w="70" w:type="dxa"/>
            </w:tcMar>
            <w:vAlign w:val="center"/>
            <w:tcBorders>
              <w:top w:val="nil" w:sz="0" w:space="0" w:color="auto"/>
              <w:bottom w:val="nil" w:sz="0" w:space="0" w:color="auto"/>
              <w:left w:val="nil" w:sz="0" w:space="0" w:color="auto"/>
              <w:right w:val="nil" w:sz="0" w:space="0" w:color="auto"/>
              <w:insideH w:val="nil" w:sz="0" w:space="0" w:color="auto"/>
              <w:insideV w:val="nil" w:sz="0" w:space="0" w:color="auto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4"/>
              </w:rPr>
              <w:t>dMMR</w:t>
            </w:r>
          </w:p>
        </w:tc>
        <w:tc>
          <w:tcPr>
            <w:tcW w:type="dxa" w:w="1094"/>
            <w:shd w:fill="FFFFFF"/>
            <w:tcMar>
              <w:top w:w="55" w:type="dxa"/>
              <w:start w:w="70" w:type="dxa"/>
              <w:bottom w:w="55" w:type="dxa"/>
              <w:end w:w="70" w:type="dxa"/>
            </w:tcMar>
            <w:vAlign w:val="center"/>
            <w:tcBorders>
              <w:top w:val="nil" w:sz="0" w:space="0" w:color="auto"/>
              <w:bottom w:val="nil" w:sz="0" w:space="0" w:color="auto"/>
              <w:left w:val="nil" w:sz="0" w:space="0" w:color="auto"/>
              <w:right w:val="nil" w:sz="0" w:space="0" w:color="auto"/>
              <w:insideH w:val="nil" w:sz="0" w:space="0" w:color="auto"/>
              <w:insideV w:val="nil" w:sz="0" w:space="0" w:color="auto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4"/>
              </w:rPr>
              <w:t>1/18</w:t>
            </w:r>
          </w:p>
        </w:tc>
        <w:tc>
          <w:tcPr>
            <w:tcW w:type="dxa" w:w="1885"/>
            <w:shd w:fill="FFFFFF"/>
            <w:tcMar>
              <w:top w:w="55" w:type="dxa"/>
              <w:start w:w="70" w:type="dxa"/>
              <w:bottom w:w="55" w:type="dxa"/>
              <w:end w:w="70" w:type="dxa"/>
            </w:tcMar>
            <w:vAlign w:val="center"/>
            <w:tcBorders>
              <w:top w:val="nil" w:sz="0" w:space="0" w:color="auto"/>
              <w:bottom w:val="nil" w:sz="0" w:space="0" w:color="auto"/>
              <w:left w:val="nil" w:sz="0" w:space="0" w:color="auto"/>
              <w:right w:val="nil" w:sz="0" w:space="0" w:color="auto"/>
              <w:insideH w:val="nil" w:sz="0" w:space="0" w:color="auto"/>
              <w:insideV w:val="nil" w:sz="0" w:space="0" w:color="auto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4"/>
              </w:rPr>
              <w:t>5.56 (0.99–25.76)</w:t>
            </w:r>
          </w:p>
        </w:tc>
        <w:tc>
          <w:tcPr>
            <w:tcW w:type="dxa" w:w="730"/>
            <w:shd w:fill="FFFFFF"/>
            <w:tcMar>
              <w:top w:w="55" w:type="dxa"/>
              <w:start w:w="70" w:type="dxa"/>
              <w:bottom w:w="55" w:type="dxa"/>
              <w:end w:w="70" w:type="dxa"/>
            </w:tcMar>
            <w:vAlign w:val="center"/>
            <w:tcBorders>
              <w:top w:val="nil" w:sz="0" w:space="0" w:color="auto"/>
              <w:bottom w:val="nil" w:sz="0" w:space="0" w:color="auto"/>
              <w:left w:val="nil" w:sz="0" w:space="0" w:color="auto"/>
              <w:right w:val="nil" w:sz="0" w:space="0" w:color="auto"/>
              <w:insideH w:val="nil" w:sz="0" w:space="0" w:color="auto"/>
              <w:insideV w:val="nil" w:sz="0" w:space="0" w:color="auto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4"/>
              </w:rPr>
              <w:t>0.381</w:t>
            </w:r>
          </w:p>
        </w:tc>
      </w:tr>
      <w:tr>
        <w:trPr>
          <w:cantSplit/>
        </w:trPr>
        <w:tc>
          <w:tcPr>
            <w:tcW w:type="dxa" w:w="1763"/>
            <w:shd w:fill="FFFFFF"/>
            <w:tcMar>
              <w:top w:w="55" w:type="dxa"/>
              <w:start w:w="70" w:type="dxa"/>
              <w:bottom w:w="55" w:type="dxa"/>
              <w:end w:w="70" w:type="dxa"/>
            </w:tcMar>
            <w:vAlign w:val="center"/>
            <w:tcBorders>
              <w:top w:val="nil" w:sz="0" w:space="0" w:color="auto"/>
              <w:bottom w:val="nil" w:sz="0" w:space="0" w:color="auto"/>
              <w:left w:val="nil" w:sz="0" w:space="0" w:color="auto"/>
              <w:right w:val="nil" w:sz="0" w:space="0" w:color="auto"/>
              <w:insideH w:val="nil" w:sz="0" w:space="0" w:color="auto"/>
              <w:insideV w:val="nil" w:sz="0" w:space="0" w:color="auto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4"/>
              </w:rPr>
            </w:r>
          </w:p>
        </w:tc>
        <w:tc>
          <w:tcPr>
            <w:tcW w:type="dxa" w:w="2736"/>
            <w:shd w:fill="FFFFFF"/>
            <w:tcMar>
              <w:top w:w="55" w:type="dxa"/>
              <w:start w:w="70" w:type="dxa"/>
              <w:bottom w:w="55" w:type="dxa"/>
              <w:end w:w="70" w:type="dxa"/>
            </w:tcMar>
            <w:vAlign w:val="center"/>
            <w:tcBorders>
              <w:top w:val="nil" w:sz="0" w:space="0" w:color="auto"/>
              <w:bottom w:val="nil" w:sz="0" w:space="0" w:color="auto"/>
              <w:left w:val="nil" w:sz="0" w:space="0" w:color="auto"/>
              <w:right w:val="nil" w:sz="0" w:space="0" w:color="auto"/>
              <w:insideH w:val="nil" w:sz="0" w:space="0" w:color="auto"/>
              <w:insideV w:val="nil" w:sz="0" w:space="0" w:color="auto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4"/>
              </w:rPr>
              <w:t>pMMR</w:t>
            </w:r>
          </w:p>
        </w:tc>
        <w:tc>
          <w:tcPr>
            <w:tcW w:type="dxa" w:w="1094"/>
            <w:shd w:fill="FFFFFF"/>
            <w:tcMar>
              <w:top w:w="55" w:type="dxa"/>
              <w:start w:w="70" w:type="dxa"/>
              <w:bottom w:w="55" w:type="dxa"/>
              <w:end w:w="70" w:type="dxa"/>
            </w:tcMar>
            <w:vAlign w:val="center"/>
            <w:tcBorders>
              <w:top w:val="nil" w:sz="0" w:space="0" w:color="auto"/>
              <w:bottom w:val="nil" w:sz="0" w:space="0" w:color="auto"/>
              <w:left w:val="nil" w:sz="0" w:space="0" w:color="auto"/>
              <w:right w:val="nil" w:sz="0" w:space="0" w:color="auto"/>
              <w:insideH w:val="nil" w:sz="0" w:space="0" w:color="auto"/>
              <w:insideV w:val="nil" w:sz="0" w:space="0" w:color="auto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4"/>
              </w:rPr>
              <w:t>8/333</w:t>
            </w:r>
          </w:p>
        </w:tc>
        <w:tc>
          <w:tcPr>
            <w:tcW w:type="dxa" w:w="1885"/>
            <w:shd w:fill="FFFFFF"/>
            <w:tcMar>
              <w:top w:w="55" w:type="dxa"/>
              <w:start w:w="70" w:type="dxa"/>
              <w:bottom w:w="55" w:type="dxa"/>
              <w:end w:w="70" w:type="dxa"/>
            </w:tcMar>
            <w:vAlign w:val="center"/>
            <w:tcBorders>
              <w:top w:val="nil" w:sz="0" w:space="0" w:color="auto"/>
              <w:bottom w:val="nil" w:sz="0" w:space="0" w:color="auto"/>
              <w:left w:val="nil" w:sz="0" w:space="0" w:color="auto"/>
              <w:right w:val="nil" w:sz="0" w:space="0" w:color="auto"/>
              <w:insideH w:val="nil" w:sz="0" w:space="0" w:color="auto"/>
              <w:insideV w:val="nil" w:sz="0" w:space="0" w:color="auto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4"/>
              </w:rPr>
              <w:t>2.40 (1.22–4.67)</w:t>
            </w:r>
          </w:p>
        </w:tc>
        <w:tc>
          <w:tcPr>
            <w:tcW w:type="dxa" w:w="730"/>
            <w:shd w:fill="FFFFFF"/>
            <w:tcMar>
              <w:top w:w="55" w:type="dxa"/>
              <w:start w:w="70" w:type="dxa"/>
              <w:bottom w:w="55" w:type="dxa"/>
              <w:end w:w="70" w:type="dxa"/>
            </w:tcMar>
            <w:vAlign w:val="center"/>
            <w:tcBorders>
              <w:top w:val="nil" w:sz="0" w:space="0" w:color="auto"/>
              <w:bottom w:val="nil" w:sz="0" w:space="0" w:color="auto"/>
              <w:left w:val="nil" w:sz="0" w:space="0" w:color="auto"/>
              <w:right w:val="nil" w:sz="0" w:space="0" w:color="auto"/>
              <w:insideH w:val="nil" w:sz="0" w:space="0" w:color="auto"/>
              <w:insideV w:val="nil" w:sz="0" w:space="0" w:color="auto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4"/>
              </w:rPr>
            </w:r>
          </w:p>
        </w:tc>
      </w:tr>
      <w:tr>
        <w:trPr>
          <w:cantSplit/>
        </w:trPr>
        <w:tc>
          <w:tcPr>
            <w:tcW w:type="dxa" w:w="1763"/>
            <w:shd w:fill="FFFFFF"/>
            <w:tcMar>
              <w:top w:w="55" w:type="dxa"/>
              <w:start w:w="70" w:type="dxa"/>
              <w:bottom w:w="55" w:type="dxa"/>
              <w:end w:w="70" w:type="dxa"/>
            </w:tcMar>
            <w:vAlign w:val="center"/>
            <w:tcBorders>
              <w:top w:val="nil" w:sz="0" w:space="0" w:color="auto"/>
              <w:bottom w:val="nil" w:sz="0" w:space="0" w:color="auto"/>
              <w:left w:val="nil" w:sz="0" w:space="0" w:color="auto"/>
              <w:right w:val="nil" w:sz="0" w:space="0" w:color="auto"/>
              <w:insideH w:val="nil" w:sz="0" w:space="0" w:color="auto"/>
              <w:insideV w:val="nil" w:sz="0" w:space="0" w:color="auto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4"/>
              </w:rPr>
              <w:t>HER2 (N=352)</w:t>
            </w:r>
          </w:p>
        </w:tc>
        <w:tc>
          <w:tcPr>
            <w:tcW w:type="dxa" w:w="2736"/>
            <w:shd w:fill="FFFFFF"/>
            <w:tcMar>
              <w:top w:w="55" w:type="dxa"/>
              <w:start w:w="70" w:type="dxa"/>
              <w:bottom w:w="55" w:type="dxa"/>
              <w:end w:w="70" w:type="dxa"/>
            </w:tcMar>
            <w:vAlign w:val="center"/>
            <w:tcBorders>
              <w:top w:val="nil" w:sz="0" w:space="0" w:color="auto"/>
              <w:bottom w:val="nil" w:sz="0" w:space="0" w:color="auto"/>
              <w:left w:val="nil" w:sz="0" w:space="0" w:color="auto"/>
              <w:right w:val="nil" w:sz="0" w:space="0" w:color="auto"/>
              <w:insideH w:val="nil" w:sz="0" w:space="0" w:color="auto"/>
              <w:insideV w:val="nil" w:sz="0" w:space="0" w:color="auto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4"/>
              </w:rPr>
              <w:t>2+/3+</w:t>
            </w:r>
          </w:p>
        </w:tc>
        <w:tc>
          <w:tcPr>
            <w:tcW w:type="dxa" w:w="1094"/>
            <w:shd w:fill="FFFFFF"/>
            <w:tcMar>
              <w:top w:w="55" w:type="dxa"/>
              <w:start w:w="70" w:type="dxa"/>
              <w:bottom w:w="55" w:type="dxa"/>
              <w:end w:w="70" w:type="dxa"/>
            </w:tcMar>
            <w:vAlign w:val="center"/>
            <w:tcBorders>
              <w:top w:val="nil" w:sz="0" w:space="0" w:color="auto"/>
              <w:bottom w:val="nil" w:sz="0" w:space="0" w:color="auto"/>
              <w:left w:val="nil" w:sz="0" w:space="0" w:color="auto"/>
              <w:right w:val="nil" w:sz="0" w:space="0" w:color="auto"/>
              <w:insideH w:val="nil" w:sz="0" w:space="0" w:color="auto"/>
              <w:insideV w:val="nil" w:sz="0" w:space="0" w:color="auto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4"/>
              </w:rPr>
              <w:t>0/70</w:t>
            </w:r>
          </w:p>
        </w:tc>
        <w:tc>
          <w:tcPr>
            <w:tcW w:type="dxa" w:w="1885"/>
            <w:shd w:fill="FFFFFF"/>
            <w:tcMar>
              <w:top w:w="55" w:type="dxa"/>
              <w:start w:w="70" w:type="dxa"/>
              <w:bottom w:w="55" w:type="dxa"/>
              <w:end w:w="70" w:type="dxa"/>
            </w:tcMar>
            <w:vAlign w:val="center"/>
            <w:tcBorders>
              <w:top w:val="nil" w:sz="0" w:space="0" w:color="auto"/>
              <w:bottom w:val="nil" w:sz="0" w:space="0" w:color="auto"/>
              <w:left w:val="nil" w:sz="0" w:space="0" w:color="auto"/>
              <w:right w:val="nil" w:sz="0" w:space="0" w:color="auto"/>
              <w:insideH w:val="nil" w:sz="0" w:space="0" w:color="auto"/>
              <w:insideV w:val="nil" w:sz="0" w:space="0" w:color="auto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4"/>
              </w:rPr>
              <w:t>0.00 (0.00–5.20)</w:t>
            </w:r>
          </w:p>
        </w:tc>
        <w:tc>
          <w:tcPr>
            <w:tcW w:type="dxa" w:w="730"/>
            <w:shd w:fill="FFFFFF"/>
            <w:tcMar>
              <w:top w:w="55" w:type="dxa"/>
              <w:start w:w="70" w:type="dxa"/>
              <w:bottom w:w="55" w:type="dxa"/>
              <w:end w:w="70" w:type="dxa"/>
            </w:tcMar>
            <w:vAlign w:val="center"/>
            <w:tcBorders>
              <w:top w:val="nil" w:sz="0" w:space="0" w:color="auto"/>
              <w:bottom w:val="nil" w:sz="0" w:space="0" w:color="auto"/>
              <w:left w:val="nil" w:sz="0" w:space="0" w:color="auto"/>
              <w:right w:val="nil" w:sz="0" w:space="0" w:color="auto"/>
              <w:insideH w:val="nil" w:sz="0" w:space="0" w:color="auto"/>
              <w:insideV w:val="nil" w:sz="0" w:space="0" w:color="auto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4"/>
              </w:rPr>
              <w:t>0.365</w:t>
            </w:r>
          </w:p>
        </w:tc>
      </w:tr>
      <w:tr>
        <w:trPr>
          <w:cantSplit/>
        </w:trPr>
        <w:tc>
          <w:tcPr>
            <w:tcW w:type="dxa" w:w="1763"/>
            <w:shd w:fill="FFFFFF"/>
            <w:tcMar>
              <w:top w:w="55" w:type="dxa"/>
              <w:start w:w="70" w:type="dxa"/>
              <w:bottom w:w="55" w:type="dxa"/>
              <w:end w:w="70" w:type="dxa"/>
            </w:tcMar>
            <w:vAlign w:val="center"/>
            <w:tcBorders>
              <w:top w:val="nil" w:sz="0" w:space="0" w:color="auto"/>
              <w:bottom w:val="nil" w:sz="0" w:space="0" w:color="auto"/>
              <w:left w:val="nil" w:sz="0" w:space="0" w:color="auto"/>
              <w:right w:val="nil" w:sz="0" w:space="0" w:color="auto"/>
              <w:insideH w:val="nil" w:sz="0" w:space="0" w:color="auto"/>
              <w:insideV w:val="nil" w:sz="0" w:space="0" w:color="auto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4"/>
              </w:rPr>
            </w:r>
          </w:p>
        </w:tc>
        <w:tc>
          <w:tcPr>
            <w:tcW w:type="dxa" w:w="2736"/>
            <w:shd w:fill="FFFFFF"/>
            <w:tcMar>
              <w:top w:w="55" w:type="dxa"/>
              <w:start w:w="70" w:type="dxa"/>
              <w:bottom w:w="55" w:type="dxa"/>
              <w:end w:w="70" w:type="dxa"/>
            </w:tcMar>
            <w:vAlign w:val="center"/>
            <w:tcBorders>
              <w:top w:val="nil" w:sz="0" w:space="0" w:color="auto"/>
              <w:bottom w:val="nil" w:sz="0" w:space="0" w:color="auto"/>
              <w:left w:val="nil" w:sz="0" w:space="0" w:color="auto"/>
              <w:right w:val="nil" w:sz="0" w:space="0" w:color="auto"/>
              <w:insideH w:val="nil" w:sz="0" w:space="0" w:color="auto"/>
              <w:insideV w:val="nil" w:sz="0" w:space="0" w:color="auto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4"/>
              </w:rPr>
              <w:t>0/1+</w:t>
            </w:r>
          </w:p>
        </w:tc>
        <w:tc>
          <w:tcPr>
            <w:tcW w:type="dxa" w:w="1094"/>
            <w:shd w:fill="FFFFFF"/>
            <w:tcMar>
              <w:top w:w="55" w:type="dxa"/>
              <w:start w:w="70" w:type="dxa"/>
              <w:bottom w:w="55" w:type="dxa"/>
              <w:end w:w="70" w:type="dxa"/>
            </w:tcMar>
            <w:vAlign w:val="center"/>
            <w:tcBorders>
              <w:top w:val="nil" w:sz="0" w:space="0" w:color="auto"/>
              <w:bottom w:val="nil" w:sz="0" w:space="0" w:color="auto"/>
              <w:left w:val="nil" w:sz="0" w:space="0" w:color="auto"/>
              <w:right w:val="nil" w:sz="0" w:space="0" w:color="auto"/>
              <w:insideH w:val="nil" w:sz="0" w:space="0" w:color="auto"/>
              <w:insideV w:val="nil" w:sz="0" w:space="0" w:color="auto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4"/>
              </w:rPr>
              <w:t>8/282</w:t>
            </w:r>
          </w:p>
        </w:tc>
        <w:tc>
          <w:tcPr>
            <w:tcW w:type="dxa" w:w="1885"/>
            <w:shd w:fill="FFFFFF"/>
            <w:tcMar>
              <w:top w:w="55" w:type="dxa"/>
              <w:start w:w="70" w:type="dxa"/>
              <w:bottom w:w="55" w:type="dxa"/>
              <w:end w:w="70" w:type="dxa"/>
            </w:tcMar>
            <w:vAlign w:val="center"/>
            <w:tcBorders>
              <w:top w:val="nil" w:sz="0" w:space="0" w:color="auto"/>
              <w:bottom w:val="nil" w:sz="0" w:space="0" w:color="auto"/>
              <w:left w:val="nil" w:sz="0" w:space="0" w:color="auto"/>
              <w:right w:val="nil" w:sz="0" w:space="0" w:color="auto"/>
              <w:insideH w:val="nil" w:sz="0" w:space="0" w:color="auto"/>
              <w:insideV w:val="nil" w:sz="0" w:space="0" w:color="auto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4"/>
              </w:rPr>
              <w:t>2.84 (1.44–5.50)</w:t>
            </w:r>
          </w:p>
        </w:tc>
        <w:tc>
          <w:tcPr>
            <w:tcW w:type="dxa" w:w="730"/>
            <w:shd w:fill="FFFFFF"/>
            <w:tcMar>
              <w:top w:w="55" w:type="dxa"/>
              <w:start w:w="70" w:type="dxa"/>
              <w:bottom w:w="55" w:type="dxa"/>
              <w:end w:w="70" w:type="dxa"/>
            </w:tcMar>
            <w:vAlign w:val="center"/>
            <w:tcBorders>
              <w:top w:val="nil" w:sz="0" w:space="0" w:color="auto"/>
              <w:bottom w:val="nil" w:sz="0" w:space="0" w:color="auto"/>
              <w:left w:val="nil" w:sz="0" w:space="0" w:color="auto"/>
              <w:right w:val="nil" w:sz="0" w:space="0" w:color="auto"/>
              <w:insideH w:val="nil" w:sz="0" w:space="0" w:color="auto"/>
              <w:insideV w:val="nil" w:sz="0" w:space="0" w:color="auto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4"/>
              </w:rPr>
            </w:r>
          </w:p>
        </w:tc>
      </w:tr>
      <w:tr>
        <w:trPr>
          <w:cantSplit/>
        </w:trPr>
        <w:tc>
          <w:tcPr>
            <w:tcW w:type="dxa" w:w="1763"/>
            <w:shd w:fill="FFFFFF"/>
            <w:tcMar>
              <w:top w:w="55" w:type="dxa"/>
              <w:start w:w="70" w:type="dxa"/>
              <w:bottom w:w="55" w:type="dxa"/>
              <w:end w:w="70" w:type="dxa"/>
            </w:tcMar>
            <w:vAlign w:val="center"/>
            <w:tcBorders>
              <w:top w:val="nil" w:sz="0" w:space="0" w:color="auto"/>
              <w:bottom w:val="nil" w:sz="0" w:space="0" w:color="auto"/>
              <w:left w:val="nil" w:sz="0" w:space="0" w:color="auto"/>
              <w:right w:val="nil" w:sz="0" w:space="0" w:color="auto"/>
              <w:insideH w:val="nil" w:sz="0" w:space="0" w:color="auto"/>
              <w:insideV w:val="nil" w:sz="0" w:space="0" w:color="auto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4"/>
              </w:rPr>
              <w:t>Ki-67 (N=359)</w:t>
            </w:r>
          </w:p>
        </w:tc>
        <w:tc>
          <w:tcPr>
            <w:tcW w:type="dxa" w:w="2736"/>
            <w:shd w:fill="FFFFFF"/>
            <w:tcMar>
              <w:top w:w="55" w:type="dxa"/>
              <w:start w:w="70" w:type="dxa"/>
              <w:bottom w:w="55" w:type="dxa"/>
              <w:end w:w="70" w:type="dxa"/>
            </w:tcMar>
            <w:vAlign w:val="center"/>
            <w:tcBorders>
              <w:top w:val="nil" w:sz="0" w:space="0" w:color="auto"/>
              <w:bottom w:val="nil" w:sz="0" w:space="0" w:color="auto"/>
              <w:left w:val="nil" w:sz="0" w:space="0" w:color="auto"/>
              <w:right w:val="nil" w:sz="0" w:space="0" w:color="auto"/>
              <w:insideH w:val="nil" w:sz="0" w:space="0" w:color="auto"/>
              <w:insideV w:val="nil" w:sz="0" w:space="0" w:color="auto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4"/>
              </w:rPr>
              <w:t>≥70%</w:t>
            </w:r>
          </w:p>
        </w:tc>
        <w:tc>
          <w:tcPr>
            <w:tcW w:type="dxa" w:w="1094"/>
            <w:shd w:fill="FFFFFF"/>
            <w:tcMar>
              <w:top w:w="55" w:type="dxa"/>
              <w:start w:w="70" w:type="dxa"/>
              <w:bottom w:w="55" w:type="dxa"/>
              <w:end w:w="70" w:type="dxa"/>
            </w:tcMar>
            <w:vAlign w:val="center"/>
            <w:tcBorders>
              <w:top w:val="nil" w:sz="0" w:space="0" w:color="auto"/>
              <w:bottom w:val="nil" w:sz="0" w:space="0" w:color="auto"/>
              <w:left w:val="nil" w:sz="0" w:space="0" w:color="auto"/>
              <w:right w:val="nil" w:sz="0" w:space="0" w:color="auto"/>
              <w:insideH w:val="nil" w:sz="0" w:space="0" w:color="auto"/>
              <w:insideV w:val="nil" w:sz="0" w:space="0" w:color="auto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4"/>
              </w:rPr>
              <w:t>6/251</w:t>
            </w:r>
          </w:p>
        </w:tc>
        <w:tc>
          <w:tcPr>
            <w:tcW w:type="dxa" w:w="1885"/>
            <w:shd w:fill="FFFFFF"/>
            <w:tcMar>
              <w:top w:w="55" w:type="dxa"/>
              <w:start w:w="70" w:type="dxa"/>
              <w:bottom w:w="55" w:type="dxa"/>
              <w:end w:w="70" w:type="dxa"/>
            </w:tcMar>
            <w:vAlign w:val="center"/>
            <w:tcBorders>
              <w:top w:val="nil" w:sz="0" w:space="0" w:color="auto"/>
              <w:bottom w:val="nil" w:sz="0" w:space="0" w:color="auto"/>
              <w:left w:val="nil" w:sz="0" w:space="0" w:color="auto"/>
              <w:right w:val="nil" w:sz="0" w:space="0" w:color="auto"/>
              <w:insideH w:val="nil" w:sz="0" w:space="0" w:color="auto"/>
              <w:insideV w:val="nil" w:sz="0" w:space="0" w:color="auto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4"/>
              </w:rPr>
              <w:t>2.39 (1.10–5.12)</w:t>
            </w:r>
          </w:p>
        </w:tc>
        <w:tc>
          <w:tcPr>
            <w:tcW w:type="dxa" w:w="730"/>
            <w:shd w:fill="FFFFFF"/>
            <w:tcMar>
              <w:top w:w="55" w:type="dxa"/>
              <w:start w:w="70" w:type="dxa"/>
              <w:bottom w:w="55" w:type="dxa"/>
              <w:end w:w="70" w:type="dxa"/>
            </w:tcMar>
            <w:vAlign w:val="center"/>
            <w:tcBorders>
              <w:top w:val="nil" w:sz="0" w:space="0" w:color="auto"/>
              <w:bottom w:val="nil" w:sz="0" w:space="0" w:color="auto"/>
              <w:left w:val="nil" w:sz="0" w:space="0" w:color="auto"/>
              <w:right w:val="nil" w:sz="0" w:space="0" w:color="auto"/>
              <w:insideH w:val="nil" w:sz="0" w:space="0" w:color="auto"/>
              <w:insideV w:val="nil" w:sz="0" w:space="0" w:color="auto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4"/>
              </w:rPr>
              <w:t>0.679</w:t>
            </w:r>
          </w:p>
        </w:tc>
      </w:tr>
      <w:tr>
        <w:trPr>
          <w:cantSplit/>
        </w:trPr>
        <w:tc>
          <w:tcPr>
            <w:tcW w:type="dxa" w:w="1763"/>
            <w:shd w:fill="FFFFFF"/>
            <w:tcMar>
              <w:top w:w="55" w:type="dxa"/>
              <w:start w:w="70" w:type="dxa"/>
              <w:bottom w:w="55" w:type="dxa"/>
              <w:end w:w="70" w:type="dxa"/>
            </w:tcMar>
            <w:vAlign w:val="center"/>
            <w:tcBorders>
              <w:top w:val="nil" w:sz="0" w:space="0" w:color="auto"/>
              <w:bottom w:val="nil" w:sz="0" w:space="0" w:color="auto"/>
              <w:left w:val="nil" w:sz="0" w:space="0" w:color="auto"/>
              <w:right w:val="nil" w:sz="0" w:space="0" w:color="auto"/>
              <w:insideH w:val="nil" w:sz="0" w:space="0" w:color="auto"/>
              <w:insideV w:val="nil" w:sz="0" w:space="0" w:color="auto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4"/>
              </w:rPr>
            </w:r>
          </w:p>
        </w:tc>
        <w:tc>
          <w:tcPr>
            <w:tcW w:type="dxa" w:w="2736"/>
            <w:shd w:fill="FFFFFF"/>
            <w:tcMar>
              <w:top w:w="55" w:type="dxa"/>
              <w:start w:w="70" w:type="dxa"/>
              <w:bottom w:w="55" w:type="dxa"/>
              <w:end w:w="70" w:type="dxa"/>
            </w:tcMar>
            <w:vAlign w:val="center"/>
            <w:tcBorders>
              <w:top w:val="nil" w:sz="0" w:space="0" w:color="auto"/>
              <w:bottom w:val="nil" w:sz="0" w:space="0" w:color="auto"/>
              <w:left w:val="nil" w:sz="0" w:space="0" w:color="auto"/>
              <w:right w:val="nil" w:sz="0" w:space="0" w:color="auto"/>
              <w:insideH w:val="nil" w:sz="0" w:space="0" w:color="auto"/>
              <w:insideV w:val="nil" w:sz="0" w:space="0" w:color="auto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4"/>
              </w:rPr>
              <w:t>&lt;70%</w:t>
            </w:r>
          </w:p>
        </w:tc>
        <w:tc>
          <w:tcPr>
            <w:tcW w:type="dxa" w:w="1094"/>
            <w:shd w:fill="FFFFFF"/>
            <w:tcMar>
              <w:top w:w="55" w:type="dxa"/>
              <w:start w:w="70" w:type="dxa"/>
              <w:bottom w:w="55" w:type="dxa"/>
              <w:end w:w="70" w:type="dxa"/>
            </w:tcMar>
            <w:vAlign w:val="center"/>
            <w:tcBorders>
              <w:top w:val="nil" w:sz="0" w:space="0" w:color="auto"/>
              <w:bottom w:val="nil" w:sz="0" w:space="0" w:color="auto"/>
              <w:left w:val="nil" w:sz="0" w:space="0" w:color="auto"/>
              <w:right w:val="nil" w:sz="0" w:space="0" w:color="auto"/>
              <w:insideH w:val="nil" w:sz="0" w:space="0" w:color="auto"/>
              <w:insideV w:val="nil" w:sz="0" w:space="0" w:color="auto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4"/>
              </w:rPr>
              <w:t>1/108</w:t>
            </w:r>
          </w:p>
        </w:tc>
        <w:tc>
          <w:tcPr>
            <w:tcW w:type="dxa" w:w="1885"/>
            <w:shd w:fill="FFFFFF"/>
            <w:tcMar>
              <w:top w:w="55" w:type="dxa"/>
              <w:start w:w="70" w:type="dxa"/>
              <w:bottom w:w="55" w:type="dxa"/>
              <w:end w:w="70" w:type="dxa"/>
            </w:tcMar>
            <w:vAlign w:val="center"/>
            <w:tcBorders>
              <w:top w:val="nil" w:sz="0" w:space="0" w:color="auto"/>
              <w:bottom w:val="nil" w:sz="0" w:space="0" w:color="auto"/>
              <w:left w:val="nil" w:sz="0" w:space="0" w:color="auto"/>
              <w:right w:val="nil" w:sz="0" w:space="0" w:color="auto"/>
              <w:insideH w:val="nil" w:sz="0" w:space="0" w:color="auto"/>
              <w:insideV w:val="nil" w:sz="0" w:space="0" w:color="auto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4"/>
              </w:rPr>
              <w:t>0.93 (0.16–5.06)</w:t>
            </w:r>
          </w:p>
        </w:tc>
        <w:tc>
          <w:tcPr>
            <w:tcW w:type="dxa" w:w="730"/>
            <w:shd w:fill="FFFFFF"/>
            <w:tcMar>
              <w:top w:w="55" w:type="dxa"/>
              <w:start w:w="70" w:type="dxa"/>
              <w:bottom w:w="55" w:type="dxa"/>
              <w:end w:w="70" w:type="dxa"/>
            </w:tcMar>
            <w:vAlign w:val="center"/>
            <w:tcBorders>
              <w:top w:val="nil" w:sz="0" w:space="0" w:color="auto"/>
              <w:bottom w:val="nil" w:sz="0" w:space="0" w:color="auto"/>
              <w:left w:val="nil" w:sz="0" w:space="0" w:color="auto"/>
              <w:right w:val="nil" w:sz="0" w:space="0" w:color="auto"/>
              <w:insideH w:val="nil" w:sz="0" w:space="0" w:color="auto"/>
              <w:insideV w:val="nil" w:sz="0" w:space="0" w:color="auto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4"/>
              </w:rPr>
            </w:r>
          </w:p>
        </w:tc>
      </w:tr>
    </w:tbl>
    <w:p>
      <w:pPr>
        <w:keepNext w:val="0"/>
        <w:pageBreakBefore w:val="0"/>
        <w:spacing w:before="40" w:after="80" w:lineRule="auto" w:line="240"/>
        <w:jc w:val="left"/>
      </w:pPr>
      <w:r>
        <w:rPr>
          <w:rFonts w:ascii="Times New Roman" w:hAnsi="Times New Roman" w:eastAsia="Times New Roman" w:cs="Times New Roman"/>
          <w:b w:val="0"/>
          <w:i w:val="0"/>
          <w:color w:val="000000"/>
          <w:sz w:val="17"/>
        </w:rPr>
        <w:t>Because of variable-specific missingness in this retrospective dataset, category totals may be lower than the full cohort of 379 patients. No missing values were imputed; percentages and Fisher’s exact tests are based on available observations, and effective sample sizes are shown in the domain labels. The histological-type comparison excluded other malignant tumours and cases with no residual tumour after treatment.</w:t>
      </w:r>
    </w:p>
    <w:sectPr w:rsidR="00800465" w:rsidRPr="00375CE6">
      <w:headerReference w:type="default" r:id="rId12"/>
      <w:footerReference w:type="default" r:id="rId13"/>
      <w:pgSz w:w="11909" w:h="16834"/>
      <w:pgMar w:top="1440" w:right="1800" w:bottom="1440" w:left="1800" w:header="432" w:footer="43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0" w:after="0"/>
      <w:jc w:val="left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0" w:after="0"/>
      <w:jc w:val="lef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253F"/>
    <w:rsid w:val="000021B9"/>
    <w:rsid w:val="000068EE"/>
    <w:rsid w:val="00011D70"/>
    <w:rsid w:val="0003350C"/>
    <w:rsid w:val="00033FF5"/>
    <w:rsid w:val="00050B7F"/>
    <w:rsid w:val="0008253F"/>
    <w:rsid w:val="00095C29"/>
    <w:rsid w:val="000C069A"/>
    <w:rsid w:val="000C08F7"/>
    <w:rsid w:val="000C2F3C"/>
    <w:rsid w:val="000C3E0C"/>
    <w:rsid w:val="000C5B7F"/>
    <w:rsid w:val="000D6197"/>
    <w:rsid w:val="0010539B"/>
    <w:rsid w:val="001216AC"/>
    <w:rsid w:val="00127C38"/>
    <w:rsid w:val="00133A03"/>
    <w:rsid w:val="0014523F"/>
    <w:rsid w:val="001460FF"/>
    <w:rsid w:val="0016079F"/>
    <w:rsid w:val="00162860"/>
    <w:rsid w:val="00170725"/>
    <w:rsid w:val="00191F7A"/>
    <w:rsid w:val="001945E3"/>
    <w:rsid w:val="001949F9"/>
    <w:rsid w:val="001A0937"/>
    <w:rsid w:val="001D331D"/>
    <w:rsid w:val="001E5CE7"/>
    <w:rsid w:val="001F1C51"/>
    <w:rsid w:val="001F3EA2"/>
    <w:rsid w:val="001F46F3"/>
    <w:rsid w:val="002044D7"/>
    <w:rsid w:val="002470F0"/>
    <w:rsid w:val="00252439"/>
    <w:rsid w:val="00255F4C"/>
    <w:rsid w:val="00257C46"/>
    <w:rsid w:val="00276550"/>
    <w:rsid w:val="00294C09"/>
    <w:rsid w:val="002A3735"/>
    <w:rsid w:val="002B7011"/>
    <w:rsid w:val="002D0BF8"/>
    <w:rsid w:val="002D2D7D"/>
    <w:rsid w:val="002D565C"/>
    <w:rsid w:val="002D5CA7"/>
    <w:rsid w:val="002D725C"/>
    <w:rsid w:val="002D781B"/>
    <w:rsid w:val="002F38DA"/>
    <w:rsid w:val="002F49C6"/>
    <w:rsid w:val="002F6C9F"/>
    <w:rsid w:val="00303F3A"/>
    <w:rsid w:val="00316C0E"/>
    <w:rsid w:val="00352173"/>
    <w:rsid w:val="003663D6"/>
    <w:rsid w:val="00367233"/>
    <w:rsid w:val="00371639"/>
    <w:rsid w:val="00375CE6"/>
    <w:rsid w:val="003A7981"/>
    <w:rsid w:val="003C4D37"/>
    <w:rsid w:val="003C7D92"/>
    <w:rsid w:val="003D0CC7"/>
    <w:rsid w:val="003F45DE"/>
    <w:rsid w:val="004036F5"/>
    <w:rsid w:val="00405D9A"/>
    <w:rsid w:val="00411256"/>
    <w:rsid w:val="00412972"/>
    <w:rsid w:val="0041565C"/>
    <w:rsid w:val="004172BD"/>
    <w:rsid w:val="00422849"/>
    <w:rsid w:val="00426AC3"/>
    <w:rsid w:val="00426CB1"/>
    <w:rsid w:val="00433143"/>
    <w:rsid w:val="00434871"/>
    <w:rsid w:val="00437F08"/>
    <w:rsid w:val="004475E9"/>
    <w:rsid w:val="00447B70"/>
    <w:rsid w:val="00452CB4"/>
    <w:rsid w:val="0045339B"/>
    <w:rsid w:val="0045520F"/>
    <w:rsid w:val="00460D8E"/>
    <w:rsid w:val="00467466"/>
    <w:rsid w:val="004833E3"/>
    <w:rsid w:val="0049024E"/>
    <w:rsid w:val="00495291"/>
    <w:rsid w:val="004B29D0"/>
    <w:rsid w:val="004B3889"/>
    <w:rsid w:val="004D3DFA"/>
    <w:rsid w:val="004E10DD"/>
    <w:rsid w:val="004E71A3"/>
    <w:rsid w:val="004F3C29"/>
    <w:rsid w:val="004F43CB"/>
    <w:rsid w:val="00501020"/>
    <w:rsid w:val="005057D9"/>
    <w:rsid w:val="00533246"/>
    <w:rsid w:val="00536049"/>
    <w:rsid w:val="00546397"/>
    <w:rsid w:val="005478F2"/>
    <w:rsid w:val="005623B9"/>
    <w:rsid w:val="00566D0E"/>
    <w:rsid w:val="0057182A"/>
    <w:rsid w:val="0058415C"/>
    <w:rsid w:val="00593B96"/>
    <w:rsid w:val="00596B65"/>
    <w:rsid w:val="005A1B64"/>
    <w:rsid w:val="005A297B"/>
    <w:rsid w:val="005B59EE"/>
    <w:rsid w:val="005B7237"/>
    <w:rsid w:val="005C0E09"/>
    <w:rsid w:val="005C576B"/>
    <w:rsid w:val="005D52D4"/>
    <w:rsid w:val="005D6798"/>
    <w:rsid w:val="005E3DEE"/>
    <w:rsid w:val="005E5DA0"/>
    <w:rsid w:val="005F033A"/>
    <w:rsid w:val="00603334"/>
    <w:rsid w:val="006172C3"/>
    <w:rsid w:val="006202E8"/>
    <w:rsid w:val="00627D1B"/>
    <w:rsid w:val="00634607"/>
    <w:rsid w:val="006707F2"/>
    <w:rsid w:val="006903E4"/>
    <w:rsid w:val="00692FA1"/>
    <w:rsid w:val="006D2C55"/>
    <w:rsid w:val="006E77F3"/>
    <w:rsid w:val="006F29BE"/>
    <w:rsid w:val="006F69C2"/>
    <w:rsid w:val="00703072"/>
    <w:rsid w:val="007047FD"/>
    <w:rsid w:val="00721D3A"/>
    <w:rsid w:val="00733E53"/>
    <w:rsid w:val="00736B37"/>
    <w:rsid w:val="007428A5"/>
    <w:rsid w:val="007550AD"/>
    <w:rsid w:val="00757F2B"/>
    <w:rsid w:val="00763E0B"/>
    <w:rsid w:val="00767FEF"/>
    <w:rsid w:val="00770659"/>
    <w:rsid w:val="0078263B"/>
    <w:rsid w:val="007930ED"/>
    <w:rsid w:val="007A44B9"/>
    <w:rsid w:val="007A7E92"/>
    <w:rsid w:val="007E5B23"/>
    <w:rsid w:val="00800465"/>
    <w:rsid w:val="008121F4"/>
    <w:rsid w:val="00814954"/>
    <w:rsid w:val="00814E7B"/>
    <w:rsid w:val="00822FCA"/>
    <w:rsid w:val="00826C60"/>
    <w:rsid w:val="008336A6"/>
    <w:rsid w:val="00835AA6"/>
    <w:rsid w:val="00837B11"/>
    <w:rsid w:val="008540EC"/>
    <w:rsid w:val="008600FD"/>
    <w:rsid w:val="008734E7"/>
    <w:rsid w:val="00877593"/>
    <w:rsid w:val="008A7978"/>
    <w:rsid w:val="008C7A70"/>
    <w:rsid w:val="008F0090"/>
    <w:rsid w:val="008F706C"/>
    <w:rsid w:val="009072F1"/>
    <w:rsid w:val="00907948"/>
    <w:rsid w:val="00962A91"/>
    <w:rsid w:val="0098680B"/>
    <w:rsid w:val="0098755E"/>
    <w:rsid w:val="009A537F"/>
    <w:rsid w:val="009D6726"/>
    <w:rsid w:val="009D68E2"/>
    <w:rsid w:val="009E3B1F"/>
    <w:rsid w:val="009F54AC"/>
    <w:rsid w:val="009F6BFF"/>
    <w:rsid w:val="009F6CE1"/>
    <w:rsid w:val="009F7242"/>
    <w:rsid w:val="00A1026B"/>
    <w:rsid w:val="00A17780"/>
    <w:rsid w:val="00A425D0"/>
    <w:rsid w:val="00A646E9"/>
    <w:rsid w:val="00A945E5"/>
    <w:rsid w:val="00AA7C73"/>
    <w:rsid w:val="00AC551A"/>
    <w:rsid w:val="00AD07D6"/>
    <w:rsid w:val="00AD13AE"/>
    <w:rsid w:val="00AD6852"/>
    <w:rsid w:val="00B04B18"/>
    <w:rsid w:val="00B06FFA"/>
    <w:rsid w:val="00B11485"/>
    <w:rsid w:val="00B11A6D"/>
    <w:rsid w:val="00B34A23"/>
    <w:rsid w:val="00B477CD"/>
    <w:rsid w:val="00B70BEA"/>
    <w:rsid w:val="00B77779"/>
    <w:rsid w:val="00BA340E"/>
    <w:rsid w:val="00BB11BE"/>
    <w:rsid w:val="00BB5F3E"/>
    <w:rsid w:val="00BE1625"/>
    <w:rsid w:val="00BE1A84"/>
    <w:rsid w:val="00BF1004"/>
    <w:rsid w:val="00BF1943"/>
    <w:rsid w:val="00BF4C4E"/>
    <w:rsid w:val="00C00F9B"/>
    <w:rsid w:val="00C0114D"/>
    <w:rsid w:val="00C61CBD"/>
    <w:rsid w:val="00C8092B"/>
    <w:rsid w:val="00C8306A"/>
    <w:rsid w:val="00C86EBF"/>
    <w:rsid w:val="00C97BEB"/>
    <w:rsid w:val="00CA6D26"/>
    <w:rsid w:val="00CB612F"/>
    <w:rsid w:val="00CC1968"/>
    <w:rsid w:val="00CC74E6"/>
    <w:rsid w:val="00CD1090"/>
    <w:rsid w:val="00CD70C6"/>
    <w:rsid w:val="00CE09D2"/>
    <w:rsid w:val="00CE0EBA"/>
    <w:rsid w:val="00CF32C1"/>
    <w:rsid w:val="00CF64F1"/>
    <w:rsid w:val="00CF68A1"/>
    <w:rsid w:val="00D12A5F"/>
    <w:rsid w:val="00D1433E"/>
    <w:rsid w:val="00D144C4"/>
    <w:rsid w:val="00D31F22"/>
    <w:rsid w:val="00D544D3"/>
    <w:rsid w:val="00D56329"/>
    <w:rsid w:val="00D72B2F"/>
    <w:rsid w:val="00D740A7"/>
    <w:rsid w:val="00D771F6"/>
    <w:rsid w:val="00D91008"/>
    <w:rsid w:val="00D9395A"/>
    <w:rsid w:val="00D95E62"/>
    <w:rsid w:val="00DA0F95"/>
    <w:rsid w:val="00DA3CC1"/>
    <w:rsid w:val="00DD129A"/>
    <w:rsid w:val="00DD2894"/>
    <w:rsid w:val="00DD4641"/>
    <w:rsid w:val="00DD6BF8"/>
    <w:rsid w:val="00DD7BA3"/>
    <w:rsid w:val="00DE6CB4"/>
    <w:rsid w:val="00DF1AC0"/>
    <w:rsid w:val="00DF2C42"/>
    <w:rsid w:val="00E0313B"/>
    <w:rsid w:val="00E06CCD"/>
    <w:rsid w:val="00E16241"/>
    <w:rsid w:val="00E57A85"/>
    <w:rsid w:val="00E7102C"/>
    <w:rsid w:val="00E72048"/>
    <w:rsid w:val="00E74B63"/>
    <w:rsid w:val="00E75507"/>
    <w:rsid w:val="00EA5C9A"/>
    <w:rsid w:val="00EA5D9B"/>
    <w:rsid w:val="00EB244E"/>
    <w:rsid w:val="00EB2D9C"/>
    <w:rsid w:val="00EB5BCC"/>
    <w:rsid w:val="00EC6952"/>
    <w:rsid w:val="00EC7D59"/>
    <w:rsid w:val="00ED3CDE"/>
    <w:rsid w:val="00F04E82"/>
    <w:rsid w:val="00F1216B"/>
    <w:rsid w:val="00F1255C"/>
    <w:rsid w:val="00F31D95"/>
    <w:rsid w:val="00F41320"/>
    <w:rsid w:val="00F42470"/>
    <w:rsid w:val="00F43BBF"/>
    <w:rsid w:val="00F45C95"/>
    <w:rsid w:val="00F502E8"/>
    <w:rsid w:val="00F54DF9"/>
    <w:rsid w:val="00F54EB8"/>
    <w:rsid w:val="00F560FA"/>
    <w:rsid w:val="00F658D4"/>
    <w:rsid w:val="00F67822"/>
    <w:rsid w:val="00F874F7"/>
    <w:rsid w:val="00FA635D"/>
    <w:rsid w:val="00FB3FFA"/>
    <w:rsid w:val="00FB4FB7"/>
    <w:rsid w:val="00FC44F1"/>
    <w:rsid w:val="00FD011D"/>
    <w:rsid w:val="00FF72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12A34C1"/>
  <w15:chartTrackingRefBased/>
  <w15:docId w15:val="{33A38FBE-42EA-3041-97A8-EB82CA9E7B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8253F"/>
    <w:pPr>
      <w:spacing w:after="0" w:line="317" w:lineRule="auto"/>
      <w:jc w:val="both"/>
    </w:pPr>
    <w:rPr>
      <w:rFonts w:ascii="Times New Roman" w:eastAsia="Times New Roman" w:hAnsi="Times New Roman" w:cs="Times New Roman"/>
      <w:color w:val="000000"/>
      <w:kern w:val="0"/>
      <w:sz w:val="24"/>
      <w:szCs w:val="22"/>
      <w:lang w:eastAsia="en-US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08253F"/>
    <w:pPr>
      <w:keepNext/>
      <w:keepLines/>
      <w:widowControl w:val="0"/>
      <w:spacing w:before="480" w:after="80" w:line="240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8"/>
      <w:szCs w:val="48"/>
      <w:lang w:eastAsia="zh-CN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8253F"/>
    <w:pPr>
      <w:keepNext/>
      <w:keepLines/>
      <w:widowControl w:val="0"/>
      <w:spacing w:before="160" w:after="80" w:line="240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zh-CN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8253F"/>
    <w:pPr>
      <w:keepNext/>
      <w:keepLines/>
      <w:widowControl w:val="0"/>
      <w:spacing w:before="160" w:after="80" w:line="240" w:lineRule="auto"/>
      <w:outlineLvl w:val="2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zh-CN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8253F"/>
    <w:pPr>
      <w:keepNext/>
      <w:keepLines/>
      <w:widowControl w:val="0"/>
      <w:spacing w:before="80" w:after="40" w:line="240" w:lineRule="auto"/>
      <w:outlineLvl w:val="3"/>
    </w:pPr>
    <w:rPr>
      <w:rFonts w:asciiTheme="minorHAnsi" w:eastAsiaTheme="minorEastAsia" w:hAnsiTheme="minorHAnsi" w:cstheme="majorBidi"/>
      <w:color w:val="0F4761" w:themeColor="accent1" w:themeShade="BF"/>
      <w:kern w:val="2"/>
      <w:sz w:val="28"/>
      <w:szCs w:val="28"/>
      <w:lang w:eastAsia="zh-CN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8253F"/>
    <w:pPr>
      <w:keepNext/>
      <w:keepLines/>
      <w:widowControl w:val="0"/>
      <w:spacing w:before="80" w:after="40" w:line="240" w:lineRule="auto"/>
      <w:outlineLvl w:val="4"/>
    </w:pPr>
    <w:rPr>
      <w:rFonts w:asciiTheme="minorHAnsi" w:eastAsiaTheme="minorEastAsia" w:hAnsiTheme="minorHAnsi" w:cstheme="majorBidi"/>
      <w:color w:val="0F4761" w:themeColor="accent1" w:themeShade="BF"/>
      <w:kern w:val="2"/>
      <w:sz w:val="24"/>
      <w:szCs w:val="24"/>
      <w:lang w:eastAsia="zh-CN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8253F"/>
    <w:pPr>
      <w:keepNext/>
      <w:keepLines/>
      <w:widowControl w:val="0"/>
      <w:spacing w:before="40" w:after="0" w:line="240" w:lineRule="auto"/>
      <w:outlineLvl w:val="5"/>
    </w:pPr>
    <w:rPr>
      <w:rFonts w:asciiTheme="minorHAnsi" w:eastAsiaTheme="minorEastAsia" w:hAnsiTheme="minorHAnsi" w:cstheme="majorBidi"/>
      <w:b/>
      <w:bCs/>
      <w:color w:val="0F4761" w:themeColor="accent1" w:themeShade="BF"/>
      <w:kern w:val="2"/>
      <w:sz w:val="21"/>
      <w:szCs w:val="24"/>
      <w:lang w:eastAsia="zh-CN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8253F"/>
    <w:pPr>
      <w:keepNext/>
      <w:keepLines/>
      <w:widowControl w:val="0"/>
      <w:spacing w:before="40" w:after="0" w:line="240" w:lineRule="auto"/>
      <w:outlineLvl w:val="6"/>
    </w:pPr>
    <w:rPr>
      <w:rFonts w:asciiTheme="minorHAnsi" w:eastAsiaTheme="minorEastAsia" w:hAnsiTheme="minorHAnsi" w:cstheme="majorBidi"/>
      <w:b/>
      <w:bCs/>
      <w:color w:val="595959" w:themeColor="text1" w:themeTint="A6"/>
      <w:kern w:val="2"/>
      <w:sz w:val="21"/>
      <w:szCs w:val="24"/>
      <w:lang w:eastAsia="zh-CN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8253F"/>
    <w:pPr>
      <w:keepNext/>
      <w:keepLines/>
      <w:widowControl w:val="0"/>
      <w:spacing w:after="0" w:line="240" w:lineRule="auto"/>
      <w:outlineLvl w:val="7"/>
    </w:pPr>
    <w:rPr>
      <w:rFonts w:asciiTheme="minorHAnsi" w:eastAsiaTheme="minorEastAsia" w:hAnsiTheme="minorHAnsi" w:cstheme="majorBidi"/>
      <w:color w:val="595959" w:themeColor="text1" w:themeTint="A6"/>
      <w:kern w:val="2"/>
      <w:sz w:val="21"/>
      <w:szCs w:val="24"/>
      <w:lang w:eastAsia="zh-CN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8253F"/>
    <w:pPr>
      <w:keepNext/>
      <w:keepLines/>
      <w:widowControl w:val="0"/>
      <w:spacing w:after="0" w:line="240" w:lineRule="auto"/>
      <w:outlineLvl w:val="8"/>
    </w:pPr>
    <w:rPr>
      <w:rFonts w:asciiTheme="minorHAnsi" w:eastAsiaTheme="majorEastAsia" w:hAnsiTheme="minorHAnsi" w:cstheme="majorBidi"/>
      <w:color w:val="595959" w:themeColor="text1" w:themeTint="A6"/>
      <w:kern w:val="2"/>
      <w:sz w:val="21"/>
      <w:szCs w:val="24"/>
      <w:lang w:eastAsia="zh-CN"/>
      <w14:ligatures w14:val="standardContextual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08253F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08253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08253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08253F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08253F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08253F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08253F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08253F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08253F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08253F"/>
    <w:pPr>
      <w:widowControl w:val="0"/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:lang w:eastAsia="zh-CN"/>
      <w14:ligatures w14:val="standardContextual"/>
    </w:rPr>
  </w:style>
  <w:style w:type="character" w:customStyle="1" w:styleId="a4">
    <w:name w:val="标题 字符"/>
    <w:basedOn w:val="a0"/>
    <w:link w:val="a3"/>
    <w:uiPriority w:val="10"/>
    <w:rsid w:val="0008253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8253F"/>
    <w:pPr>
      <w:widowControl w:val="0"/>
      <w:numPr>
        <w:ilvl w:val="1"/>
      </w:numPr>
      <w:spacing w:after="160" w:line="240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kern w:val="2"/>
      <w:sz w:val="28"/>
      <w:szCs w:val="28"/>
      <w:lang w:eastAsia="zh-CN"/>
      <w14:ligatures w14:val="standardContextual"/>
    </w:rPr>
  </w:style>
  <w:style w:type="character" w:customStyle="1" w:styleId="a6">
    <w:name w:val="副标题 字符"/>
    <w:basedOn w:val="a0"/>
    <w:link w:val="a5"/>
    <w:uiPriority w:val="11"/>
    <w:rsid w:val="0008253F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8253F"/>
    <w:pPr>
      <w:widowControl w:val="0"/>
      <w:spacing w:before="160" w:after="160" w:line="240" w:lineRule="auto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kern w:val="2"/>
      <w:sz w:val="21"/>
      <w:szCs w:val="24"/>
      <w:lang w:eastAsia="zh-CN"/>
      <w14:ligatures w14:val="standardContextual"/>
    </w:rPr>
  </w:style>
  <w:style w:type="character" w:customStyle="1" w:styleId="a8">
    <w:name w:val="引用 字符"/>
    <w:basedOn w:val="a0"/>
    <w:link w:val="a7"/>
    <w:uiPriority w:val="29"/>
    <w:rsid w:val="0008253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8253F"/>
    <w:pPr>
      <w:widowControl w:val="0"/>
      <w:spacing w:after="0" w:line="240" w:lineRule="auto"/>
      <w:ind w:left="720"/>
      <w:contextualSpacing/>
    </w:pPr>
    <w:rPr>
      <w:rFonts w:asciiTheme="minorHAnsi" w:eastAsiaTheme="minorEastAsia" w:hAnsiTheme="minorHAnsi" w:cstheme="minorBidi"/>
      <w:color w:val="auto"/>
      <w:kern w:val="2"/>
      <w:sz w:val="21"/>
      <w:szCs w:val="24"/>
      <w:lang w:eastAsia="zh-CN"/>
      <w14:ligatures w14:val="standardContextual"/>
    </w:rPr>
  </w:style>
  <w:style w:type="character" w:styleId="aa">
    <w:name w:val="Intense Emphasis"/>
    <w:basedOn w:val="a0"/>
    <w:uiPriority w:val="21"/>
    <w:qFormat/>
    <w:rsid w:val="0008253F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08253F"/>
    <w:pPr>
      <w:widowControl w:val="0"/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40" w:lineRule="auto"/>
      <w:ind w:left="864" w:right="864"/>
      <w:jc w:val="center"/>
    </w:pPr>
    <w:rPr>
      <w:rFonts w:asciiTheme="minorHAnsi" w:eastAsiaTheme="minorEastAsia" w:hAnsiTheme="minorHAnsi" w:cstheme="minorBidi"/>
      <w:i/>
      <w:iCs/>
      <w:color w:val="0F4761" w:themeColor="accent1" w:themeShade="BF"/>
      <w:kern w:val="2"/>
      <w:sz w:val="21"/>
      <w:szCs w:val="24"/>
      <w:lang w:eastAsia="zh-CN"/>
      <w14:ligatures w14:val="standardContextual"/>
    </w:rPr>
  </w:style>
  <w:style w:type="character" w:customStyle="1" w:styleId="ac">
    <w:name w:val="明显引用 字符"/>
    <w:basedOn w:val="a0"/>
    <w:link w:val="ab"/>
    <w:uiPriority w:val="30"/>
    <w:rsid w:val="0008253F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08253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2" Type="http://schemas.openxmlformats.org/officeDocument/2006/relationships/header" Target="header1.xml"/><Relationship Id="rId13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25</Pages>
  <Words>5890</Words>
  <Characters>37878</Characters>
  <Application>Microsoft Office Word</Application>
  <DocSecurity>0</DocSecurity>
  <Lines>582</Lines>
  <Paragraphs>306</Paragraphs>
  <ScaleCrop>false</ScaleCrop>
  <Company/>
  <LinksUpToDate>false</LinksUpToDate>
  <CharactersWithSpaces>43462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3. DGE incidence according to pathological and molecular characteristics</dc:title>
  <dc:subject/>
  <dc:creator>fei teng</dc:creator>
  <cp:keywords/>
  <dc:description/>
  <cp:lastModifiedBy>fei teng</cp:lastModifiedBy>
  <cp:revision>2</cp:revision>
  <dcterms:created xsi:type="dcterms:W3CDTF">2026-08-23T05:09:00Z</dcterms:created>
  <dcterms:modified xsi:type="dcterms:W3CDTF">2026-08-23T05:52:00Z</dcterms:modified>
</cp:coreProperties>
</file>