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AA4B1">
      <w:pPr>
        <w:spacing w:line="360" w:lineRule="auto"/>
        <w:jc w:val="both"/>
        <w:rPr>
          <w:rFonts w:ascii="Calibri" w:hAnsi="Calibri" w:eastAsia="Calibri" w:cs="Calibri"/>
          <w:b/>
          <w:color w:val="000000"/>
          <w:sz w:val="22"/>
          <w:szCs w:val="22"/>
          <w:lang w:val="en-GB"/>
        </w:rPr>
      </w:pPr>
      <w:r>
        <w:rPr>
          <w:rFonts w:ascii="Calibri" w:hAnsi="Calibri" w:eastAsia="Calibri" w:cs="Calibri"/>
          <w:b/>
          <w:color w:val="000000"/>
          <w:sz w:val="22"/>
          <w:szCs w:val="22"/>
          <w:lang w:val="en-GB"/>
        </w:rPr>
        <w:t xml:space="preserve">CONSORT 2025 checklist of information to include when reporting a randomised trial* </w:t>
      </w:r>
    </w:p>
    <w:tbl>
      <w:tblPr>
        <w:tblStyle w:val="23"/>
        <w:tblW w:w="1431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2547"/>
        <w:gridCol w:w="992"/>
        <w:gridCol w:w="9356"/>
        <w:gridCol w:w="1417"/>
      </w:tblGrid>
      <w:tr w14:paraId="42F6C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shd w:val="clear" w:color="auto" w:fill="BFBFBF"/>
          </w:tcPr>
          <w:p w14:paraId="07AEEDF9">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Section / Topic</w:t>
            </w:r>
          </w:p>
          <w:p w14:paraId="0F5F40E3">
            <w:pPr>
              <w:spacing w:line="240" w:lineRule="auto"/>
              <w:rPr>
                <w:rFonts w:ascii="Calibri" w:hAnsi="Calibri" w:eastAsia="Calibri" w:cs="Calibri"/>
                <w:b/>
                <w:color w:val="000000"/>
                <w:sz w:val="22"/>
                <w:szCs w:val="22"/>
                <w:lang w:val="en-GB"/>
              </w:rPr>
            </w:pPr>
          </w:p>
        </w:tc>
        <w:tc>
          <w:tcPr>
            <w:tcW w:w="992" w:type="dxa"/>
            <w:shd w:val="clear" w:color="auto" w:fill="BFBFBF"/>
          </w:tcPr>
          <w:p w14:paraId="5449031B">
            <w:pPr>
              <w:spacing w:line="240" w:lineRule="auto"/>
              <w:jc w:val="cente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No</w:t>
            </w:r>
          </w:p>
        </w:tc>
        <w:tc>
          <w:tcPr>
            <w:tcW w:w="9356" w:type="dxa"/>
            <w:shd w:val="clear" w:color="auto" w:fill="BEBEBE" w:themeFill="background1" w:themeFillShade="BF"/>
          </w:tcPr>
          <w:p w14:paraId="1008F6F5">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CONSORT 2025 checklist item description</w:t>
            </w:r>
          </w:p>
        </w:tc>
        <w:tc>
          <w:tcPr>
            <w:tcW w:w="1417" w:type="dxa"/>
            <w:shd w:val="clear" w:color="auto" w:fill="BEBEBE" w:themeFill="background1" w:themeFillShade="BF"/>
          </w:tcPr>
          <w:p w14:paraId="6927BCB3">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Reported on page no.</w:t>
            </w:r>
          </w:p>
        </w:tc>
      </w:tr>
      <w:tr w14:paraId="35E60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12895" w:type="dxa"/>
            <w:gridSpan w:val="3"/>
            <w:shd w:val="clear" w:color="auto" w:fill="C6D9F0" w:themeFill="text2" w:themeFillTint="33"/>
          </w:tcPr>
          <w:p w14:paraId="105C098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Title and abstract</w:t>
            </w:r>
          </w:p>
        </w:tc>
        <w:tc>
          <w:tcPr>
            <w:tcW w:w="1417" w:type="dxa"/>
            <w:shd w:val="clear" w:color="auto" w:fill="C6D9F0" w:themeFill="text2" w:themeFillTint="33"/>
          </w:tcPr>
          <w:p w14:paraId="0AC158EA">
            <w:pPr>
              <w:spacing w:line="240" w:lineRule="auto"/>
              <w:rPr>
                <w:rFonts w:ascii="Calibri" w:hAnsi="Calibri" w:eastAsia="Calibri" w:cs="Calibri"/>
                <w:b/>
                <w:color w:val="000000"/>
                <w:sz w:val="22"/>
                <w:szCs w:val="22"/>
                <w:lang w:val="en-GB"/>
              </w:rPr>
            </w:pPr>
          </w:p>
        </w:tc>
      </w:tr>
      <w:tr w14:paraId="10FCC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tcPr>
          <w:p w14:paraId="55516C2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Title and structured abstract</w:t>
            </w:r>
          </w:p>
        </w:tc>
        <w:tc>
          <w:tcPr>
            <w:tcW w:w="992" w:type="dxa"/>
          </w:tcPr>
          <w:p w14:paraId="2FAFE5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1a</w:t>
            </w:r>
          </w:p>
        </w:tc>
        <w:tc>
          <w:tcPr>
            <w:tcW w:w="9356" w:type="dxa"/>
          </w:tcPr>
          <w:p w14:paraId="0A0F8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Identification as a randomised trial </w:t>
            </w:r>
          </w:p>
        </w:tc>
        <w:tc>
          <w:tcPr>
            <w:tcW w:w="1417" w:type="dxa"/>
          </w:tcPr>
          <w:p w14:paraId="682CEBAD">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w:t>
            </w:r>
          </w:p>
        </w:tc>
      </w:tr>
      <w:tr w14:paraId="29622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8" w:hRule="atLeast"/>
        </w:trPr>
        <w:tc>
          <w:tcPr>
            <w:tcW w:w="2547" w:type="dxa"/>
            <w:vMerge w:val="continue"/>
          </w:tcPr>
          <w:p w14:paraId="4CFF8030">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0E58D9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1b</w:t>
            </w:r>
          </w:p>
        </w:tc>
        <w:tc>
          <w:tcPr>
            <w:tcW w:w="9356" w:type="dxa"/>
          </w:tcPr>
          <w:p w14:paraId="0176107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Structured summary of the trial design, methods, results, and conclusions</w:t>
            </w:r>
          </w:p>
        </w:tc>
        <w:tc>
          <w:tcPr>
            <w:tcW w:w="1417" w:type="dxa"/>
          </w:tcPr>
          <w:p w14:paraId="078952E4">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w:t>
            </w:r>
          </w:p>
        </w:tc>
      </w:tr>
      <w:tr w14:paraId="3A57C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353B2DC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Open science</w:t>
            </w:r>
          </w:p>
        </w:tc>
        <w:tc>
          <w:tcPr>
            <w:tcW w:w="1417" w:type="dxa"/>
            <w:shd w:val="clear" w:color="auto" w:fill="C6D9F0" w:themeFill="text2" w:themeFillTint="33"/>
          </w:tcPr>
          <w:p w14:paraId="6C7112DB">
            <w:pPr>
              <w:spacing w:line="240" w:lineRule="auto"/>
              <w:rPr>
                <w:rFonts w:ascii="Calibri" w:hAnsi="Calibri" w:eastAsia="Calibri" w:cs="Calibri"/>
                <w:b/>
                <w:color w:val="000000"/>
                <w:sz w:val="22"/>
                <w:szCs w:val="22"/>
                <w:lang w:val="en-GB"/>
              </w:rPr>
            </w:pPr>
          </w:p>
        </w:tc>
      </w:tr>
      <w:tr w14:paraId="6325B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559029C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registration</w:t>
            </w:r>
          </w:p>
        </w:tc>
        <w:tc>
          <w:tcPr>
            <w:tcW w:w="992" w:type="dxa"/>
          </w:tcPr>
          <w:p w14:paraId="169EB1A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w:t>
            </w:r>
          </w:p>
        </w:tc>
        <w:tc>
          <w:tcPr>
            <w:tcW w:w="9356" w:type="dxa"/>
          </w:tcPr>
          <w:p w14:paraId="6110F8C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Name of trial registry, identifying number (with URL) and date of registration</w:t>
            </w:r>
          </w:p>
        </w:tc>
        <w:tc>
          <w:tcPr>
            <w:tcW w:w="1417" w:type="dxa"/>
          </w:tcPr>
          <w:p w14:paraId="5384896B">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14:paraId="5732C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3979146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Protocol and statistical analysis plan</w:t>
            </w:r>
          </w:p>
        </w:tc>
        <w:tc>
          <w:tcPr>
            <w:tcW w:w="992" w:type="dxa"/>
          </w:tcPr>
          <w:p w14:paraId="7510EBB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w:t>
            </w:r>
          </w:p>
        </w:tc>
        <w:tc>
          <w:tcPr>
            <w:tcW w:w="9356" w:type="dxa"/>
          </w:tcPr>
          <w:p w14:paraId="2530AB9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the trial protocol and statistical analysis plan can be accessed</w:t>
            </w:r>
          </w:p>
        </w:tc>
        <w:tc>
          <w:tcPr>
            <w:tcW w:w="1417" w:type="dxa"/>
          </w:tcPr>
          <w:p w14:paraId="628ED577">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20</w:t>
            </w:r>
          </w:p>
        </w:tc>
      </w:tr>
      <w:tr w14:paraId="5457C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522B7D7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Data sharing</w:t>
            </w:r>
          </w:p>
        </w:tc>
        <w:tc>
          <w:tcPr>
            <w:tcW w:w="992" w:type="dxa"/>
          </w:tcPr>
          <w:p w14:paraId="697875C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4</w:t>
            </w:r>
          </w:p>
        </w:tc>
        <w:tc>
          <w:tcPr>
            <w:tcW w:w="9356" w:type="dxa"/>
          </w:tcPr>
          <w:p w14:paraId="4D4B145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20</w:t>
            </w:r>
          </w:p>
        </w:tc>
      </w:tr>
      <w:tr w14:paraId="53FD3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restart"/>
          </w:tcPr>
          <w:p w14:paraId="47802CC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Funding and conflicts of interest</w:t>
            </w:r>
          </w:p>
        </w:tc>
        <w:tc>
          <w:tcPr>
            <w:tcW w:w="992" w:type="dxa"/>
          </w:tcPr>
          <w:p w14:paraId="1B41FA2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5a</w:t>
            </w:r>
          </w:p>
        </w:tc>
        <w:tc>
          <w:tcPr>
            <w:tcW w:w="9356" w:type="dxa"/>
          </w:tcPr>
          <w:p w14:paraId="4D265E5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20</w:t>
            </w:r>
          </w:p>
        </w:tc>
      </w:tr>
      <w:tr w14:paraId="0D642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continue"/>
          </w:tcPr>
          <w:p w14:paraId="33AB9D71">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59C3C9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5b</w:t>
            </w:r>
          </w:p>
        </w:tc>
        <w:tc>
          <w:tcPr>
            <w:tcW w:w="9356" w:type="dxa"/>
          </w:tcPr>
          <w:p w14:paraId="471BB7B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Financial and other conflicts of interest of the manuscript authors</w:t>
            </w:r>
          </w:p>
        </w:tc>
        <w:tc>
          <w:tcPr>
            <w:tcW w:w="1417" w:type="dxa"/>
          </w:tcPr>
          <w:p w14:paraId="2C85AC6B">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21</w:t>
            </w:r>
          </w:p>
        </w:tc>
      </w:tr>
      <w:tr w14:paraId="6808D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571BFEBF">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Introduction</w:t>
            </w:r>
          </w:p>
        </w:tc>
        <w:tc>
          <w:tcPr>
            <w:tcW w:w="1417" w:type="dxa"/>
            <w:shd w:val="clear" w:color="auto" w:fill="C6D9F0" w:themeFill="text2" w:themeFillTint="33"/>
          </w:tcPr>
          <w:p w14:paraId="32FD8D83">
            <w:pPr>
              <w:spacing w:line="240" w:lineRule="auto"/>
              <w:rPr>
                <w:rFonts w:ascii="Calibri" w:hAnsi="Calibri" w:eastAsia="Calibri" w:cs="Calibri"/>
                <w:b/>
                <w:color w:val="000000"/>
                <w:sz w:val="22"/>
                <w:szCs w:val="22"/>
                <w:lang w:val="en-GB"/>
              </w:rPr>
            </w:pPr>
          </w:p>
        </w:tc>
      </w:tr>
      <w:tr w14:paraId="37A36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1" w:hRule="atLeast"/>
        </w:trPr>
        <w:tc>
          <w:tcPr>
            <w:tcW w:w="2547" w:type="dxa"/>
            <w:tcBorders>
              <w:bottom w:val="single" w:color="000000" w:sz="4" w:space="0"/>
            </w:tcBorders>
          </w:tcPr>
          <w:p w14:paraId="36CFF56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Background and rationale</w:t>
            </w:r>
          </w:p>
        </w:tc>
        <w:tc>
          <w:tcPr>
            <w:tcW w:w="992" w:type="dxa"/>
            <w:tcBorders>
              <w:bottom w:val="single" w:color="000000" w:sz="4" w:space="0"/>
            </w:tcBorders>
          </w:tcPr>
          <w:p w14:paraId="630536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6</w:t>
            </w:r>
          </w:p>
        </w:tc>
        <w:tc>
          <w:tcPr>
            <w:tcW w:w="9356" w:type="dxa"/>
          </w:tcPr>
          <w:p w14:paraId="5A09739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Scientific background and rationale</w:t>
            </w:r>
          </w:p>
        </w:tc>
        <w:tc>
          <w:tcPr>
            <w:tcW w:w="1417" w:type="dxa"/>
          </w:tcPr>
          <w:p w14:paraId="3333AA56">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w:t>
            </w:r>
          </w:p>
        </w:tc>
      </w:tr>
      <w:tr w14:paraId="55C5B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Align w:val="center"/>
          </w:tcPr>
          <w:p w14:paraId="12B554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Objectives</w:t>
            </w:r>
          </w:p>
        </w:tc>
        <w:tc>
          <w:tcPr>
            <w:tcW w:w="992" w:type="dxa"/>
          </w:tcPr>
          <w:p w14:paraId="517F8E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7</w:t>
            </w:r>
          </w:p>
        </w:tc>
        <w:tc>
          <w:tcPr>
            <w:tcW w:w="9356" w:type="dxa"/>
          </w:tcPr>
          <w:p w14:paraId="2591646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Specific objectives related to benefits and harms</w:t>
            </w:r>
          </w:p>
        </w:tc>
        <w:tc>
          <w:tcPr>
            <w:tcW w:w="1417" w:type="dxa"/>
          </w:tcPr>
          <w:p w14:paraId="70B2DB04">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14:paraId="1B31C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1C08DDCD">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Methods</w:t>
            </w:r>
          </w:p>
        </w:tc>
        <w:tc>
          <w:tcPr>
            <w:tcW w:w="1417" w:type="dxa"/>
            <w:shd w:val="clear" w:color="auto" w:fill="C6D9F0" w:themeFill="text2" w:themeFillTint="33"/>
          </w:tcPr>
          <w:p w14:paraId="61DDDBB5">
            <w:pPr>
              <w:spacing w:line="240" w:lineRule="auto"/>
              <w:rPr>
                <w:rFonts w:ascii="Calibri" w:hAnsi="Calibri" w:eastAsia="Calibri" w:cs="Calibri"/>
                <w:b/>
                <w:color w:val="000000"/>
                <w:sz w:val="22"/>
                <w:szCs w:val="22"/>
                <w:lang w:val="en-GB"/>
              </w:rPr>
            </w:pPr>
          </w:p>
        </w:tc>
      </w:tr>
      <w:tr w14:paraId="05C5A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14:paraId="6102716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Patient and public involvement</w:t>
            </w:r>
          </w:p>
        </w:tc>
        <w:tc>
          <w:tcPr>
            <w:tcW w:w="992" w:type="dxa"/>
          </w:tcPr>
          <w:p w14:paraId="35C4EF4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8</w:t>
            </w:r>
          </w:p>
        </w:tc>
        <w:tc>
          <w:tcPr>
            <w:tcW w:w="9356" w:type="dxa"/>
          </w:tcPr>
          <w:p w14:paraId="5F1D655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Details of patient or public involvement in the design, conduct and reporting of the trial</w:t>
            </w:r>
          </w:p>
        </w:tc>
        <w:tc>
          <w:tcPr>
            <w:tcW w:w="1417" w:type="dxa"/>
          </w:tcPr>
          <w:p w14:paraId="736CE81D">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w:t>
            </w:r>
          </w:p>
        </w:tc>
      </w:tr>
      <w:tr w14:paraId="1118C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14:paraId="0B3B044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design</w:t>
            </w:r>
          </w:p>
        </w:tc>
        <w:tc>
          <w:tcPr>
            <w:tcW w:w="992" w:type="dxa"/>
          </w:tcPr>
          <w:p w14:paraId="72205B9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9</w:t>
            </w:r>
          </w:p>
        </w:tc>
        <w:tc>
          <w:tcPr>
            <w:tcW w:w="9356" w:type="dxa"/>
          </w:tcPr>
          <w:p w14:paraId="5E662EA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w:t>
            </w:r>
          </w:p>
        </w:tc>
      </w:tr>
      <w:tr w14:paraId="3B0F7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14" w:hRule="atLeast"/>
        </w:trPr>
        <w:tc>
          <w:tcPr>
            <w:tcW w:w="2547" w:type="dxa"/>
          </w:tcPr>
          <w:p w14:paraId="7D9C827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Changes to trial protocol</w:t>
            </w:r>
          </w:p>
        </w:tc>
        <w:tc>
          <w:tcPr>
            <w:tcW w:w="992" w:type="dxa"/>
          </w:tcPr>
          <w:p w14:paraId="784655B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10</w:t>
            </w:r>
          </w:p>
        </w:tc>
        <w:tc>
          <w:tcPr>
            <w:tcW w:w="9356" w:type="dxa"/>
          </w:tcPr>
          <w:p w14:paraId="3D532DC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Important changes to the trial after it commenced including any outcomes or analyses that were not prespecified, with reason</w:t>
            </w:r>
          </w:p>
        </w:tc>
        <w:tc>
          <w:tcPr>
            <w:tcW w:w="1417" w:type="dxa"/>
          </w:tcPr>
          <w:p w14:paraId="58F0C5A6">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w:t>
            </w:r>
          </w:p>
        </w:tc>
      </w:tr>
      <w:tr w14:paraId="18EEE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tcPr>
          <w:p w14:paraId="5BFE6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setting</w:t>
            </w:r>
          </w:p>
        </w:tc>
        <w:tc>
          <w:tcPr>
            <w:tcW w:w="992" w:type="dxa"/>
          </w:tcPr>
          <w:p w14:paraId="4A046B8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11</w:t>
            </w:r>
          </w:p>
        </w:tc>
        <w:tc>
          <w:tcPr>
            <w:tcW w:w="9356" w:type="dxa"/>
          </w:tcPr>
          <w:p w14:paraId="269E109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Settings (e.g., community, hospital) and locations (e.g., countries, sites) where the trial was conducted</w:t>
            </w:r>
          </w:p>
        </w:tc>
        <w:tc>
          <w:tcPr>
            <w:tcW w:w="1417" w:type="dxa"/>
          </w:tcPr>
          <w:p w14:paraId="266DD31E">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14:paraId="134AC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vAlign w:val="center"/>
          </w:tcPr>
          <w:p w14:paraId="1FDD4F7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w:t>
            </w:r>
          </w:p>
        </w:tc>
        <w:tc>
          <w:tcPr>
            <w:tcW w:w="992" w:type="dxa"/>
          </w:tcPr>
          <w:p w14:paraId="083D8C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12a</w:t>
            </w:r>
          </w:p>
        </w:tc>
        <w:tc>
          <w:tcPr>
            <w:tcW w:w="9356" w:type="dxa"/>
          </w:tcPr>
          <w:p w14:paraId="3C4A8E8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 for participants</w:t>
            </w:r>
          </w:p>
        </w:tc>
        <w:tc>
          <w:tcPr>
            <w:tcW w:w="1417" w:type="dxa"/>
          </w:tcPr>
          <w:p w14:paraId="3128EB9A">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3-4</w:t>
            </w:r>
          </w:p>
        </w:tc>
      </w:tr>
      <w:tr w14:paraId="2E198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vAlign w:val="center"/>
          </w:tcPr>
          <w:p w14:paraId="37DCF479">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329BA2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12b</w:t>
            </w:r>
          </w:p>
        </w:tc>
        <w:tc>
          <w:tcPr>
            <w:tcW w:w="9356" w:type="dxa"/>
          </w:tcPr>
          <w:p w14:paraId="17B5A22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applicable, eligibility criteria for sites and for individuals delivering the interventions (e.g., surgeons, physiotherapists)</w:t>
            </w:r>
          </w:p>
        </w:tc>
        <w:tc>
          <w:tcPr>
            <w:tcW w:w="1417" w:type="dxa"/>
          </w:tcPr>
          <w:p w14:paraId="6D568B99">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6</w:t>
            </w:r>
          </w:p>
        </w:tc>
      </w:tr>
      <w:tr w14:paraId="72C26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63" w:hRule="atLeast"/>
        </w:trPr>
        <w:tc>
          <w:tcPr>
            <w:tcW w:w="2547" w:type="dxa"/>
          </w:tcPr>
          <w:p w14:paraId="23EE01E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w:t>
            </w:r>
          </w:p>
        </w:tc>
        <w:tc>
          <w:tcPr>
            <w:tcW w:w="992" w:type="dxa"/>
          </w:tcPr>
          <w:p w14:paraId="7CCB218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13</w:t>
            </w:r>
          </w:p>
        </w:tc>
        <w:tc>
          <w:tcPr>
            <w:tcW w:w="9356" w:type="dxa"/>
          </w:tcPr>
          <w:p w14:paraId="17D21D8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with sufficient details to allow replication. If relevant, where additional materials describing the intervention and comparator (e.g., intervention manual) can be accessed</w:t>
            </w:r>
          </w:p>
        </w:tc>
        <w:tc>
          <w:tcPr>
            <w:tcW w:w="1417" w:type="dxa"/>
          </w:tcPr>
          <w:p w14:paraId="3D06E337">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5-6</w:t>
            </w:r>
          </w:p>
        </w:tc>
      </w:tr>
      <w:tr w14:paraId="2D3DE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614" w:hRule="atLeast"/>
        </w:trPr>
        <w:tc>
          <w:tcPr>
            <w:tcW w:w="2547" w:type="dxa"/>
          </w:tcPr>
          <w:p w14:paraId="273E4E1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w:t>
            </w:r>
          </w:p>
        </w:tc>
        <w:tc>
          <w:tcPr>
            <w:tcW w:w="992" w:type="dxa"/>
          </w:tcPr>
          <w:p w14:paraId="1C47886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14</w:t>
            </w:r>
          </w:p>
          <w:p w14:paraId="7F479C8B">
            <w:pPr>
              <w:spacing w:line="240" w:lineRule="auto"/>
              <w:jc w:val="center"/>
              <w:rPr>
                <w:rFonts w:ascii="Calibri" w:hAnsi="Calibri" w:eastAsia="Calibri" w:cs="Calibri"/>
                <w:color w:val="000000"/>
                <w:sz w:val="22"/>
                <w:szCs w:val="22"/>
                <w:lang w:val="en-GB"/>
              </w:rPr>
            </w:pPr>
          </w:p>
        </w:tc>
        <w:tc>
          <w:tcPr>
            <w:tcW w:w="9356" w:type="dxa"/>
          </w:tcPr>
          <w:p w14:paraId="794D803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7</w:t>
            </w:r>
          </w:p>
        </w:tc>
      </w:tr>
      <w:tr w14:paraId="58D12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339" w:hRule="atLeast"/>
        </w:trPr>
        <w:tc>
          <w:tcPr>
            <w:tcW w:w="2547" w:type="dxa"/>
          </w:tcPr>
          <w:p w14:paraId="3A9C250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1344FF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15</w:t>
            </w:r>
          </w:p>
        </w:tc>
        <w:tc>
          <w:tcPr>
            <w:tcW w:w="9356" w:type="dxa"/>
          </w:tcPr>
          <w:p w14:paraId="591013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harms were defined and assessed (e.g., systematically, non-systematically)</w:t>
            </w:r>
          </w:p>
        </w:tc>
        <w:tc>
          <w:tcPr>
            <w:tcW w:w="1417" w:type="dxa"/>
          </w:tcPr>
          <w:p w14:paraId="5D66BF02">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7</w:t>
            </w:r>
          </w:p>
        </w:tc>
      </w:tr>
      <w:tr w14:paraId="62973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restart"/>
          </w:tcPr>
          <w:p w14:paraId="6A7FA31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Sample size</w:t>
            </w:r>
          </w:p>
        </w:tc>
        <w:tc>
          <w:tcPr>
            <w:tcW w:w="992" w:type="dxa"/>
          </w:tcPr>
          <w:p w14:paraId="3D9FEE9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16a</w:t>
            </w:r>
          </w:p>
        </w:tc>
        <w:tc>
          <w:tcPr>
            <w:tcW w:w="9356" w:type="dxa"/>
          </w:tcPr>
          <w:p w14:paraId="3B91C74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sample size was determined, including all assumptions supporting the sample size calculation</w:t>
            </w:r>
          </w:p>
        </w:tc>
        <w:tc>
          <w:tcPr>
            <w:tcW w:w="1417" w:type="dxa"/>
          </w:tcPr>
          <w:p w14:paraId="180AD325">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7</w:t>
            </w:r>
          </w:p>
        </w:tc>
      </w:tr>
      <w:tr w14:paraId="36560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continue"/>
          </w:tcPr>
          <w:p w14:paraId="5EE3997D">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5C8443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16b</w:t>
            </w:r>
          </w:p>
        </w:tc>
        <w:tc>
          <w:tcPr>
            <w:tcW w:w="9356" w:type="dxa"/>
          </w:tcPr>
          <w:p w14:paraId="5929DED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Explanation of any interim analyses and stopping guidelines</w:t>
            </w:r>
          </w:p>
        </w:tc>
        <w:tc>
          <w:tcPr>
            <w:tcW w:w="1417" w:type="dxa"/>
          </w:tcPr>
          <w:p w14:paraId="74EBB045">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w:t>
            </w:r>
          </w:p>
        </w:tc>
      </w:tr>
      <w:tr w14:paraId="7CF31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tcPr>
          <w:p w14:paraId="1D2AE3F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Randomisation:</w:t>
            </w:r>
          </w:p>
        </w:tc>
        <w:tc>
          <w:tcPr>
            <w:tcW w:w="992" w:type="dxa"/>
          </w:tcPr>
          <w:p w14:paraId="11796DC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9356" w:type="dxa"/>
          </w:tcPr>
          <w:p w14:paraId="7A75315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1417" w:type="dxa"/>
          </w:tcPr>
          <w:p w14:paraId="036862A2">
            <w:pPr>
              <w:spacing w:line="240" w:lineRule="auto"/>
              <w:rPr>
                <w:rFonts w:ascii="Calibri" w:hAnsi="Calibri" w:eastAsia="Calibri" w:cs="Calibri"/>
                <w:color w:val="000000"/>
                <w:sz w:val="22"/>
                <w:szCs w:val="22"/>
                <w:lang w:val="en-GB"/>
              </w:rPr>
            </w:pPr>
          </w:p>
        </w:tc>
      </w:tr>
      <w:tr w14:paraId="4537F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6" w:hRule="atLeast"/>
        </w:trPr>
        <w:tc>
          <w:tcPr>
            <w:tcW w:w="2547" w:type="dxa"/>
            <w:vMerge w:val="restart"/>
          </w:tcPr>
          <w:p w14:paraId="15B2BB96">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Sequence generation</w:t>
            </w:r>
          </w:p>
        </w:tc>
        <w:tc>
          <w:tcPr>
            <w:tcW w:w="992" w:type="dxa"/>
          </w:tcPr>
          <w:p w14:paraId="04D32F8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17a</w:t>
            </w:r>
          </w:p>
        </w:tc>
        <w:tc>
          <w:tcPr>
            <w:tcW w:w="9356" w:type="dxa"/>
          </w:tcPr>
          <w:p w14:paraId="34D407B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Who generated the random allocation sequence and the method used</w:t>
            </w:r>
          </w:p>
        </w:tc>
        <w:tc>
          <w:tcPr>
            <w:tcW w:w="1417" w:type="dxa"/>
          </w:tcPr>
          <w:p w14:paraId="50468870">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w:t>
            </w:r>
          </w:p>
        </w:tc>
      </w:tr>
      <w:tr w14:paraId="14EC8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5" w:hRule="atLeast"/>
        </w:trPr>
        <w:tc>
          <w:tcPr>
            <w:tcW w:w="2547" w:type="dxa"/>
            <w:vMerge w:val="continue"/>
          </w:tcPr>
          <w:p w14:paraId="0F443E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482760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17b</w:t>
            </w:r>
          </w:p>
        </w:tc>
        <w:tc>
          <w:tcPr>
            <w:tcW w:w="9356" w:type="dxa"/>
          </w:tcPr>
          <w:p w14:paraId="29B4B76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Type of randomisation and details of any restriction (e.g., stratification, blocking and block size)</w:t>
            </w:r>
          </w:p>
        </w:tc>
        <w:tc>
          <w:tcPr>
            <w:tcW w:w="1417" w:type="dxa"/>
          </w:tcPr>
          <w:p w14:paraId="6BFED71E">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w:t>
            </w:r>
          </w:p>
        </w:tc>
      </w:tr>
      <w:tr w14:paraId="30B7C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44" w:hRule="atLeast"/>
        </w:trPr>
        <w:tc>
          <w:tcPr>
            <w:tcW w:w="2547" w:type="dxa"/>
          </w:tcPr>
          <w:p w14:paraId="50619AAE">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Allocation concealment mechanism</w:t>
            </w:r>
          </w:p>
        </w:tc>
        <w:tc>
          <w:tcPr>
            <w:tcW w:w="992" w:type="dxa"/>
          </w:tcPr>
          <w:p w14:paraId="4B77DA4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18</w:t>
            </w:r>
          </w:p>
        </w:tc>
        <w:tc>
          <w:tcPr>
            <w:tcW w:w="9356" w:type="dxa"/>
          </w:tcPr>
          <w:p w14:paraId="4FFCCFA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w:t>
            </w:r>
          </w:p>
        </w:tc>
      </w:tr>
      <w:tr w14:paraId="68535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58" w:hRule="atLeast"/>
        </w:trPr>
        <w:tc>
          <w:tcPr>
            <w:tcW w:w="2547" w:type="dxa"/>
          </w:tcPr>
          <w:p w14:paraId="1669B1E1">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Implementation</w:t>
            </w:r>
          </w:p>
        </w:tc>
        <w:tc>
          <w:tcPr>
            <w:tcW w:w="992" w:type="dxa"/>
          </w:tcPr>
          <w:p w14:paraId="6FD9CBB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19</w:t>
            </w:r>
          </w:p>
        </w:tc>
        <w:tc>
          <w:tcPr>
            <w:tcW w:w="9356" w:type="dxa"/>
          </w:tcPr>
          <w:p w14:paraId="1168460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4-5</w:t>
            </w:r>
          </w:p>
        </w:tc>
      </w:tr>
      <w:tr w14:paraId="14AA8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1" w:hRule="atLeast"/>
        </w:trPr>
        <w:tc>
          <w:tcPr>
            <w:tcW w:w="2547" w:type="dxa"/>
            <w:vMerge w:val="restart"/>
          </w:tcPr>
          <w:p w14:paraId="6035012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Blinding</w:t>
            </w:r>
          </w:p>
        </w:tc>
        <w:tc>
          <w:tcPr>
            <w:tcW w:w="992" w:type="dxa"/>
          </w:tcPr>
          <w:p w14:paraId="6C79645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20a</w:t>
            </w:r>
          </w:p>
        </w:tc>
        <w:tc>
          <w:tcPr>
            <w:tcW w:w="9356" w:type="dxa"/>
          </w:tcPr>
          <w:p w14:paraId="080A780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4-5</w:t>
            </w:r>
          </w:p>
        </w:tc>
      </w:tr>
      <w:tr w14:paraId="19571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4" w:hRule="atLeast"/>
        </w:trPr>
        <w:tc>
          <w:tcPr>
            <w:tcW w:w="2547" w:type="dxa"/>
            <w:vMerge w:val="continue"/>
          </w:tcPr>
          <w:p w14:paraId="6DDD68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6207EAC2">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20b</w:t>
            </w:r>
          </w:p>
        </w:tc>
        <w:tc>
          <w:tcPr>
            <w:tcW w:w="9356" w:type="dxa"/>
          </w:tcPr>
          <w:p w14:paraId="64C5F50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blinded, how blinding was achieved and description of the similarity of interventions</w:t>
            </w:r>
          </w:p>
        </w:tc>
        <w:tc>
          <w:tcPr>
            <w:tcW w:w="1417" w:type="dxa"/>
          </w:tcPr>
          <w:p w14:paraId="795AB5B0">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4-5</w:t>
            </w:r>
          </w:p>
        </w:tc>
      </w:tr>
      <w:tr w14:paraId="039E9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restart"/>
          </w:tcPr>
          <w:p w14:paraId="3E5EB1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w:t>
            </w:r>
          </w:p>
        </w:tc>
        <w:tc>
          <w:tcPr>
            <w:tcW w:w="992" w:type="dxa"/>
          </w:tcPr>
          <w:p w14:paraId="51D15D6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21a</w:t>
            </w:r>
          </w:p>
        </w:tc>
        <w:tc>
          <w:tcPr>
            <w:tcW w:w="9356" w:type="dxa"/>
          </w:tcPr>
          <w:p w14:paraId="67FA2D0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 used to compare groups for primary and secondary outcomes, including harms</w:t>
            </w:r>
          </w:p>
        </w:tc>
        <w:tc>
          <w:tcPr>
            <w:tcW w:w="1417" w:type="dxa"/>
          </w:tcPr>
          <w:p w14:paraId="1C79083E">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7-8</w:t>
            </w:r>
          </w:p>
        </w:tc>
      </w:tr>
      <w:tr w14:paraId="06CA6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14:paraId="7629AC0E">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37BA842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21b</w:t>
            </w:r>
          </w:p>
        </w:tc>
        <w:tc>
          <w:tcPr>
            <w:tcW w:w="9356" w:type="dxa"/>
          </w:tcPr>
          <w:p w14:paraId="096BC75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Definition of who is included in each analysis (e.g., all randomised participants), and in which group</w:t>
            </w:r>
          </w:p>
        </w:tc>
        <w:tc>
          <w:tcPr>
            <w:tcW w:w="1417" w:type="dxa"/>
          </w:tcPr>
          <w:p w14:paraId="6622E359">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7</w:t>
            </w:r>
          </w:p>
        </w:tc>
      </w:tr>
      <w:tr w14:paraId="35065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14:paraId="1EBB0B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8B0EF0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21c</w:t>
            </w:r>
          </w:p>
        </w:tc>
        <w:tc>
          <w:tcPr>
            <w:tcW w:w="9356" w:type="dxa"/>
          </w:tcPr>
          <w:p w14:paraId="06CE57A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missing data were handled in the analysis</w:t>
            </w:r>
          </w:p>
        </w:tc>
        <w:tc>
          <w:tcPr>
            <w:tcW w:w="1417" w:type="dxa"/>
          </w:tcPr>
          <w:p w14:paraId="295B5602">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7</w:t>
            </w:r>
          </w:p>
        </w:tc>
      </w:tr>
      <w:tr w14:paraId="1498B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7" w:hRule="atLeast"/>
        </w:trPr>
        <w:tc>
          <w:tcPr>
            <w:tcW w:w="2547" w:type="dxa"/>
            <w:vMerge w:val="continue"/>
          </w:tcPr>
          <w:p w14:paraId="507413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1018E21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21d</w:t>
            </w:r>
          </w:p>
        </w:tc>
        <w:tc>
          <w:tcPr>
            <w:tcW w:w="9356" w:type="dxa"/>
          </w:tcPr>
          <w:p w14:paraId="25A70C8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for any additional analyses (e.g., subgroup and sensitivity analyses), distinguishing prespecified from post-hoc</w:t>
            </w:r>
          </w:p>
        </w:tc>
        <w:tc>
          <w:tcPr>
            <w:tcW w:w="1417" w:type="dxa"/>
          </w:tcPr>
          <w:p w14:paraId="710D1F83">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w:t>
            </w:r>
          </w:p>
        </w:tc>
      </w:tr>
      <w:tr w14:paraId="3F41C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vAlign w:val="bottom"/>
          </w:tcPr>
          <w:p w14:paraId="42D9F967">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Results</w:t>
            </w:r>
          </w:p>
        </w:tc>
        <w:tc>
          <w:tcPr>
            <w:tcW w:w="1417" w:type="dxa"/>
            <w:shd w:val="clear" w:color="auto" w:fill="C6D9F0" w:themeFill="text2" w:themeFillTint="33"/>
          </w:tcPr>
          <w:p w14:paraId="6166F990">
            <w:pPr>
              <w:spacing w:line="240" w:lineRule="auto"/>
              <w:rPr>
                <w:rFonts w:ascii="Calibri" w:hAnsi="Calibri" w:eastAsia="Calibri" w:cs="Calibri"/>
                <w:b/>
                <w:color w:val="000000"/>
                <w:sz w:val="22"/>
                <w:szCs w:val="22"/>
                <w:lang w:val="en-GB"/>
              </w:rPr>
            </w:pPr>
          </w:p>
        </w:tc>
      </w:tr>
      <w:tr w14:paraId="510F8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09" w:hRule="atLeast"/>
        </w:trPr>
        <w:tc>
          <w:tcPr>
            <w:tcW w:w="2547" w:type="dxa"/>
            <w:vMerge w:val="restart"/>
          </w:tcPr>
          <w:p w14:paraId="5A5782B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Participant flow, including flow diagram</w:t>
            </w:r>
          </w:p>
        </w:tc>
        <w:tc>
          <w:tcPr>
            <w:tcW w:w="992" w:type="dxa"/>
          </w:tcPr>
          <w:p w14:paraId="6A3D7D9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22a</w:t>
            </w:r>
          </w:p>
        </w:tc>
        <w:tc>
          <w:tcPr>
            <w:tcW w:w="9356" w:type="dxa"/>
          </w:tcPr>
          <w:p w14:paraId="5407FA0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the numbers of participants who were randomly assigned, received intended intervention, and were analysed for the primary outcome</w:t>
            </w:r>
          </w:p>
        </w:tc>
        <w:tc>
          <w:tcPr>
            <w:tcW w:w="1417" w:type="dxa"/>
          </w:tcPr>
          <w:p w14:paraId="5DEF8ECA">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9</w:t>
            </w:r>
          </w:p>
        </w:tc>
      </w:tr>
      <w:tr w14:paraId="2FE65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189" w:hRule="atLeast"/>
        </w:trPr>
        <w:tc>
          <w:tcPr>
            <w:tcW w:w="2547" w:type="dxa"/>
            <w:vMerge w:val="continue"/>
          </w:tcPr>
          <w:p w14:paraId="5CE6010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7EC31A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22b</w:t>
            </w:r>
          </w:p>
        </w:tc>
        <w:tc>
          <w:tcPr>
            <w:tcW w:w="9356" w:type="dxa"/>
          </w:tcPr>
          <w:p w14:paraId="1DDC84F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losses and exclusions after randomisation, together with reasons</w:t>
            </w:r>
          </w:p>
        </w:tc>
        <w:tc>
          <w:tcPr>
            <w:tcW w:w="1417" w:type="dxa"/>
          </w:tcPr>
          <w:p w14:paraId="71AA61D4">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9</w:t>
            </w:r>
          </w:p>
        </w:tc>
      </w:tr>
      <w:tr w14:paraId="59CD0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1" w:hRule="atLeast"/>
        </w:trPr>
        <w:tc>
          <w:tcPr>
            <w:tcW w:w="2547" w:type="dxa"/>
            <w:vMerge w:val="restart"/>
          </w:tcPr>
          <w:p w14:paraId="333D728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Recruitment</w:t>
            </w:r>
          </w:p>
        </w:tc>
        <w:tc>
          <w:tcPr>
            <w:tcW w:w="992" w:type="dxa"/>
          </w:tcPr>
          <w:p w14:paraId="575F7DFB">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23a</w:t>
            </w:r>
          </w:p>
        </w:tc>
        <w:tc>
          <w:tcPr>
            <w:tcW w:w="9356" w:type="dxa"/>
          </w:tcPr>
          <w:p w14:paraId="0570F75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Dates defining the periods of recruitment and follow-up for outcomes of benefits and harms</w:t>
            </w:r>
          </w:p>
        </w:tc>
        <w:tc>
          <w:tcPr>
            <w:tcW w:w="1417" w:type="dxa"/>
          </w:tcPr>
          <w:p w14:paraId="0798090E">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14:paraId="09AF0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tcPr>
          <w:p w14:paraId="2ADD839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F0DBAC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23b</w:t>
            </w:r>
          </w:p>
        </w:tc>
        <w:tc>
          <w:tcPr>
            <w:tcW w:w="9356" w:type="dxa"/>
          </w:tcPr>
          <w:p w14:paraId="1CC3415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relevant, why the trial ended or was stopped</w:t>
            </w:r>
          </w:p>
        </w:tc>
        <w:tc>
          <w:tcPr>
            <w:tcW w:w="1417" w:type="dxa"/>
          </w:tcPr>
          <w:p w14:paraId="105B15A1">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w:t>
            </w:r>
          </w:p>
        </w:tc>
      </w:tr>
      <w:tr w14:paraId="6606A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41" w:hRule="atLeast"/>
        </w:trPr>
        <w:tc>
          <w:tcPr>
            <w:tcW w:w="2547" w:type="dxa"/>
            <w:vMerge w:val="restart"/>
          </w:tcPr>
          <w:p w14:paraId="1B3138D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delivery</w:t>
            </w:r>
          </w:p>
        </w:tc>
        <w:tc>
          <w:tcPr>
            <w:tcW w:w="992" w:type="dxa"/>
          </w:tcPr>
          <w:p w14:paraId="4A5F7AF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24a</w:t>
            </w:r>
          </w:p>
        </w:tc>
        <w:tc>
          <w:tcPr>
            <w:tcW w:w="9356" w:type="dxa"/>
          </w:tcPr>
          <w:p w14:paraId="4BFDE35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Intervention and comparator as they were actually administered (e.g., where appropriate, who delivered the intervention/comparator, how participants adhered, whether they were delivered as intended [fidelity]) </w:t>
            </w:r>
          </w:p>
        </w:tc>
        <w:tc>
          <w:tcPr>
            <w:tcW w:w="1417" w:type="dxa"/>
          </w:tcPr>
          <w:p w14:paraId="33641150">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w:t>
            </w:r>
          </w:p>
        </w:tc>
      </w:tr>
      <w:tr w14:paraId="03393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vMerge w:val="continue"/>
          </w:tcPr>
          <w:p w14:paraId="29860036">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14C2CFE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24b</w:t>
            </w:r>
          </w:p>
        </w:tc>
        <w:tc>
          <w:tcPr>
            <w:tcW w:w="9356" w:type="dxa"/>
          </w:tcPr>
          <w:p w14:paraId="10AE211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Concomitant care received during the trial for each group</w:t>
            </w:r>
          </w:p>
        </w:tc>
        <w:tc>
          <w:tcPr>
            <w:tcW w:w="1417" w:type="dxa"/>
          </w:tcPr>
          <w:p w14:paraId="0A4B9B49">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5-6</w:t>
            </w:r>
          </w:p>
        </w:tc>
      </w:tr>
      <w:tr w14:paraId="63F6D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tcPr>
          <w:p w14:paraId="4482000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Baseline data</w:t>
            </w:r>
          </w:p>
        </w:tc>
        <w:tc>
          <w:tcPr>
            <w:tcW w:w="992" w:type="dxa"/>
          </w:tcPr>
          <w:p w14:paraId="4A489CE9">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25</w:t>
            </w:r>
          </w:p>
        </w:tc>
        <w:tc>
          <w:tcPr>
            <w:tcW w:w="9356" w:type="dxa"/>
          </w:tcPr>
          <w:p w14:paraId="5EB86B3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 table showing baseline demographic and clinical characteristics for each group</w:t>
            </w:r>
          </w:p>
        </w:tc>
        <w:tc>
          <w:tcPr>
            <w:tcW w:w="1417" w:type="dxa"/>
          </w:tcPr>
          <w:p w14:paraId="01C9A6AC">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8-10</w:t>
            </w:r>
          </w:p>
        </w:tc>
      </w:tr>
      <w:tr w14:paraId="7EA4C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14:paraId="10F375E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Numbers analysed, </w:t>
            </w:r>
          </w:p>
          <w:p w14:paraId="66FE5FD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 and estimation</w:t>
            </w:r>
          </w:p>
        </w:tc>
        <w:tc>
          <w:tcPr>
            <w:tcW w:w="992" w:type="dxa"/>
          </w:tcPr>
          <w:p w14:paraId="47AF241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26</w:t>
            </w:r>
          </w:p>
        </w:tc>
        <w:tc>
          <w:tcPr>
            <w:tcW w:w="9356" w:type="dxa"/>
          </w:tcPr>
          <w:p w14:paraId="2508DC5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For each primary and secondary outcome, by group: </w:t>
            </w:r>
          </w:p>
          <w:p w14:paraId="5FFA398B">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the number of participants included in the analysis </w:t>
            </w:r>
          </w:p>
          <w:p w14:paraId="1D7E62F7">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the number of participants with available data at the outcome time point</w:t>
            </w:r>
          </w:p>
          <w:p w14:paraId="14A74C90">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result for each group, and the estimated effect size and its precision (such as 95% confidence interval) </w:t>
            </w:r>
          </w:p>
          <w:p w14:paraId="7130F7F1">
            <w:pPr>
              <w:numPr>
                <w:ilvl w:val="0"/>
                <w:numId w:val="1"/>
              </w:numPr>
              <w:spacing w:after="160" w:line="240" w:lineRule="auto"/>
              <w:rPr>
                <w:color w:val="000000"/>
                <w:sz w:val="22"/>
                <w:szCs w:val="22"/>
                <w:lang w:val="en-GB"/>
              </w:rPr>
            </w:pPr>
            <w:r>
              <w:rPr>
                <w:rFonts w:ascii="Calibri" w:hAnsi="Calibri" w:eastAsia="Calibri" w:cs="Calibri"/>
                <w:color w:val="000000"/>
                <w:sz w:val="22"/>
                <w:szCs w:val="22"/>
                <w:lang w:val="en-GB"/>
              </w:rPr>
              <w:t xml:space="preserve">for binary outcomes, presentation of both absolute and relative effect size </w:t>
            </w:r>
          </w:p>
        </w:tc>
        <w:tc>
          <w:tcPr>
            <w:tcW w:w="1417" w:type="dxa"/>
          </w:tcPr>
          <w:p w14:paraId="50DA64D5">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11-12</w:t>
            </w:r>
          </w:p>
        </w:tc>
      </w:tr>
      <w:tr w14:paraId="313A3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04" w:hRule="atLeast"/>
        </w:trPr>
        <w:tc>
          <w:tcPr>
            <w:tcW w:w="2547" w:type="dxa"/>
          </w:tcPr>
          <w:p w14:paraId="1316CD2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6CC8A50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27</w:t>
            </w:r>
          </w:p>
        </w:tc>
        <w:tc>
          <w:tcPr>
            <w:tcW w:w="9356" w:type="dxa"/>
          </w:tcPr>
          <w:p w14:paraId="687024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All harms or unintended events in each group </w:t>
            </w:r>
          </w:p>
        </w:tc>
        <w:tc>
          <w:tcPr>
            <w:tcW w:w="1417" w:type="dxa"/>
          </w:tcPr>
          <w:p w14:paraId="72B82CF4">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13</w:t>
            </w:r>
          </w:p>
        </w:tc>
      </w:tr>
      <w:tr w14:paraId="16C77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14:paraId="216037D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Ancillary analyses</w:t>
            </w:r>
          </w:p>
        </w:tc>
        <w:tc>
          <w:tcPr>
            <w:tcW w:w="992" w:type="dxa"/>
          </w:tcPr>
          <w:p w14:paraId="034AD55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28</w:t>
            </w:r>
          </w:p>
        </w:tc>
        <w:tc>
          <w:tcPr>
            <w:tcW w:w="9356" w:type="dxa"/>
          </w:tcPr>
          <w:p w14:paraId="68E7918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Any other analyses performed, including subgroup and sensitivity analyses, distinguishing pre-specified from post-hoc</w:t>
            </w:r>
          </w:p>
        </w:tc>
        <w:tc>
          <w:tcPr>
            <w:tcW w:w="1417" w:type="dxa"/>
          </w:tcPr>
          <w:p w14:paraId="3457C6CE">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13</w:t>
            </w:r>
          </w:p>
        </w:tc>
      </w:tr>
      <w:tr w14:paraId="17517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7D072CE0">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Discussion</w:t>
            </w:r>
          </w:p>
        </w:tc>
        <w:tc>
          <w:tcPr>
            <w:tcW w:w="1417" w:type="dxa"/>
            <w:shd w:val="clear" w:color="auto" w:fill="C6D9F0" w:themeFill="text2" w:themeFillTint="33"/>
          </w:tcPr>
          <w:p w14:paraId="13D65609">
            <w:pPr>
              <w:spacing w:line="240" w:lineRule="auto"/>
              <w:rPr>
                <w:rFonts w:ascii="Calibri" w:hAnsi="Calibri" w:eastAsia="Calibri" w:cs="Calibri"/>
                <w:b/>
                <w:color w:val="000000"/>
                <w:sz w:val="22"/>
                <w:szCs w:val="22"/>
                <w:lang w:val="en-GB"/>
              </w:rPr>
            </w:pPr>
          </w:p>
        </w:tc>
      </w:tr>
      <w:tr w14:paraId="56AC4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14:paraId="2BDFB8E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w:t>
            </w:r>
          </w:p>
        </w:tc>
        <w:tc>
          <w:tcPr>
            <w:tcW w:w="992" w:type="dxa"/>
          </w:tcPr>
          <w:p w14:paraId="40C527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29</w:t>
            </w:r>
          </w:p>
        </w:tc>
        <w:tc>
          <w:tcPr>
            <w:tcW w:w="9356" w:type="dxa"/>
          </w:tcPr>
          <w:p w14:paraId="6689FC9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 consistent with results, balancing benefits and harms, and considering other relevant evidence</w:t>
            </w:r>
          </w:p>
        </w:tc>
        <w:tc>
          <w:tcPr>
            <w:tcW w:w="1417" w:type="dxa"/>
          </w:tcPr>
          <w:p w14:paraId="028813E5">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15-19</w:t>
            </w:r>
          </w:p>
        </w:tc>
      </w:tr>
      <w:tr w14:paraId="29285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14:paraId="2A291D8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Limitations</w:t>
            </w:r>
          </w:p>
        </w:tc>
        <w:tc>
          <w:tcPr>
            <w:tcW w:w="992" w:type="dxa"/>
          </w:tcPr>
          <w:p w14:paraId="065DB4E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30</w:t>
            </w:r>
          </w:p>
        </w:tc>
        <w:tc>
          <w:tcPr>
            <w:tcW w:w="9356" w:type="dxa"/>
          </w:tcPr>
          <w:p w14:paraId="53F2EAD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limitations, addressing sources of potential bias, imprecision, generalisability, and, if relevant, multiplicity of analyses</w:t>
            </w:r>
          </w:p>
        </w:tc>
        <w:tc>
          <w:tcPr>
            <w:tcW w:w="1417" w:type="dxa"/>
          </w:tcPr>
          <w:p w14:paraId="16436A34">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19-20</w:t>
            </w:r>
          </w:p>
        </w:tc>
      </w:tr>
    </w:tbl>
    <w:p w14:paraId="306C2FFA">
      <w:pPr>
        <w:spacing w:line="240" w:lineRule="auto"/>
        <w:rPr>
          <w:rFonts w:ascii="Calibri" w:hAnsi="Calibri" w:cs="Calibri"/>
          <w:b/>
          <w:sz w:val="22"/>
          <w:szCs w:val="22"/>
          <w:lang w:val="en-GB"/>
        </w:rPr>
      </w:pPr>
    </w:p>
    <w:p w14:paraId="7222F6F7">
      <w:pPr>
        <w:pStyle w:val="39"/>
        <w:tabs>
          <w:tab w:val="left" w:pos="4830"/>
        </w:tabs>
        <w:spacing w:line="240" w:lineRule="auto"/>
        <w:rPr>
          <w:rFonts w:ascii="Calibri" w:hAnsi="Calibri" w:cs="Calibri"/>
          <w:sz w:val="20"/>
        </w:rPr>
      </w:pPr>
      <w:r>
        <w:rPr>
          <w:rFonts w:ascii="Calibri" w:hAnsi="Calibri" w:cs="Calibri"/>
          <w:sz w:val="20"/>
        </w:rPr>
        <w:t xml:space="preserve">*We strongly recommend reading this statement in conjunction with the CONSORT 2025 Explanation and Elaboration and/or the CONSORT 2025 Expanded Checklist for </w:t>
      </w:r>
      <w:bookmarkStart w:id="0" w:name="_GoBack"/>
      <w:bookmarkEnd w:id="0"/>
      <w:r>
        <w:rPr>
          <w:rFonts w:ascii="Calibri" w:hAnsi="Calibri" w:cs="Calibri"/>
          <w:sz w:val="20"/>
        </w:rPr>
        <w:t xml:space="preserve">important clarifications on all the items. We also recommend reading relevant CONSORT extensions. See </w:t>
      </w:r>
      <w:r>
        <w:fldChar w:fldCharType="begin"/>
      </w:r>
      <w:r>
        <w:instrText xml:space="preserve"> HYPERLINK "http://www.consort-spirit.org" </w:instrText>
      </w:r>
      <w:r>
        <w:fldChar w:fldCharType="separate"/>
      </w:r>
      <w:r>
        <w:rPr>
          <w:rStyle w:val="20"/>
          <w:rFonts w:ascii="Calibri" w:hAnsi="Calibri" w:cs="Calibri"/>
          <w:color w:val="0070C0"/>
          <w:sz w:val="20"/>
        </w:rPr>
        <w:t>www.consort-spirit.org</w:t>
      </w:r>
      <w:r>
        <w:rPr>
          <w:rStyle w:val="20"/>
          <w:rFonts w:ascii="Calibri" w:hAnsi="Calibri" w:cs="Calibri"/>
          <w:color w:val="0070C0"/>
          <w:sz w:val="20"/>
        </w:rPr>
        <w:fldChar w:fldCharType="end"/>
      </w:r>
      <w:r>
        <w:rPr>
          <w:rFonts w:ascii="Calibri" w:hAnsi="Calibri" w:cs="Calibri"/>
          <w:color w:val="0070C0"/>
          <w:sz w:val="20"/>
        </w:rPr>
        <w:t>.</w:t>
      </w:r>
    </w:p>
    <w:p w14:paraId="42695FFC">
      <w:pPr>
        <w:spacing w:line="240" w:lineRule="auto"/>
        <w:rPr>
          <w:rFonts w:ascii="Calibri" w:hAnsi="Calibri" w:cs="Calibri"/>
          <w:b/>
          <w:sz w:val="20"/>
          <w:szCs w:val="20"/>
          <w:lang w:val="en-GB"/>
        </w:rPr>
      </w:pPr>
    </w:p>
    <w:p w14:paraId="510D033D">
      <w:pPr>
        <w:pStyle w:val="39"/>
        <w:tabs>
          <w:tab w:val="left" w:pos="4830"/>
        </w:tabs>
        <w:spacing w:line="240" w:lineRule="auto"/>
        <w:rPr>
          <w:rFonts w:ascii="Calibri" w:hAnsi="Calibri" w:cs="Calibri"/>
          <w:sz w:val="20"/>
        </w:rPr>
      </w:pPr>
      <w:r>
        <w:rPr>
          <w:rFonts w:ascii="Calibri" w:hAnsi="Calibri" w:cs="Calibri"/>
          <w:sz w:val="20"/>
        </w:rPr>
        <w:t xml:space="preserve">Citation: Hopewell S, Chan AW, Collins GS, Hróbjartsson A, Moher D, Schulz KF, et al. CONSORT 2025 Statement: updated guideline for reporting randomised trials. BMJ. 2025; 388:e081123. </w:t>
      </w:r>
      <w:r>
        <w:fldChar w:fldCharType="begin"/>
      </w:r>
      <w:r>
        <w:instrText xml:space="preserve"> HYPERLINK "https://dx.doi.org/10.1136/bmj-2024-081123" </w:instrText>
      </w:r>
      <w:r>
        <w:fldChar w:fldCharType="separate"/>
      </w:r>
      <w:r>
        <w:rPr>
          <w:rStyle w:val="20"/>
          <w:rFonts w:ascii="Calibri" w:hAnsi="Calibri" w:cs="Calibri"/>
          <w:color w:val="0070C0"/>
          <w:sz w:val="20"/>
        </w:rPr>
        <w:t>https://dx.doi.org/10.1136/bmj-2024-081123</w:t>
      </w:r>
      <w:r>
        <w:rPr>
          <w:rStyle w:val="20"/>
          <w:rFonts w:ascii="Calibri" w:hAnsi="Calibri" w:cs="Calibri"/>
          <w:color w:val="0070C0"/>
          <w:sz w:val="20"/>
        </w:rPr>
        <w:fldChar w:fldCharType="end"/>
      </w:r>
      <w:r>
        <w:rPr>
          <w:rFonts w:ascii="Calibri" w:hAnsi="Calibri" w:cs="Calibri"/>
          <w:color w:val="0070C0"/>
          <w:sz w:val="20"/>
        </w:rPr>
        <w:t xml:space="preserve">. </w:t>
      </w:r>
    </w:p>
    <w:p w14:paraId="0B985716">
      <w:pPr>
        <w:pStyle w:val="39"/>
        <w:tabs>
          <w:tab w:val="left" w:pos="4830"/>
        </w:tabs>
        <w:spacing w:line="240" w:lineRule="auto"/>
        <w:rPr>
          <w:rFonts w:ascii="Calibri" w:hAnsi="Calibri" w:cs="Calibri"/>
          <w:sz w:val="20"/>
        </w:rPr>
      </w:pPr>
      <w:r>
        <w:rPr>
          <w:rFonts w:ascii="Calibri" w:hAnsi="Calibri" w:cs="Calibri"/>
          <w:sz w:val="20"/>
        </w:rPr>
        <w:br w:type="textWrapping"/>
      </w:r>
      <w:r>
        <w:rPr>
          <w:rFonts w:ascii="Calibri" w:hAnsi="Calibri" w:cs="Calibri"/>
          <w:sz w:val="20"/>
        </w:rPr>
        <w:t>© 2025 Hopewell et al. This is an Open Access article distributed under the terms of the Creative Commons Attribution License (</w:t>
      </w:r>
      <w:r>
        <w:fldChar w:fldCharType="begin"/>
      </w:r>
      <w:r>
        <w:instrText xml:space="preserve"> HYPERLINK "https://creativecommons.org/licenses/by/4.0/" </w:instrText>
      </w:r>
      <w:r>
        <w:fldChar w:fldCharType="separate"/>
      </w:r>
      <w:r>
        <w:rPr>
          <w:rStyle w:val="20"/>
          <w:rFonts w:ascii="Calibri" w:hAnsi="Calibri" w:cs="Calibri"/>
          <w:color w:val="0070C0"/>
          <w:sz w:val="20"/>
        </w:rPr>
        <w:t>https://creativecommons.org/licenses/by/4.0/</w:t>
      </w:r>
      <w:r>
        <w:rPr>
          <w:rStyle w:val="20"/>
          <w:rFonts w:ascii="Calibri" w:hAnsi="Calibri" w:cs="Calibri"/>
          <w:color w:val="0070C0"/>
          <w:sz w:val="20"/>
        </w:rPr>
        <w:fldChar w:fldCharType="end"/>
      </w:r>
      <w:r>
        <w:rPr>
          <w:rFonts w:ascii="Calibri" w:hAnsi="Calibri" w:cs="Calibri"/>
          <w:sz w:val="20"/>
        </w:rPr>
        <w:t>), which permits unrestricted use, distribution, and reproduction in any medium, provided the original work is properly cited.</w:t>
      </w:r>
    </w:p>
    <w:sectPr>
      <w:footerReference r:id="rId5" w:type="default"/>
      <w:pgSz w:w="16838" w:h="11906" w:orient="landscape"/>
      <w:pgMar w:top="1440" w:right="1440" w:bottom="1440" w:left="1440"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default"/>
    <w:sig w:usb0="E00006FF" w:usb1="420024FF" w:usb2="02000000" w:usb3="00000000" w:csb0="2000019F" w:csb1="00000000"/>
  </w:font>
  <w:font w:name="Noto Sans Symbols">
    <w:altName w:val="Calibri"/>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9078763"/>
      <w:docPartObj>
        <w:docPartGallery w:val="AutoText"/>
      </w:docPartObj>
    </w:sdtPr>
    <w:sdtContent>
      <w:p w14:paraId="4E24581E">
        <w:pPr>
          <w:pStyle w:val="10"/>
          <w:jc w:val="right"/>
        </w:pPr>
        <w:r>
          <w:fldChar w:fldCharType="begin"/>
        </w:r>
        <w:r>
          <w:instrText xml:space="preserve"> PAGE   \* MERGEFORMAT </w:instrText>
        </w:r>
        <w:r>
          <w:fldChar w:fldCharType="separate"/>
        </w:r>
        <w:r>
          <w:t>2</w:t>
        </w:r>
        <w:r>
          <w:fldChar w:fldCharType="end"/>
        </w:r>
      </w:p>
    </w:sdtContent>
  </w:sdt>
  <w:p w14:paraId="651BCB0A">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E25DE"/>
    <w:multiLevelType w:val="multilevel"/>
    <w:tmpl w:val="13BE25D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 w:val="3AB7445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pPr>
    <w:rPr>
      <w:rFonts w:ascii="Times New Roman" w:hAnsi="Times New Roman" w:eastAsia="Times New Roman" w:cs="Times New Roman"/>
      <w:color w:val="333333"/>
      <w:sz w:val="24"/>
      <w:szCs w:val="24"/>
      <w:lang w:val="en-US" w:eastAsia="en-GB" w:bidi="ar-SA"/>
    </w:rPr>
  </w:style>
  <w:style w:type="paragraph" w:styleId="2">
    <w:name w:val="heading 1"/>
    <w:basedOn w:val="1"/>
    <w:next w:val="1"/>
    <w:qFormat/>
    <w:uiPriority w:val="9"/>
    <w:pPr>
      <w:spacing w:after="160" w:line="259" w:lineRule="auto"/>
      <w:outlineLvl w:val="0"/>
    </w:pPr>
    <w:rPr>
      <w:rFonts w:ascii="Calibri" w:hAnsi="Calibri" w:eastAsia="Calibri" w:cs="Calibri"/>
      <w:b/>
      <w:color w:val="000000"/>
      <w:sz w:val="22"/>
      <w:szCs w:val="22"/>
    </w:rPr>
  </w:style>
  <w:style w:type="paragraph" w:styleId="3">
    <w:name w:val="heading 2"/>
    <w:basedOn w:val="1"/>
    <w:next w:val="1"/>
    <w:semiHidden/>
    <w:unhideWhenUsed/>
    <w:qFormat/>
    <w:uiPriority w:val="9"/>
    <w:pPr>
      <w:keepNext/>
      <w:keepLines/>
      <w:spacing w:before="40"/>
      <w:outlineLvl w:val="1"/>
    </w:pPr>
    <w:rPr>
      <w:rFonts w:ascii="Calibri" w:hAnsi="Calibri" w:eastAsia="Calibri" w:cs="Calibri"/>
      <w:color w:val="2F5496"/>
      <w:sz w:val="26"/>
      <w:szCs w:val="2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5"/>
    <w:unhideWhenUsed/>
    <w:uiPriority w:val="99"/>
    <w:pPr>
      <w:spacing w:line="240" w:lineRule="auto"/>
    </w:pPr>
    <w:rPr>
      <w:sz w:val="20"/>
      <w:szCs w:val="20"/>
    </w:rPr>
  </w:style>
  <w:style w:type="paragraph" w:styleId="9">
    <w:name w:val="Balloon Text"/>
    <w:basedOn w:val="1"/>
    <w:link w:val="33"/>
    <w:semiHidden/>
    <w:unhideWhenUsed/>
    <w:qFormat/>
    <w:uiPriority w:val="99"/>
    <w:pPr>
      <w:spacing w:line="240" w:lineRule="auto"/>
    </w:pPr>
    <w:rPr>
      <w:rFonts w:ascii="Segoe UI" w:hAnsi="Segoe UI" w:cs="Segoe UI"/>
      <w:sz w:val="18"/>
      <w:szCs w:val="18"/>
    </w:rPr>
  </w:style>
  <w:style w:type="paragraph" w:styleId="10">
    <w:name w:val="footer"/>
    <w:basedOn w:val="1"/>
    <w:link w:val="36"/>
    <w:unhideWhenUsed/>
    <w:qFormat/>
    <w:uiPriority w:val="99"/>
    <w:pPr>
      <w:tabs>
        <w:tab w:val="center" w:pos="4513"/>
        <w:tab w:val="right" w:pos="9026"/>
      </w:tabs>
      <w:spacing w:line="240" w:lineRule="auto"/>
    </w:pPr>
  </w:style>
  <w:style w:type="paragraph" w:styleId="11">
    <w:name w:val="header"/>
    <w:basedOn w:val="1"/>
    <w:link w:val="35"/>
    <w:unhideWhenUsed/>
    <w:qFormat/>
    <w:uiPriority w:val="99"/>
    <w:pPr>
      <w:tabs>
        <w:tab w:val="center" w:pos="4513"/>
        <w:tab w:val="right" w:pos="9026"/>
      </w:tabs>
      <w:spacing w:line="240" w:lineRule="auto"/>
    </w:pPr>
  </w:style>
  <w:style w:type="paragraph" w:styleId="12">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3">
    <w:name w:val="Normal (Web)"/>
    <w:basedOn w:val="1"/>
    <w:unhideWhenUsed/>
    <w:qFormat/>
    <w:uiPriority w:val="99"/>
    <w:pPr>
      <w:spacing w:before="100" w:beforeAutospacing="1" w:after="100" w:afterAutospacing="1" w:line="240" w:lineRule="auto"/>
    </w:pPr>
    <w:rPr>
      <w:color w:val="auto"/>
      <w:lang w:val="en-CA" w:eastAsia="en-US"/>
    </w:rPr>
  </w:style>
  <w:style w:type="paragraph" w:styleId="14">
    <w:name w:val="Title"/>
    <w:basedOn w:val="1"/>
    <w:next w:val="1"/>
    <w:qFormat/>
    <w:uiPriority w:val="10"/>
    <w:pPr>
      <w:keepNext/>
      <w:keepLines/>
      <w:spacing w:before="480" w:after="120"/>
    </w:pPr>
    <w:rPr>
      <w:b/>
      <w:sz w:val="72"/>
      <w:szCs w:val="72"/>
    </w:rPr>
  </w:style>
  <w:style w:type="paragraph" w:styleId="15">
    <w:name w:val="annotation subject"/>
    <w:basedOn w:val="8"/>
    <w:next w:val="8"/>
    <w:link w:val="26"/>
    <w:semiHidden/>
    <w:unhideWhenUsed/>
    <w:uiPriority w:val="99"/>
    <w:rPr>
      <w:b/>
      <w:bCs/>
    </w:rPr>
  </w:style>
  <w:style w:type="table" w:styleId="17">
    <w:name w:val="Table Grid"/>
    <w:basedOn w:val="16"/>
    <w:qFormat/>
    <w:uiPriority w:val="39"/>
    <w:pPr>
      <w:spacing w:line="240" w:lineRule="auto"/>
    </w:pPr>
    <w:rPr>
      <w:rFonts w:asciiTheme="minorHAnsi" w:hAnsiTheme="minorHAnsi" w:eastAsiaTheme="minorHAnsi" w:cstheme="minorBidi"/>
      <w:color w:val="auto"/>
      <w:kern w:val="2"/>
      <w:sz w:val="22"/>
      <w:szCs w:val="22"/>
      <w:lang w:val="en-GB"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FollowedHyperlink"/>
    <w:basedOn w:val="18"/>
    <w:semiHidden/>
    <w:unhideWhenUsed/>
    <w:qFormat/>
    <w:uiPriority w:val="99"/>
    <w:rPr>
      <w:color w:val="800080" w:themeColor="followedHyperlink"/>
      <w:u w:val="single"/>
      <w14:textFill>
        <w14:solidFill>
          <w14:schemeClr w14:val="folHlink"/>
        </w14:solidFill>
      </w14:textFill>
    </w:rPr>
  </w:style>
  <w:style w:type="character" w:styleId="20">
    <w:name w:val="Hyperlink"/>
    <w:uiPriority w:val="0"/>
    <w:rPr>
      <w:color w:val="CC0000"/>
      <w:u w:val="single"/>
    </w:rPr>
  </w:style>
  <w:style w:type="character" w:styleId="21">
    <w:name w:val="annotation reference"/>
    <w:basedOn w:val="18"/>
    <w:semiHidden/>
    <w:unhideWhenUsed/>
    <w:qFormat/>
    <w:uiPriority w:val="99"/>
    <w:rPr>
      <w:sz w:val="16"/>
      <w:szCs w:val="16"/>
    </w:rPr>
  </w:style>
  <w:style w:type="table" w:customStyle="1" w:styleId="22">
    <w:name w:val="_Style 11"/>
    <w:basedOn w:val="16"/>
    <w:qFormat/>
    <w:uiPriority w:val="0"/>
    <w:pPr>
      <w:spacing w:line="240" w:lineRule="auto"/>
    </w:pPr>
  </w:style>
  <w:style w:type="table" w:customStyle="1" w:styleId="23">
    <w:name w:val="_Style 12"/>
    <w:basedOn w:val="16"/>
    <w:qFormat/>
    <w:uiPriority w:val="0"/>
    <w:tblPr>
      <w:tblCellMar>
        <w:left w:w="115" w:type="dxa"/>
        <w:right w:w="115" w:type="dxa"/>
      </w:tblCellMar>
    </w:tblPr>
  </w:style>
  <w:style w:type="table" w:customStyle="1" w:styleId="24">
    <w:name w:val="_Style 13"/>
    <w:basedOn w:val="16"/>
    <w:qFormat/>
    <w:uiPriority w:val="0"/>
    <w:tblPr>
      <w:tblCellMar>
        <w:left w:w="115" w:type="dxa"/>
        <w:right w:w="115" w:type="dxa"/>
      </w:tblCellMar>
    </w:tblPr>
  </w:style>
  <w:style w:type="character" w:customStyle="1" w:styleId="25">
    <w:name w:val="Comment Text Char"/>
    <w:basedOn w:val="18"/>
    <w:link w:val="8"/>
    <w:uiPriority w:val="99"/>
    <w:rPr>
      <w:sz w:val="20"/>
      <w:szCs w:val="20"/>
    </w:rPr>
  </w:style>
  <w:style w:type="character" w:customStyle="1" w:styleId="26">
    <w:name w:val="Comment Subject Char"/>
    <w:basedOn w:val="25"/>
    <w:link w:val="15"/>
    <w:semiHidden/>
    <w:qFormat/>
    <w:uiPriority w:val="99"/>
    <w:rPr>
      <w:b/>
      <w:bCs/>
      <w:sz w:val="20"/>
      <w:szCs w:val="20"/>
    </w:rPr>
  </w:style>
  <w:style w:type="paragraph" w:customStyle="1" w:styleId="27">
    <w:name w:val="EndNote Bibliography Title"/>
    <w:basedOn w:val="1"/>
    <w:link w:val="28"/>
    <w:uiPriority w:val="0"/>
    <w:pPr>
      <w:jc w:val="center"/>
    </w:pPr>
    <w:rPr>
      <w:lang w:val="en-GB"/>
    </w:rPr>
  </w:style>
  <w:style w:type="character" w:customStyle="1" w:styleId="28">
    <w:name w:val="EndNote Bibliography Title Char"/>
    <w:basedOn w:val="18"/>
    <w:link w:val="27"/>
    <w:uiPriority w:val="0"/>
    <w:rPr>
      <w:lang w:val="en-GB"/>
    </w:rPr>
  </w:style>
  <w:style w:type="paragraph" w:customStyle="1" w:styleId="29">
    <w:name w:val="EndNote Bibliography"/>
    <w:basedOn w:val="1"/>
    <w:link w:val="30"/>
    <w:qFormat/>
    <w:uiPriority w:val="0"/>
    <w:pPr>
      <w:spacing w:line="240" w:lineRule="auto"/>
    </w:pPr>
    <w:rPr>
      <w:lang w:val="en-GB"/>
    </w:rPr>
  </w:style>
  <w:style w:type="character" w:customStyle="1" w:styleId="30">
    <w:name w:val="EndNote Bibliography Char"/>
    <w:basedOn w:val="18"/>
    <w:link w:val="29"/>
    <w:uiPriority w:val="0"/>
    <w:rPr>
      <w:lang w:val="en-GB"/>
    </w:rPr>
  </w:style>
  <w:style w:type="character" w:customStyle="1" w:styleId="31">
    <w:name w:val="Unresolved Mention"/>
    <w:basedOn w:val="18"/>
    <w:semiHidden/>
    <w:unhideWhenUsed/>
    <w:qFormat/>
    <w:uiPriority w:val="99"/>
    <w:rPr>
      <w:color w:val="605E5C"/>
      <w:shd w:val="clear" w:color="auto" w:fill="E1DFDD"/>
    </w:rPr>
  </w:style>
  <w:style w:type="character" w:customStyle="1" w:styleId="32">
    <w:name w:val="cf01"/>
    <w:basedOn w:val="18"/>
    <w:qFormat/>
    <w:uiPriority w:val="0"/>
    <w:rPr>
      <w:rFonts w:hint="default" w:ascii="Segoe UI" w:hAnsi="Segoe UI" w:cs="Segoe UI"/>
      <w:sz w:val="18"/>
      <w:szCs w:val="18"/>
    </w:rPr>
  </w:style>
  <w:style w:type="character" w:customStyle="1" w:styleId="33">
    <w:name w:val="Balloon Text Char"/>
    <w:basedOn w:val="18"/>
    <w:link w:val="9"/>
    <w:semiHidden/>
    <w:uiPriority w:val="99"/>
    <w:rPr>
      <w:rFonts w:ascii="Segoe UI" w:hAnsi="Segoe UI" w:cs="Segoe UI"/>
      <w:sz w:val="18"/>
      <w:szCs w:val="18"/>
    </w:rPr>
  </w:style>
  <w:style w:type="paragraph" w:styleId="34">
    <w:name w:val="List Paragraph"/>
    <w:basedOn w:val="1"/>
    <w:qFormat/>
    <w:uiPriority w:val="34"/>
    <w:pPr>
      <w:spacing w:after="160" w:line="259" w:lineRule="auto"/>
      <w:ind w:left="720"/>
      <w:contextualSpacing/>
    </w:pPr>
    <w:rPr>
      <w:rFonts w:ascii="Calibri" w:hAnsi="Calibri" w:eastAsia="Calibri" w:cs="Calibri"/>
      <w:color w:val="auto"/>
      <w:sz w:val="22"/>
      <w:szCs w:val="22"/>
      <w:lang w:val="en-GB"/>
    </w:rPr>
  </w:style>
  <w:style w:type="character" w:customStyle="1" w:styleId="35">
    <w:name w:val="Header Char"/>
    <w:basedOn w:val="18"/>
    <w:link w:val="11"/>
    <w:qFormat/>
    <w:uiPriority w:val="99"/>
  </w:style>
  <w:style w:type="character" w:customStyle="1" w:styleId="36">
    <w:name w:val="Footer Char"/>
    <w:basedOn w:val="18"/>
    <w:link w:val="10"/>
    <w:qFormat/>
    <w:uiPriority w:val="99"/>
  </w:style>
  <w:style w:type="paragraph" w:customStyle="1" w:styleId="37">
    <w:name w:val="Revision"/>
    <w:hidden/>
    <w:semiHidden/>
    <w:qFormat/>
    <w:uiPriority w:val="99"/>
    <w:pPr>
      <w:spacing w:line="240" w:lineRule="auto"/>
    </w:pPr>
    <w:rPr>
      <w:rFonts w:ascii="Times New Roman" w:hAnsi="Times New Roman" w:eastAsia="Times New Roman" w:cs="Times New Roman"/>
      <w:color w:val="333333"/>
      <w:sz w:val="24"/>
      <w:szCs w:val="24"/>
      <w:lang w:val="en-US" w:eastAsia="en-GB" w:bidi="ar-SA"/>
    </w:rPr>
  </w:style>
  <w:style w:type="character" w:customStyle="1" w:styleId="38">
    <w:name w:val="apple-converted-space"/>
    <w:basedOn w:val="18"/>
    <w:qFormat/>
    <w:uiPriority w:val="0"/>
  </w:style>
  <w:style w:type="paragraph" w:customStyle="1" w:styleId="39">
    <w:name w:val="TableNote"/>
    <w:basedOn w:val="1"/>
    <w:uiPriority w:val="0"/>
    <w:pPr>
      <w:spacing w:line="300" w:lineRule="exact"/>
    </w:pPr>
    <w:rPr>
      <w:color w:val="auto"/>
      <w:szCs w:val="20"/>
      <w:lang w:val="en-GB"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datastoreItem>
</file>

<file path=docProps/app.xml><?xml version="1.0" encoding="utf-8"?>
<Properties xmlns="http://schemas.openxmlformats.org/officeDocument/2006/extended-properties" xmlns:vt="http://schemas.openxmlformats.org/officeDocument/2006/docPropsVTypes">
  <Template>Normal.dotm</Template>
  <Pages>3</Pages>
  <Words>893</Words>
  <Characters>5600</Characters>
  <Lines>48</Lines>
  <Paragraphs>13</Paragraphs>
  <TotalTime>79</TotalTime>
  <ScaleCrop>false</ScaleCrop>
  <LinksUpToDate>false</LinksUpToDate>
  <CharactersWithSpaces>6373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2024-10-08T14:14:00Z</dcterms:created>
  <dc:creator>Sally Hopewell</dc:creator>
  <cp:lastModifiedBy>李平乐</cp:lastModifiedBy>
  <cp:lastPrinted>2024-03-26T08:52:00Z</cp:lastPrinted>
  <dcterms:modified xsi:type="dcterms:W3CDTF">2026-09-04T10:53:37Z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eyJoZGlkIjoiMzZhYmJmMzQ4YjVhZTQ1NzMwYTIwOWFhOGI1OTk2NjQiLCJ1c2VySWQiOiI0NTk2NDU2MDgifQ==</vt:lpwstr>
  </property>
  <property fmtid="{D5CDD505-2E9C-101B-9397-08002B2CF9AE}" pid="3" name="KSOProductBuildVer">
    <vt:lpwstr>2052-12.1.0.28043</vt:lpwstr>
  </property>
  <property fmtid="{D5CDD505-2E9C-101B-9397-08002B2CF9AE}" pid="4" name="ICV">
    <vt:lpwstr>DDC31585129C44B489426201D2E947B2_12</vt:lpwstr>
  </property>
</Properties>
</file>