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4AE3DA" w14:textId="3B53B307" w:rsidR="0029311E" w:rsidRPr="0092349F" w:rsidRDefault="003714F9" w:rsidP="0029311E">
      <w:pPr>
        <w:spacing w:before="60" w:after="240"/>
        <w:jc w:val="both"/>
        <w:rPr>
          <w:rFonts w:eastAsiaTheme="minorEastAsia"/>
          <w:sz w:val="24"/>
          <w:szCs w:val="24"/>
          <w:lang w:val="en-MY" w:eastAsia="en-GB"/>
        </w:rPr>
      </w:pPr>
      <w:r w:rsidRPr="003714F9">
        <w:rPr>
          <w:sz w:val="24"/>
          <w:szCs w:val="24"/>
        </w:rPr>
        <w:t xml:space="preserve">Supplement </w:t>
      </w:r>
      <w:r w:rsidRPr="003714F9">
        <w:rPr>
          <w:sz w:val="24"/>
          <w:szCs w:val="24"/>
        </w:rPr>
        <w:fldChar w:fldCharType="begin"/>
      </w:r>
      <w:r w:rsidRPr="003714F9">
        <w:rPr>
          <w:sz w:val="24"/>
          <w:szCs w:val="24"/>
        </w:rPr>
        <w:instrText xml:space="preserve"> SEQ Supplement \* ARABIC </w:instrText>
      </w:r>
      <w:r w:rsidRPr="003714F9">
        <w:rPr>
          <w:sz w:val="24"/>
          <w:szCs w:val="24"/>
        </w:rPr>
        <w:fldChar w:fldCharType="separate"/>
      </w:r>
      <w:r w:rsidR="00C26AAA">
        <w:rPr>
          <w:noProof/>
          <w:sz w:val="24"/>
          <w:szCs w:val="24"/>
        </w:rPr>
        <w:t>1</w:t>
      </w:r>
      <w:r w:rsidRPr="003714F9">
        <w:rPr>
          <w:sz w:val="24"/>
          <w:szCs w:val="24"/>
        </w:rPr>
        <w:fldChar w:fldCharType="end"/>
      </w:r>
      <w:r w:rsidRPr="003714F9">
        <w:rPr>
          <w:sz w:val="24"/>
          <w:szCs w:val="24"/>
          <w:lang w:val="en-CA"/>
        </w:rPr>
        <w:t xml:space="preserve">. </w:t>
      </w:r>
      <w:r w:rsidR="0029311E" w:rsidRPr="0092349F">
        <w:rPr>
          <w:rFonts w:ascii="Palatino Linotype" w:eastAsiaTheme="minorEastAsia" w:hAnsi="Palatino Linotype"/>
          <w:color w:val="000000"/>
          <w:sz w:val="18"/>
          <w:szCs w:val="18"/>
          <w:lang w:val="en-MY" w:eastAsia="en-GB"/>
        </w:rPr>
        <w:t>WHOQOL HIV BREF data distribution </w:t>
      </w:r>
    </w:p>
    <w:tbl>
      <w:tblPr>
        <w:tblW w:w="0" w:type="auto"/>
        <w:tblCellMar>
          <w:top w:w="15" w:type="dxa"/>
          <w:left w:w="15" w:type="dxa"/>
          <w:bottom w:w="15" w:type="dxa"/>
          <w:right w:w="15" w:type="dxa"/>
        </w:tblCellMar>
        <w:tblLook w:val="04A0" w:firstRow="1" w:lastRow="0" w:firstColumn="1" w:lastColumn="0" w:noHBand="0" w:noVBand="1"/>
      </w:tblPr>
      <w:tblGrid>
        <w:gridCol w:w="1063"/>
        <w:gridCol w:w="969"/>
        <w:gridCol w:w="780"/>
        <w:gridCol w:w="1464"/>
      </w:tblGrid>
      <w:tr w:rsidR="0029311E" w:rsidRPr="0092349F" w14:paraId="25EAC748" w14:textId="77777777" w:rsidTr="00A9761B">
        <w:trPr>
          <w:trHeight w:val="566"/>
        </w:trPr>
        <w:tc>
          <w:tcPr>
            <w:tcW w:w="0" w:type="auto"/>
            <w:tcMar>
              <w:top w:w="60" w:type="dxa"/>
              <w:left w:w="120" w:type="dxa"/>
              <w:bottom w:w="60" w:type="dxa"/>
              <w:right w:w="120" w:type="dxa"/>
            </w:tcMar>
            <w:vAlign w:val="center"/>
            <w:hideMark/>
          </w:tcPr>
          <w:p w14:paraId="1D13FECF" w14:textId="77777777" w:rsidR="0029311E" w:rsidRPr="0092349F" w:rsidRDefault="0029311E" w:rsidP="00A9761B">
            <w:pPr>
              <w:spacing w:after="0"/>
              <w:jc w:val="both"/>
              <w:rPr>
                <w:sz w:val="24"/>
                <w:szCs w:val="24"/>
                <w:lang w:val="en-MY" w:eastAsia="en-GB"/>
              </w:rPr>
            </w:pPr>
          </w:p>
        </w:tc>
        <w:tc>
          <w:tcPr>
            <w:tcW w:w="0" w:type="auto"/>
            <w:gridSpan w:val="2"/>
            <w:tcBorders>
              <w:bottom w:val="single" w:sz="6" w:space="0" w:color="333333"/>
            </w:tcBorders>
            <w:tcMar>
              <w:top w:w="60" w:type="dxa"/>
              <w:left w:w="120" w:type="dxa"/>
              <w:bottom w:w="60" w:type="dxa"/>
              <w:right w:w="120" w:type="dxa"/>
            </w:tcMar>
            <w:vAlign w:val="center"/>
            <w:hideMark/>
          </w:tcPr>
          <w:p w14:paraId="23231229" w14:textId="77777777" w:rsidR="0029311E" w:rsidRPr="0092349F" w:rsidRDefault="0029311E" w:rsidP="00A9761B">
            <w:pPr>
              <w:spacing w:before="240" w:after="240" w:line="480" w:lineRule="auto"/>
              <w:jc w:val="both"/>
              <w:rPr>
                <w:rFonts w:eastAsiaTheme="minorEastAsia"/>
                <w:sz w:val="24"/>
                <w:szCs w:val="24"/>
                <w:lang w:val="en-MY" w:eastAsia="en-GB"/>
              </w:rPr>
            </w:pPr>
            <w:r w:rsidRPr="0092349F">
              <w:rPr>
                <w:rFonts w:ascii="Palatino Linotype" w:eastAsiaTheme="minorEastAsia" w:hAnsi="Palatino Linotype"/>
                <w:b/>
                <w:bCs/>
                <w:color w:val="333333"/>
                <w:sz w:val="16"/>
                <w:szCs w:val="16"/>
                <w:lang w:val="en-MY" w:eastAsia="en-GB"/>
              </w:rPr>
              <w:t>Skewness</w:t>
            </w:r>
          </w:p>
        </w:tc>
        <w:tc>
          <w:tcPr>
            <w:tcW w:w="0" w:type="auto"/>
            <w:tcMar>
              <w:top w:w="100" w:type="dxa"/>
              <w:left w:w="100" w:type="dxa"/>
              <w:bottom w:w="100" w:type="dxa"/>
              <w:right w:w="100" w:type="dxa"/>
            </w:tcMar>
            <w:hideMark/>
          </w:tcPr>
          <w:p w14:paraId="137C62E6" w14:textId="77777777" w:rsidR="0029311E" w:rsidRPr="0092349F" w:rsidRDefault="0029311E" w:rsidP="00A9761B">
            <w:pPr>
              <w:spacing w:after="0"/>
              <w:jc w:val="both"/>
              <w:rPr>
                <w:sz w:val="24"/>
                <w:szCs w:val="24"/>
                <w:lang w:val="en-MY" w:eastAsia="en-GB"/>
              </w:rPr>
            </w:pPr>
          </w:p>
        </w:tc>
      </w:tr>
      <w:tr w:rsidR="0029311E" w:rsidRPr="0092349F" w14:paraId="4FD2149A" w14:textId="77777777" w:rsidTr="00A9761B">
        <w:tc>
          <w:tcPr>
            <w:tcW w:w="0" w:type="auto"/>
            <w:tcBorders>
              <w:bottom w:val="single" w:sz="6" w:space="0" w:color="333333"/>
            </w:tcBorders>
            <w:tcMar>
              <w:top w:w="60" w:type="dxa"/>
              <w:left w:w="120" w:type="dxa"/>
              <w:bottom w:w="60" w:type="dxa"/>
              <w:right w:w="120" w:type="dxa"/>
            </w:tcMar>
            <w:vAlign w:val="center"/>
            <w:hideMark/>
          </w:tcPr>
          <w:p w14:paraId="3AEBD1B3"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b/>
                <w:bCs/>
                <w:color w:val="333333"/>
                <w:sz w:val="16"/>
                <w:szCs w:val="16"/>
                <w:lang w:val="en-MY" w:eastAsia="en-GB"/>
              </w:rPr>
              <w:t> </w:t>
            </w:r>
          </w:p>
        </w:tc>
        <w:tc>
          <w:tcPr>
            <w:tcW w:w="0" w:type="auto"/>
            <w:tcBorders>
              <w:top w:val="single" w:sz="6" w:space="0" w:color="333333"/>
              <w:bottom w:val="single" w:sz="6" w:space="0" w:color="333333"/>
            </w:tcBorders>
            <w:tcMar>
              <w:top w:w="60" w:type="dxa"/>
              <w:left w:w="120" w:type="dxa"/>
              <w:bottom w:w="60" w:type="dxa"/>
              <w:right w:w="120" w:type="dxa"/>
            </w:tcMar>
            <w:vAlign w:val="center"/>
            <w:hideMark/>
          </w:tcPr>
          <w:p w14:paraId="03D890E1"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b/>
                <w:bCs/>
                <w:color w:val="333333"/>
                <w:sz w:val="16"/>
                <w:szCs w:val="16"/>
                <w:lang w:val="en-MY" w:eastAsia="en-GB"/>
              </w:rPr>
              <w:t>Skewness</w:t>
            </w:r>
          </w:p>
        </w:tc>
        <w:tc>
          <w:tcPr>
            <w:tcW w:w="0" w:type="auto"/>
            <w:tcBorders>
              <w:top w:val="single" w:sz="6" w:space="0" w:color="333333"/>
              <w:bottom w:val="single" w:sz="6" w:space="0" w:color="333333"/>
            </w:tcBorders>
            <w:tcMar>
              <w:top w:w="60" w:type="dxa"/>
              <w:left w:w="120" w:type="dxa"/>
              <w:bottom w:w="60" w:type="dxa"/>
              <w:right w:w="120" w:type="dxa"/>
            </w:tcMar>
            <w:vAlign w:val="center"/>
            <w:hideMark/>
          </w:tcPr>
          <w:p w14:paraId="263ABAD7"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b/>
                <w:bCs/>
                <w:color w:val="333333"/>
                <w:sz w:val="16"/>
                <w:szCs w:val="16"/>
                <w:lang w:val="en-MY" w:eastAsia="en-GB"/>
              </w:rPr>
              <w:t>SE</w:t>
            </w:r>
          </w:p>
        </w:tc>
        <w:tc>
          <w:tcPr>
            <w:tcW w:w="0" w:type="auto"/>
            <w:tcBorders>
              <w:bottom w:val="single" w:sz="6" w:space="0" w:color="333333"/>
            </w:tcBorders>
            <w:tcMar>
              <w:top w:w="60" w:type="dxa"/>
              <w:left w:w="120" w:type="dxa"/>
              <w:bottom w:w="60" w:type="dxa"/>
              <w:right w:w="120" w:type="dxa"/>
            </w:tcMar>
            <w:vAlign w:val="center"/>
            <w:hideMark/>
          </w:tcPr>
          <w:p w14:paraId="361E9F4D"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b/>
                <w:bCs/>
                <w:color w:val="333333"/>
                <w:sz w:val="16"/>
                <w:szCs w:val="16"/>
                <w:lang w:val="en-MY" w:eastAsia="en-GB"/>
              </w:rPr>
              <w:t>Skewness/SE (Z)</w:t>
            </w:r>
          </w:p>
        </w:tc>
      </w:tr>
      <w:tr w:rsidR="0029311E" w:rsidRPr="0092349F" w14:paraId="0FB92CCF" w14:textId="77777777" w:rsidTr="00A9761B">
        <w:trPr>
          <w:trHeight w:val="878"/>
        </w:trPr>
        <w:tc>
          <w:tcPr>
            <w:tcW w:w="0" w:type="auto"/>
            <w:tcBorders>
              <w:top w:val="single" w:sz="6" w:space="0" w:color="333333"/>
            </w:tcBorders>
            <w:tcMar>
              <w:top w:w="120" w:type="dxa"/>
              <w:left w:w="120" w:type="dxa"/>
              <w:bottom w:w="60" w:type="dxa"/>
              <w:right w:w="120" w:type="dxa"/>
            </w:tcMar>
            <w:hideMark/>
          </w:tcPr>
          <w:p w14:paraId="496D4AA9"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b/>
                <w:bCs/>
                <w:color w:val="333333"/>
                <w:sz w:val="16"/>
                <w:szCs w:val="16"/>
                <w:lang w:val="en-MY" w:eastAsia="en-GB"/>
              </w:rPr>
              <w:t>Domain I</w:t>
            </w:r>
          </w:p>
        </w:tc>
        <w:tc>
          <w:tcPr>
            <w:tcW w:w="0" w:type="auto"/>
            <w:tcBorders>
              <w:top w:val="single" w:sz="6" w:space="0" w:color="333333"/>
            </w:tcBorders>
            <w:tcMar>
              <w:top w:w="120" w:type="dxa"/>
              <w:left w:w="120" w:type="dxa"/>
              <w:bottom w:w="40" w:type="dxa"/>
              <w:right w:w="300" w:type="dxa"/>
            </w:tcMar>
            <w:hideMark/>
          </w:tcPr>
          <w:p w14:paraId="00D612C2"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color w:val="333333"/>
                <w:sz w:val="16"/>
                <w:szCs w:val="16"/>
                <w:lang w:val="en-MY" w:eastAsia="en-GB"/>
              </w:rPr>
              <w:t>0.2221</w:t>
            </w:r>
          </w:p>
        </w:tc>
        <w:tc>
          <w:tcPr>
            <w:tcW w:w="0" w:type="auto"/>
            <w:tcBorders>
              <w:top w:val="single" w:sz="6" w:space="0" w:color="333333"/>
            </w:tcBorders>
            <w:tcMar>
              <w:top w:w="120" w:type="dxa"/>
              <w:left w:w="120" w:type="dxa"/>
              <w:bottom w:w="40" w:type="dxa"/>
              <w:right w:w="300" w:type="dxa"/>
            </w:tcMar>
            <w:hideMark/>
          </w:tcPr>
          <w:p w14:paraId="2F9A5C64"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color w:val="333333"/>
                <w:sz w:val="16"/>
                <w:szCs w:val="16"/>
                <w:lang w:val="en-MY" w:eastAsia="en-GB"/>
              </w:rPr>
              <w:t>0.121</w:t>
            </w:r>
          </w:p>
        </w:tc>
        <w:tc>
          <w:tcPr>
            <w:tcW w:w="0" w:type="auto"/>
            <w:tcBorders>
              <w:top w:val="single" w:sz="6" w:space="0" w:color="333333"/>
            </w:tcBorders>
            <w:tcMar>
              <w:top w:w="120" w:type="dxa"/>
              <w:left w:w="120" w:type="dxa"/>
              <w:bottom w:w="40" w:type="dxa"/>
              <w:right w:w="300" w:type="dxa"/>
            </w:tcMar>
            <w:hideMark/>
          </w:tcPr>
          <w:p w14:paraId="4FD73FD8"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color w:val="333333"/>
                <w:sz w:val="16"/>
                <w:szCs w:val="16"/>
                <w:lang w:val="en-MY" w:eastAsia="en-GB"/>
              </w:rPr>
              <w:t>1.84</w:t>
            </w:r>
          </w:p>
        </w:tc>
      </w:tr>
      <w:tr w:rsidR="0029311E" w:rsidRPr="0092349F" w14:paraId="0710B38F" w14:textId="77777777" w:rsidTr="00A9761B">
        <w:tc>
          <w:tcPr>
            <w:tcW w:w="0" w:type="auto"/>
            <w:tcMar>
              <w:top w:w="60" w:type="dxa"/>
              <w:left w:w="120" w:type="dxa"/>
              <w:bottom w:w="60" w:type="dxa"/>
              <w:right w:w="120" w:type="dxa"/>
            </w:tcMar>
            <w:hideMark/>
          </w:tcPr>
          <w:p w14:paraId="4DF8A936"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b/>
                <w:bCs/>
                <w:color w:val="333333"/>
                <w:sz w:val="16"/>
                <w:szCs w:val="16"/>
                <w:lang w:val="en-MY" w:eastAsia="en-GB"/>
              </w:rPr>
              <w:t>Domain II</w:t>
            </w:r>
          </w:p>
        </w:tc>
        <w:tc>
          <w:tcPr>
            <w:tcW w:w="0" w:type="auto"/>
            <w:tcMar>
              <w:top w:w="40" w:type="dxa"/>
              <w:left w:w="120" w:type="dxa"/>
              <w:bottom w:w="40" w:type="dxa"/>
              <w:right w:w="300" w:type="dxa"/>
            </w:tcMar>
            <w:hideMark/>
          </w:tcPr>
          <w:p w14:paraId="5780564E"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color w:val="333333"/>
                <w:sz w:val="16"/>
                <w:szCs w:val="16"/>
                <w:lang w:val="en-MY" w:eastAsia="en-GB"/>
              </w:rPr>
              <w:t>0.1581</w:t>
            </w:r>
          </w:p>
        </w:tc>
        <w:tc>
          <w:tcPr>
            <w:tcW w:w="0" w:type="auto"/>
            <w:tcMar>
              <w:top w:w="40" w:type="dxa"/>
              <w:left w:w="120" w:type="dxa"/>
              <w:bottom w:w="40" w:type="dxa"/>
              <w:right w:w="300" w:type="dxa"/>
            </w:tcMar>
            <w:hideMark/>
          </w:tcPr>
          <w:p w14:paraId="717BD86F"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color w:val="333333"/>
                <w:sz w:val="16"/>
                <w:szCs w:val="16"/>
                <w:lang w:val="en-MY" w:eastAsia="en-GB"/>
              </w:rPr>
              <w:t>0.121</w:t>
            </w:r>
          </w:p>
        </w:tc>
        <w:tc>
          <w:tcPr>
            <w:tcW w:w="0" w:type="auto"/>
            <w:tcMar>
              <w:top w:w="40" w:type="dxa"/>
              <w:left w:w="120" w:type="dxa"/>
              <w:bottom w:w="40" w:type="dxa"/>
              <w:right w:w="300" w:type="dxa"/>
            </w:tcMar>
            <w:hideMark/>
          </w:tcPr>
          <w:p w14:paraId="372AFBF5"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color w:val="333333"/>
                <w:sz w:val="16"/>
                <w:szCs w:val="16"/>
                <w:lang w:val="en-MY" w:eastAsia="en-GB"/>
              </w:rPr>
              <w:t>1.31</w:t>
            </w:r>
          </w:p>
        </w:tc>
      </w:tr>
      <w:tr w:rsidR="0029311E" w:rsidRPr="0092349F" w14:paraId="100D5352" w14:textId="77777777" w:rsidTr="00A9761B">
        <w:tc>
          <w:tcPr>
            <w:tcW w:w="0" w:type="auto"/>
            <w:tcMar>
              <w:top w:w="60" w:type="dxa"/>
              <w:left w:w="120" w:type="dxa"/>
              <w:bottom w:w="60" w:type="dxa"/>
              <w:right w:w="120" w:type="dxa"/>
            </w:tcMar>
            <w:hideMark/>
          </w:tcPr>
          <w:p w14:paraId="26C5285A"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b/>
                <w:bCs/>
                <w:color w:val="333333"/>
                <w:sz w:val="16"/>
                <w:szCs w:val="16"/>
                <w:lang w:val="en-MY" w:eastAsia="en-GB"/>
              </w:rPr>
              <w:t>Domain III</w:t>
            </w:r>
          </w:p>
        </w:tc>
        <w:tc>
          <w:tcPr>
            <w:tcW w:w="0" w:type="auto"/>
            <w:tcMar>
              <w:top w:w="40" w:type="dxa"/>
              <w:left w:w="120" w:type="dxa"/>
              <w:bottom w:w="40" w:type="dxa"/>
              <w:right w:w="300" w:type="dxa"/>
            </w:tcMar>
            <w:hideMark/>
          </w:tcPr>
          <w:p w14:paraId="74A9CF65"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color w:val="333333"/>
                <w:sz w:val="16"/>
                <w:szCs w:val="16"/>
                <w:lang w:val="en-MY" w:eastAsia="en-GB"/>
              </w:rPr>
              <w:t>-0.0188</w:t>
            </w:r>
          </w:p>
        </w:tc>
        <w:tc>
          <w:tcPr>
            <w:tcW w:w="0" w:type="auto"/>
            <w:tcMar>
              <w:top w:w="40" w:type="dxa"/>
              <w:left w:w="120" w:type="dxa"/>
              <w:bottom w:w="40" w:type="dxa"/>
              <w:right w:w="300" w:type="dxa"/>
            </w:tcMar>
            <w:hideMark/>
          </w:tcPr>
          <w:p w14:paraId="31865991"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color w:val="333333"/>
                <w:sz w:val="16"/>
                <w:szCs w:val="16"/>
                <w:lang w:val="en-MY" w:eastAsia="en-GB"/>
              </w:rPr>
              <w:t>0.121</w:t>
            </w:r>
          </w:p>
        </w:tc>
        <w:tc>
          <w:tcPr>
            <w:tcW w:w="0" w:type="auto"/>
            <w:tcMar>
              <w:top w:w="40" w:type="dxa"/>
              <w:left w:w="120" w:type="dxa"/>
              <w:bottom w:w="40" w:type="dxa"/>
              <w:right w:w="300" w:type="dxa"/>
            </w:tcMar>
            <w:hideMark/>
          </w:tcPr>
          <w:p w14:paraId="0A26DD88"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color w:val="333333"/>
                <w:sz w:val="16"/>
                <w:szCs w:val="16"/>
                <w:lang w:val="en-MY" w:eastAsia="en-GB"/>
              </w:rPr>
              <w:t>0.15</w:t>
            </w:r>
          </w:p>
        </w:tc>
      </w:tr>
      <w:tr w:rsidR="0029311E" w:rsidRPr="0092349F" w14:paraId="5BF6FD6C" w14:textId="77777777" w:rsidTr="00A9761B">
        <w:tc>
          <w:tcPr>
            <w:tcW w:w="0" w:type="auto"/>
            <w:tcMar>
              <w:top w:w="60" w:type="dxa"/>
              <w:left w:w="120" w:type="dxa"/>
              <w:bottom w:w="60" w:type="dxa"/>
              <w:right w:w="120" w:type="dxa"/>
            </w:tcMar>
            <w:hideMark/>
          </w:tcPr>
          <w:p w14:paraId="6A422B02"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b/>
                <w:bCs/>
                <w:color w:val="333333"/>
                <w:sz w:val="16"/>
                <w:szCs w:val="16"/>
                <w:lang w:val="en-MY" w:eastAsia="en-GB"/>
              </w:rPr>
              <w:t>Domain IV</w:t>
            </w:r>
          </w:p>
        </w:tc>
        <w:tc>
          <w:tcPr>
            <w:tcW w:w="0" w:type="auto"/>
            <w:tcMar>
              <w:top w:w="40" w:type="dxa"/>
              <w:left w:w="120" w:type="dxa"/>
              <w:bottom w:w="40" w:type="dxa"/>
              <w:right w:w="300" w:type="dxa"/>
            </w:tcMar>
            <w:hideMark/>
          </w:tcPr>
          <w:p w14:paraId="0778CABD"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color w:val="333333"/>
                <w:sz w:val="16"/>
                <w:szCs w:val="16"/>
                <w:lang w:val="en-MY" w:eastAsia="en-GB"/>
              </w:rPr>
              <w:t>0.1635</w:t>
            </w:r>
          </w:p>
        </w:tc>
        <w:tc>
          <w:tcPr>
            <w:tcW w:w="0" w:type="auto"/>
            <w:tcMar>
              <w:top w:w="40" w:type="dxa"/>
              <w:left w:w="120" w:type="dxa"/>
              <w:bottom w:w="40" w:type="dxa"/>
              <w:right w:w="300" w:type="dxa"/>
            </w:tcMar>
            <w:hideMark/>
          </w:tcPr>
          <w:p w14:paraId="4006746D"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color w:val="333333"/>
                <w:sz w:val="16"/>
                <w:szCs w:val="16"/>
                <w:lang w:val="en-MY" w:eastAsia="en-GB"/>
              </w:rPr>
              <w:t>0.121</w:t>
            </w:r>
          </w:p>
        </w:tc>
        <w:tc>
          <w:tcPr>
            <w:tcW w:w="0" w:type="auto"/>
            <w:tcMar>
              <w:top w:w="40" w:type="dxa"/>
              <w:left w:w="120" w:type="dxa"/>
              <w:bottom w:w="40" w:type="dxa"/>
              <w:right w:w="300" w:type="dxa"/>
            </w:tcMar>
            <w:hideMark/>
          </w:tcPr>
          <w:p w14:paraId="52AD432D"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color w:val="333333"/>
                <w:sz w:val="16"/>
                <w:szCs w:val="16"/>
                <w:lang w:val="en-MY" w:eastAsia="en-GB"/>
              </w:rPr>
              <w:t>1.35</w:t>
            </w:r>
          </w:p>
        </w:tc>
      </w:tr>
      <w:tr w:rsidR="0029311E" w:rsidRPr="0092349F" w14:paraId="57244CAA" w14:textId="77777777" w:rsidTr="00A9761B">
        <w:tc>
          <w:tcPr>
            <w:tcW w:w="0" w:type="auto"/>
            <w:tcMar>
              <w:top w:w="60" w:type="dxa"/>
              <w:left w:w="120" w:type="dxa"/>
              <w:bottom w:w="60" w:type="dxa"/>
              <w:right w:w="120" w:type="dxa"/>
            </w:tcMar>
            <w:hideMark/>
          </w:tcPr>
          <w:p w14:paraId="2D64FD8A"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b/>
                <w:bCs/>
                <w:color w:val="333333"/>
                <w:sz w:val="16"/>
                <w:szCs w:val="16"/>
                <w:lang w:val="en-MY" w:eastAsia="en-GB"/>
              </w:rPr>
              <w:t>Domain V</w:t>
            </w:r>
          </w:p>
        </w:tc>
        <w:tc>
          <w:tcPr>
            <w:tcW w:w="0" w:type="auto"/>
            <w:tcMar>
              <w:top w:w="40" w:type="dxa"/>
              <w:left w:w="120" w:type="dxa"/>
              <w:bottom w:w="40" w:type="dxa"/>
              <w:right w:w="300" w:type="dxa"/>
            </w:tcMar>
            <w:hideMark/>
          </w:tcPr>
          <w:p w14:paraId="165F60CA"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color w:val="333333"/>
                <w:sz w:val="16"/>
                <w:szCs w:val="16"/>
                <w:lang w:val="en-MY" w:eastAsia="en-GB"/>
              </w:rPr>
              <w:t>-0.0631</w:t>
            </w:r>
          </w:p>
        </w:tc>
        <w:tc>
          <w:tcPr>
            <w:tcW w:w="0" w:type="auto"/>
            <w:tcMar>
              <w:top w:w="40" w:type="dxa"/>
              <w:left w:w="120" w:type="dxa"/>
              <w:bottom w:w="40" w:type="dxa"/>
              <w:right w:w="300" w:type="dxa"/>
            </w:tcMar>
            <w:hideMark/>
          </w:tcPr>
          <w:p w14:paraId="6410EE10"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color w:val="333333"/>
                <w:sz w:val="16"/>
                <w:szCs w:val="16"/>
                <w:lang w:val="en-MY" w:eastAsia="en-GB"/>
              </w:rPr>
              <w:t>0.121</w:t>
            </w:r>
          </w:p>
        </w:tc>
        <w:tc>
          <w:tcPr>
            <w:tcW w:w="0" w:type="auto"/>
            <w:tcMar>
              <w:top w:w="40" w:type="dxa"/>
              <w:left w:w="120" w:type="dxa"/>
              <w:bottom w:w="40" w:type="dxa"/>
              <w:right w:w="300" w:type="dxa"/>
            </w:tcMar>
            <w:hideMark/>
          </w:tcPr>
          <w:p w14:paraId="7889BCFE"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color w:val="333333"/>
                <w:sz w:val="16"/>
                <w:szCs w:val="16"/>
                <w:lang w:val="en-MY" w:eastAsia="en-GB"/>
              </w:rPr>
              <w:t>0.52</w:t>
            </w:r>
          </w:p>
        </w:tc>
      </w:tr>
      <w:tr w:rsidR="0029311E" w:rsidRPr="0092349F" w14:paraId="669204B0" w14:textId="77777777" w:rsidTr="00A9761B">
        <w:tc>
          <w:tcPr>
            <w:tcW w:w="0" w:type="auto"/>
            <w:tcBorders>
              <w:bottom w:val="single" w:sz="4" w:space="0" w:color="333333"/>
            </w:tcBorders>
            <w:tcMar>
              <w:top w:w="60" w:type="dxa"/>
              <w:left w:w="120" w:type="dxa"/>
              <w:bottom w:w="120" w:type="dxa"/>
              <w:right w:w="120" w:type="dxa"/>
            </w:tcMar>
            <w:hideMark/>
          </w:tcPr>
          <w:p w14:paraId="269E0148"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b/>
                <w:bCs/>
                <w:color w:val="333333"/>
                <w:sz w:val="16"/>
                <w:szCs w:val="16"/>
                <w:lang w:val="en-MY" w:eastAsia="en-GB"/>
              </w:rPr>
              <w:t>Domain VI</w:t>
            </w:r>
          </w:p>
        </w:tc>
        <w:tc>
          <w:tcPr>
            <w:tcW w:w="0" w:type="auto"/>
            <w:tcBorders>
              <w:bottom w:val="single" w:sz="4" w:space="0" w:color="333333"/>
            </w:tcBorders>
            <w:tcMar>
              <w:top w:w="40" w:type="dxa"/>
              <w:left w:w="120" w:type="dxa"/>
              <w:bottom w:w="120" w:type="dxa"/>
              <w:right w:w="300" w:type="dxa"/>
            </w:tcMar>
            <w:hideMark/>
          </w:tcPr>
          <w:p w14:paraId="16A3F3BC"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color w:val="333333"/>
                <w:sz w:val="16"/>
                <w:szCs w:val="16"/>
                <w:lang w:val="en-MY" w:eastAsia="en-GB"/>
              </w:rPr>
              <w:t>0.5862</w:t>
            </w:r>
          </w:p>
        </w:tc>
        <w:tc>
          <w:tcPr>
            <w:tcW w:w="0" w:type="auto"/>
            <w:tcBorders>
              <w:bottom w:val="single" w:sz="4" w:space="0" w:color="333333"/>
            </w:tcBorders>
            <w:tcMar>
              <w:top w:w="40" w:type="dxa"/>
              <w:left w:w="120" w:type="dxa"/>
              <w:bottom w:w="120" w:type="dxa"/>
              <w:right w:w="300" w:type="dxa"/>
            </w:tcMar>
            <w:hideMark/>
          </w:tcPr>
          <w:p w14:paraId="2ACA3F33"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color w:val="333333"/>
                <w:sz w:val="16"/>
                <w:szCs w:val="16"/>
                <w:lang w:val="en-MY" w:eastAsia="en-GB"/>
              </w:rPr>
              <w:t>0.121</w:t>
            </w:r>
          </w:p>
        </w:tc>
        <w:tc>
          <w:tcPr>
            <w:tcW w:w="0" w:type="auto"/>
            <w:tcBorders>
              <w:bottom w:val="single" w:sz="4" w:space="0" w:color="333333"/>
            </w:tcBorders>
            <w:tcMar>
              <w:top w:w="40" w:type="dxa"/>
              <w:left w:w="120" w:type="dxa"/>
              <w:bottom w:w="120" w:type="dxa"/>
              <w:right w:w="300" w:type="dxa"/>
            </w:tcMar>
            <w:hideMark/>
          </w:tcPr>
          <w:p w14:paraId="2BE76171" w14:textId="77777777" w:rsidR="0029311E" w:rsidRPr="0092349F" w:rsidRDefault="0029311E" w:rsidP="00A9761B">
            <w:pPr>
              <w:spacing w:before="240" w:after="240"/>
              <w:jc w:val="both"/>
              <w:rPr>
                <w:rFonts w:eastAsiaTheme="minorEastAsia"/>
                <w:sz w:val="24"/>
                <w:szCs w:val="24"/>
                <w:lang w:val="en-MY" w:eastAsia="en-GB"/>
              </w:rPr>
            </w:pPr>
            <w:r w:rsidRPr="0092349F">
              <w:rPr>
                <w:rFonts w:ascii="Palatino Linotype" w:eastAsiaTheme="minorEastAsia" w:hAnsi="Palatino Linotype"/>
                <w:color w:val="333333"/>
                <w:sz w:val="16"/>
                <w:szCs w:val="16"/>
                <w:lang w:val="en-MY" w:eastAsia="en-GB"/>
              </w:rPr>
              <w:t>4.84</w:t>
            </w:r>
          </w:p>
        </w:tc>
      </w:tr>
    </w:tbl>
    <w:p w14:paraId="396C3D32" w14:textId="3023B0B0" w:rsidR="000A3AD4" w:rsidRPr="0029311E" w:rsidRDefault="000A3AD4" w:rsidP="004F42BC">
      <w:pPr>
        <w:pStyle w:val="NormalWeb"/>
        <w:spacing w:before="120" w:beforeAutospacing="0" w:after="200" w:afterAutospacing="0"/>
        <w:jc w:val="both"/>
        <w:rPr>
          <w:i/>
          <w:iCs/>
        </w:rPr>
      </w:pPr>
    </w:p>
    <w:sectPr w:rsidR="000A3AD4" w:rsidRPr="0029311E" w:rsidSect="004F42BC">
      <w:pgSz w:w="11900" w:h="16840"/>
      <w:pgMar w:top="1440" w:right="1440" w:bottom="1440" w:left="126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C01"/>
    <w:rsid w:val="000017DA"/>
    <w:rsid w:val="00003D42"/>
    <w:rsid w:val="00004343"/>
    <w:rsid w:val="00005B66"/>
    <w:rsid w:val="00015CBD"/>
    <w:rsid w:val="00016D0F"/>
    <w:rsid w:val="000418AF"/>
    <w:rsid w:val="0004465E"/>
    <w:rsid w:val="00045468"/>
    <w:rsid w:val="00066738"/>
    <w:rsid w:val="000727FD"/>
    <w:rsid w:val="000A3AD4"/>
    <w:rsid w:val="000B5F44"/>
    <w:rsid w:val="000C0544"/>
    <w:rsid w:val="00134BA1"/>
    <w:rsid w:val="00162807"/>
    <w:rsid w:val="001654EE"/>
    <w:rsid w:val="001827AD"/>
    <w:rsid w:val="0018294D"/>
    <w:rsid w:val="001931DA"/>
    <w:rsid w:val="001E5B12"/>
    <w:rsid w:val="001F057D"/>
    <w:rsid w:val="001F3BD0"/>
    <w:rsid w:val="001F45D1"/>
    <w:rsid w:val="001F491E"/>
    <w:rsid w:val="001F6337"/>
    <w:rsid w:val="00224C4A"/>
    <w:rsid w:val="002347CE"/>
    <w:rsid w:val="00234996"/>
    <w:rsid w:val="002716CD"/>
    <w:rsid w:val="0029311E"/>
    <w:rsid w:val="00293358"/>
    <w:rsid w:val="0029398D"/>
    <w:rsid w:val="002A4700"/>
    <w:rsid w:val="002B49AD"/>
    <w:rsid w:val="002C37E5"/>
    <w:rsid w:val="002D00EF"/>
    <w:rsid w:val="002F3C37"/>
    <w:rsid w:val="003009B9"/>
    <w:rsid w:val="00304DEA"/>
    <w:rsid w:val="0030510F"/>
    <w:rsid w:val="003116B6"/>
    <w:rsid w:val="003132F6"/>
    <w:rsid w:val="00313A55"/>
    <w:rsid w:val="00332CC3"/>
    <w:rsid w:val="00335FE9"/>
    <w:rsid w:val="00336A16"/>
    <w:rsid w:val="0034002C"/>
    <w:rsid w:val="003428D9"/>
    <w:rsid w:val="00354E71"/>
    <w:rsid w:val="003714F9"/>
    <w:rsid w:val="00383D97"/>
    <w:rsid w:val="00393E4A"/>
    <w:rsid w:val="003A33A6"/>
    <w:rsid w:val="003B0267"/>
    <w:rsid w:val="003D0B67"/>
    <w:rsid w:val="003D6991"/>
    <w:rsid w:val="003F2B41"/>
    <w:rsid w:val="00401C4D"/>
    <w:rsid w:val="00470E08"/>
    <w:rsid w:val="004766C4"/>
    <w:rsid w:val="0048038C"/>
    <w:rsid w:val="004A2288"/>
    <w:rsid w:val="004D2A47"/>
    <w:rsid w:val="004D4DCC"/>
    <w:rsid w:val="004F42BC"/>
    <w:rsid w:val="005405A6"/>
    <w:rsid w:val="00590BD2"/>
    <w:rsid w:val="005969D0"/>
    <w:rsid w:val="005B3682"/>
    <w:rsid w:val="005B5022"/>
    <w:rsid w:val="005D1269"/>
    <w:rsid w:val="005D1BE8"/>
    <w:rsid w:val="005F2AE5"/>
    <w:rsid w:val="00613739"/>
    <w:rsid w:val="00634B6F"/>
    <w:rsid w:val="00664DBC"/>
    <w:rsid w:val="0067258A"/>
    <w:rsid w:val="00682EFA"/>
    <w:rsid w:val="006B6B8A"/>
    <w:rsid w:val="006B6FF4"/>
    <w:rsid w:val="006E0752"/>
    <w:rsid w:val="006F2993"/>
    <w:rsid w:val="0071415A"/>
    <w:rsid w:val="00727C0B"/>
    <w:rsid w:val="0073362A"/>
    <w:rsid w:val="0075291C"/>
    <w:rsid w:val="00773B28"/>
    <w:rsid w:val="0077511A"/>
    <w:rsid w:val="00777189"/>
    <w:rsid w:val="007773B6"/>
    <w:rsid w:val="007861C6"/>
    <w:rsid w:val="00786AB6"/>
    <w:rsid w:val="00787652"/>
    <w:rsid w:val="00795B26"/>
    <w:rsid w:val="007C043E"/>
    <w:rsid w:val="007F536A"/>
    <w:rsid w:val="0082382C"/>
    <w:rsid w:val="008252DA"/>
    <w:rsid w:val="00844DEA"/>
    <w:rsid w:val="00851B2C"/>
    <w:rsid w:val="00873F79"/>
    <w:rsid w:val="008939E3"/>
    <w:rsid w:val="0089483C"/>
    <w:rsid w:val="00896FF4"/>
    <w:rsid w:val="008A1212"/>
    <w:rsid w:val="008B461A"/>
    <w:rsid w:val="008C6FFD"/>
    <w:rsid w:val="008D6F35"/>
    <w:rsid w:val="008D72AE"/>
    <w:rsid w:val="008F6875"/>
    <w:rsid w:val="00922345"/>
    <w:rsid w:val="00953EC2"/>
    <w:rsid w:val="00955C90"/>
    <w:rsid w:val="009B2399"/>
    <w:rsid w:val="009D2A2B"/>
    <w:rsid w:val="009F6819"/>
    <w:rsid w:val="00A07D68"/>
    <w:rsid w:val="00A44F1F"/>
    <w:rsid w:val="00A477EA"/>
    <w:rsid w:val="00A51F38"/>
    <w:rsid w:val="00A51FB4"/>
    <w:rsid w:val="00A53CAD"/>
    <w:rsid w:val="00A801B2"/>
    <w:rsid w:val="00A82A6D"/>
    <w:rsid w:val="00A93AF0"/>
    <w:rsid w:val="00A94A40"/>
    <w:rsid w:val="00AB4C35"/>
    <w:rsid w:val="00B102CC"/>
    <w:rsid w:val="00B10B0C"/>
    <w:rsid w:val="00B1598C"/>
    <w:rsid w:val="00B17AE4"/>
    <w:rsid w:val="00B41E50"/>
    <w:rsid w:val="00B43163"/>
    <w:rsid w:val="00B65AD1"/>
    <w:rsid w:val="00B722DE"/>
    <w:rsid w:val="00BA3853"/>
    <w:rsid w:val="00BB019B"/>
    <w:rsid w:val="00BB1A15"/>
    <w:rsid w:val="00BB513E"/>
    <w:rsid w:val="00BC4379"/>
    <w:rsid w:val="00BC47E3"/>
    <w:rsid w:val="00BE799B"/>
    <w:rsid w:val="00BF4CBC"/>
    <w:rsid w:val="00BF56FA"/>
    <w:rsid w:val="00C0758C"/>
    <w:rsid w:val="00C256FE"/>
    <w:rsid w:val="00C26AAA"/>
    <w:rsid w:val="00C34EE9"/>
    <w:rsid w:val="00C45225"/>
    <w:rsid w:val="00C55CC4"/>
    <w:rsid w:val="00C60D34"/>
    <w:rsid w:val="00C628C4"/>
    <w:rsid w:val="00C62A83"/>
    <w:rsid w:val="00C724EB"/>
    <w:rsid w:val="00C902FC"/>
    <w:rsid w:val="00C90484"/>
    <w:rsid w:val="00CA01F6"/>
    <w:rsid w:val="00CB6DB6"/>
    <w:rsid w:val="00CF10F2"/>
    <w:rsid w:val="00D14C61"/>
    <w:rsid w:val="00D153C1"/>
    <w:rsid w:val="00D17393"/>
    <w:rsid w:val="00D2083A"/>
    <w:rsid w:val="00D23C6D"/>
    <w:rsid w:val="00D251A2"/>
    <w:rsid w:val="00D47BA7"/>
    <w:rsid w:val="00D6515B"/>
    <w:rsid w:val="00D66B60"/>
    <w:rsid w:val="00D77FF0"/>
    <w:rsid w:val="00D94C81"/>
    <w:rsid w:val="00DE0F96"/>
    <w:rsid w:val="00E04165"/>
    <w:rsid w:val="00E26486"/>
    <w:rsid w:val="00E3306B"/>
    <w:rsid w:val="00E33A0A"/>
    <w:rsid w:val="00E51BDA"/>
    <w:rsid w:val="00E9466A"/>
    <w:rsid w:val="00E94AA1"/>
    <w:rsid w:val="00EB6053"/>
    <w:rsid w:val="00EC2238"/>
    <w:rsid w:val="00EE6F03"/>
    <w:rsid w:val="00F129F7"/>
    <w:rsid w:val="00F14169"/>
    <w:rsid w:val="00F22A20"/>
    <w:rsid w:val="00F6031C"/>
    <w:rsid w:val="00F77B83"/>
    <w:rsid w:val="00F8085A"/>
    <w:rsid w:val="00F86858"/>
    <w:rsid w:val="00F97C01"/>
    <w:rsid w:val="00FF2B00"/>
  </w:rsids>
  <m:mathPr>
    <m:mathFont m:val="Cambria Math"/>
    <m:brkBin m:val="before"/>
    <m:brkBinSub m:val="--"/>
    <m:smallFrac m:val="0"/>
    <m:dispDef/>
    <m:lMargin m:val="0"/>
    <m:rMargin m:val="0"/>
    <m:defJc m:val="centerGroup"/>
    <m:wrapIndent m:val="1440"/>
    <m:intLim m:val="subSup"/>
    <m:naryLim m:val="undOvr"/>
  </m:mathPr>
  <w:themeFontLang w:val="en-C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F5EB9"/>
  <w15:chartTrackingRefBased/>
  <w15:docId w15:val="{174C66A0-0B29-E343-9760-79D264C21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N"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4F9"/>
    <w:pPr>
      <w:spacing w:line="259" w:lineRule="auto"/>
    </w:pPr>
    <w:rPr>
      <w:rFonts w:eastAsiaTheme="minorHAnsi"/>
      <w:sz w:val="22"/>
      <w:szCs w:val="22"/>
      <w:lang w:val="en-US" w:eastAsia="en-US"/>
    </w:rPr>
  </w:style>
  <w:style w:type="paragraph" w:styleId="Heading1">
    <w:name w:val="heading 1"/>
    <w:basedOn w:val="Normal"/>
    <w:next w:val="Normal"/>
    <w:link w:val="Heading1Char"/>
    <w:uiPriority w:val="9"/>
    <w:qFormat/>
    <w:rsid w:val="00F97C01"/>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eastAsia="zh-CN"/>
    </w:rPr>
  </w:style>
  <w:style w:type="paragraph" w:styleId="Heading2">
    <w:name w:val="heading 2"/>
    <w:basedOn w:val="Normal"/>
    <w:next w:val="Normal"/>
    <w:link w:val="Heading2Char"/>
    <w:uiPriority w:val="9"/>
    <w:semiHidden/>
    <w:unhideWhenUsed/>
    <w:qFormat/>
    <w:rsid w:val="00F97C01"/>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eastAsia="zh-CN"/>
    </w:rPr>
  </w:style>
  <w:style w:type="paragraph" w:styleId="Heading3">
    <w:name w:val="heading 3"/>
    <w:basedOn w:val="Normal"/>
    <w:next w:val="Normal"/>
    <w:link w:val="Heading3Char"/>
    <w:uiPriority w:val="9"/>
    <w:semiHidden/>
    <w:unhideWhenUsed/>
    <w:qFormat/>
    <w:rsid w:val="00F97C01"/>
    <w:pPr>
      <w:keepNext/>
      <w:keepLines/>
      <w:spacing w:before="160" w:after="80" w:line="278" w:lineRule="auto"/>
      <w:outlineLvl w:val="2"/>
    </w:pPr>
    <w:rPr>
      <w:rFonts w:eastAsiaTheme="majorEastAsia" w:cstheme="majorBidi"/>
      <w:color w:val="0F4761" w:themeColor="accent1" w:themeShade="BF"/>
      <w:sz w:val="28"/>
      <w:szCs w:val="28"/>
      <w:lang w:eastAsia="zh-CN"/>
    </w:rPr>
  </w:style>
  <w:style w:type="paragraph" w:styleId="Heading4">
    <w:name w:val="heading 4"/>
    <w:basedOn w:val="Normal"/>
    <w:next w:val="Normal"/>
    <w:link w:val="Heading4Char"/>
    <w:uiPriority w:val="9"/>
    <w:semiHidden/>
    <w:unhideWhenUsed/>
    <w:qFormat/>
    <w:rsid w:val="00F97C01"/>
    <w:pPr>
      <w:keepNext/>
      <w:keepLines/>
      <w:spacing w:before="80" w:after="40" w:line="278" w:lineRule="auto"/>
      <w:outlineLvl w:val="3"/>
    </w:pPr>
    <w:rPr>
      <w:rFonts w:eastAsiaTheme="majorEastAsia" w:cstheme="majorBidi"/>
      <w:i/>
      <w:iCs/>
      <w:color w:val="0F4761" w:themeColor="accent1" w:themeShade="BF"/>
      <w:sz w:val="24"/>
      <w:szCs w:val="24"/>
      <w:lang w:eastAsia="zh-CN"/>
    </w:rPr>
  </w:style>
  <w:style w:type="paragraph" w:styleId="Heading5">
    <w:name w:val="heading 5"/>
    <w:basedOn w:val="Normal"/>
    <w:next w:val="Normal"/>
    <w:link w:val="Heading5Char"/>
    <w:uiPriority w:val="9"/>
    <w:semiHidden/>
    <w:unhideWhenUsed/>
    <w:qFormat/>
    <w:rsid w:val="00F97C01"/>
    <w:pPr>
      <w:keepNext/>
      <w:keepLines/>
      <w:spacing w:before="80" w:after="40" w:line="278" w:lineRule="auto"/>
      <w:outlineLvl w:val="4"/>
    </w:pPr>
    <w:rPr>
      <w:rFonts w:eastAsiaTheme="majorEastAsia" w:cstheme="majorBidi"/>
      <w:color w:val="0F4761" w:themeColor="accent1" w:themeShade="BF"/>
      <w:sz w:val="24"/>
      <w:szCs w:val="24"/>
      <w:lang w:eastAsia="zh-CN"/>
    </w:rPr>
  </w:style>
  <w:style w:type="paragraph" w:styleId="Heading6">
    <w:name w:val="heading 6"/>
    <w:basedOn w:val="Normal"/>
    <w:next w:val="Normal"/>
    <w:link w:val="Heading6Char"/>
    <w:uiPriority w:val="9"/>
    <w:semiHidden/>
    <w:unhideWhenUsed/>
    <w:qFormat/>
    <w:rsid w:val="00F97C01"/>
    <w:pPr>
      <w:keepNext/>
      <w:keepLines/>
      <w:spacing w:before="40" w:after="0" w:line="278" w:lineRule="auto"/>
      <w:outlineLvl w:val="5"/>
    </w:pPr>
    <w:rPr>
      <w:rFonts w:eastAsiaTheme="majorEastAsia" w:cstheme="majorBidi"/>
      <w:i/>
      <w:iCs/>
      <w:color w:val="595959" w:themeColor="text1" w:themeTint="A6"/>
      <w:sz w:val="24"/>
      <w:szCs w:val="24"/>
      <w:lang w:eastAsia="zh-CN"/>
    </w:rPr>
  </w:style>
  <w:style w:type="paragraph" w:styleId="Heading7">
    <w:name w:val="heading 7"/>
    <w:basedOn w:val="Normal"/>
    <w:next w:val="Normal"/>
    <w:link w:val="Heading7Char"/>
    <w:uiPriority w:val="9"/>
    <w:semiHidden/>
    <w:unhideWhenUsed/>
    <w:qFormat/>
    <w:rsid w:val="00F97C01"/>
    <w:pPr>
      <w:keepNext/>
      <w:keepLines/>
      <w:spacing w:before="40" w:after="0" w:line="278" w:lineRule="auto"/>
      <w:outlineLvl w:val="6"/>
    </w:pPr>
    <w:rPr>
      <w:rFonts w:eastAsiaTheme="majorEastAsia" w:cstheme="majorBidi"/>
      <w:color w:val="595959" w:themeColor="text1" w:themeTint="A6"/>
      <w:sz w:val="24"/>
      <w:szCs w:val="24"/>
      <w:lang w:eastAsia="zh-CN"/>
    </w:rPr>
  </w:style>
  <w:style w:type="paragraph" w:styleId="Heading8">
    <w:name w:val="heading 8"/>
    <w:basedOn w:val="Normal"/>
    <w:next w:val="Normal"/>
    <w:link w:val="Heading8Char"/>
    <w:uiPriority w:val="9"/>
    <w:semiHidden/>
    <w:unhideWhenUsed/>
    <w:qFormat/>
    <w:rsid w:val="00F97C01"/>
    <w:pPr>
      <w:keepNext/>
      <w:keepLines/>
      <w:spacing w:after="0" w:line="278" w:lineRule="auto"/>
      <w:outlineLvl w:val="7"/>
    </w:pPr>
    <w:rPr>
      <w:rFonts w:eastAsiaTheme="majorEastAsia" w:cstheme="majorBidi"/>
      <w:i/>
      <w:iCs/>
      <w:color w:val="272727" w:themeColor="text1" w:themeTint="D8"/>
      <w:sz w:val="24"/>
      <w:szCs w:val="24"/>
      <w:lang w:eastAsia="zh-CN"/>
    </w:rPr>
  </w:style>
  <w:style w:type="paragraph" w:styleId="Heading9">
    <w:name w:val="heading 9"/>
    <w:basedOn w:val="Normal"/>
    <w:next w:val="Normal"/>
    <w:link w:val="Heading9Char"/>
    <w:uiPriority w:val="9"/>
    <w:semiHidden/>
    <w:unhideWhenUsed/>
    <w:qFormat/>
    <w:rsid w:val="00F97C01"/>
    <w:pPr>
      <w:keepNext/>
      <w:keepLines/>
      <w:spacing w:after="0" w:line="278" w:lineRule="auto"/>
      <w:outlineLvl w:val="8"/>
    </w:pPr>
    <w:rPr>
      <w:rFonts w:eastAsiaTheme="majorEastAsia" w:cstheme="majorBidi"/>
      <w:color w:val="272727" w:themeColor="text1" w:themeTint="D8"/>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7C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7C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7C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7C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7C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7C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7C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7C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7C01"/>
    <w:rPr>
      <w:rFonts w:eastAsiaTheme="majorEastAsia" w:cstheme="majorBidi"/>
      <w:color w:val="272727" w:themeColor="text1" w:themeTint="D8"/>
    </w:rPr>
  </w:style>
  <w:style w:type="paragraph" w:styleId="Title">
    <w:name w:val="Title"/>
    <w:basedOn w:val="Normal"/>
    <w:next w:val="Normal"/>
    <w:link w:val="TitleChar"/>
    <w:uiPriority w:val="10"/>
    <w:qFormat/>
    <w:rsid w:val="00F97C01"/>
    <w:pPr>
      <w:spacing w:after="80" w:line="240" w:lineRule="auto"/>
      <w:contextualSpacing/>
    </w:pPr>
    <w:rPr>
      <w:rFonts w:asciiTheme="majorHAnsi" w:eastAsiaTheme="majorEastAsia" w:hAnsiTheme="majorHAnsi" w:cstheme="majorBidi"/>
      <w:spacing w:val="-10"/>
      <w:kern w:val="28"/>
      <w:sz w:val="56"/>
      <w:szCs w:val="56"/>
      <w:lang w:eastAsia="zh-CN"/>
    </w:rPr>
  </w:style>
  <w:style w:type="character" w:customStyle="1" w:styleId="TitleChar">
    <w:name w:val="Title Char"/>
    <w:basedOn w:val="DefaultParagraphFont"/>
    <w:link w:val="Title"/>
    <w:uiPriority w:val="10"/>
    <w:rsid w:val="00F97C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7C01"/>
    <w:pPr>
      <w:numPr>
        <w:ilvl w:val="1"/>
      </w:numPr>
      <w:spacing w:line="278" w:lineRule="auto"/>
    </w:pPr>
    <w:rPr>
      <w:rFonts w:eastAsiaTheme="majorEastAsia" w:cstheme="majorBidi"/>
      <w:color w:val="595959" w:themeColor="text1" w:themeTint="A6"/>
      <w:spacing w:val="15"/>
      <w:sz w:val="28"/>
      <w:szCs w:val="28"/>
      <w:lang w:eastAsia="zh-CN"/>
    </w:rPr>
  </w:style>
  <w:style w:type="character" w:customStyle="1" w:styleId="SubtitleChar">
    <w:name w:val="Subtitle Char"/>
    <w:basedOn w:val="DefaultParagraphFont"/>
    <w:link w:val="Subtitle"/>
    <w:uiPriority w:val="11"/>
    <w:rsid w:val="00F97C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7C01"/>
    <w:pPr>
      <w:spacing w:before="160" w:line="278" w:lineRule="auto"/>
      <w:jc w:val="center"/>
    </w:pPr>
    <w:rPr>
      <w:rFonts w:eastAsiaTheme="minorEastAsia"/>
      <w:i/>
      <w:iCs/>
      <w:color w:val="404040" w:themeColor="text1" w:themeTint="BF"/>
      <w:sz w:val="24"/>
      <w:szCs w:val="24"/>
      <w:lang w:eastAsia="zh-CN"/>
    </w:rPr>
  </w:style>
  <w:style w:type="character" w:customStyle="1" w:styleId="QuoteChar">
    <w:name w:val="Quote Char"/>
    <w:basedOn w:val="DefaultParagraphFont"/>
    <w:link w:val="Quote"/>
    <w:uiPriority w:val="29"/>
    <w:rsid w:val="00F97C01"/>
    <w:rPr>
      <w:i/>
      <w:iCs/>
      <w:color w:val="404040" w:themeColor="text1" w:themeTint="BF"/>
    </w:rPr>
  </w:style>
  <w:style w:type="paragraph" w:styleId="ListParagraph">
    <w:name w:val="List Paragraph"/>
    <w:basedOn w:val="Normal"/>
    <w:uiPriority w:val="34"/>
    <w:qFormat/>
    <w:rsid w:val="00F97C01"/>
    <w:pPr>
      <w:spacing w:line="278" w:lineRule="auto"/>
      <w:ind w:left="720"/>
      <w:contextualSpacing/>
    </w:pPr>
    <w:rPr>
      <w:rFonts w:eastAsiaTheme="minorEastAsia"/>
      <w:sz w:val="24"/>
      <w:szCs w:val="24"/>
      <w:lang w:eastAsia="zh-CN"/>
    </w:rPr>
  </w:style>
  <w:style w:type="character" w:styleId="IntenseEmphasis">
    <w:name w:val="Intense Emphasis"/>
    <w:basedOn w:val="DefaultParagraphFont"/>
    <w:uiPriority w:val="21"/>
    <w:qFormat/>
    <w:rsid w:val="00F97C01"/>
    <w:rPr>
      <w:i/>
      <w:iCs/>
      <w:color w:val="0F4761" w:themeColor="accent1" w:themeShade="BF"/>
    </w:rPr>
  </w:style>
  <w:style w:type="paragraph" w:styleId="IntenseQuote">
    <w:name w:val="Intense Quote"/>
    <w:basedOn w:val="Normal"/>
    <w:next w:val="Normal"/>
    <w:link w:val="IntenseQuoteChar"/>
    <w:uiPriority w:val="30"/>
    <w:qFormat/>
    <w:rsid w:val="00F97C0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EastAsia"/>
      <w:i/>
      <w:iCs/>
      <w:color w:val="0F4761" w:themeColor="accent1" w:themeShade="BF"/>
      <w:sz w:val="24"/>
      <w:szCs w:val="24"/>
      <w:lang w:eastAsia="zh-CN"/>
    </w:rPr>
  </w:style>
  <w:style w:type="character" w:customStyle="1" w:styleId="IntenseQuoteChar">
    <w:name w:val="Intense Quote Char"/>
    <w:basedOn w:val="DefaultParagraphFont"/>
    <w:link w:val="IntenseQuote"/>
    <w:uiPriority w:val="30"/>
    <w:rsid w:val="00F97C01"/>
    <w:rPr>
      <w:i/>
      <w:iCs/>
      <w:color w:val="0F4761" w:themeColor="accent1" w:themeShade="BF"/>
    </w:rPr>
  </w:style>
  <w:style w:type="character" w:styleId="IntenseReference">
    <w:name w:val="Intense Reference"/>
    <w:basedOn w:val="DefaultParagraphFont"/>
    <w:uiPriority w:val="32"/>
    <w:qFormat/>
    <w:rsid w:val="00F97C01"/>
    <w:rPr>
      <w:b/>
      <w:bCs/>
      <w:smallCaps/>
      <w:color w:val="0F4761" w:themeColor="accent1" w:themeShade="BF"/>
      <w:spacing w:val="5"/>
    </w:rPr>
  </w:style>
  <w:style w:type="character" w:styleId="CommentReference">
    <w:name w:val="annotation reference"/>
    <w:basedOn w:val="DefaultParagraphFont"/>
    <w:uiPriority w:val="99"/>
    <w:semiHidden/>
    <w:unhideWhenUsed/>
    <w:rsid w:val="003714F9"/>
    <w:rPr>
      <w:sz w:val="16"/>
      <w:szCs w:val="16"/>
    </w:rPr>
  </w:style>
  <w:style w:type="table" w:styleId="TableGrid">
    <w:name w:val="Table Grid"/>
    <w:basedOn w:val="TableNormal"/>
    <w:uiPriority w:val="59"/>
    <w:rsid w:val="003714F9"/>
    <w:pPr>
      <w:spacing w:after="0" w:line="240" w:lineRule="auto"/>
    </w:pPr>
    <w:rPr>
      <w:rFonts w:eastAsiaTheme="minorHAnsi"/>
      <w:kern w:val="0"/>
      <w:sz w:val="22"/>
      <w:szCs w:val="22"/>
      <w:lang w:val="en-GB" w:eastAsia="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3714F9"/>
    <w:pPr>
      <w:spacing w:after="200" w:line="240" w:lineRule="auto"/>
    </w:pPr>
    <w:rPr>
      <w:i/>
      <w:iCs/>
      <w:color w:val="0E2841" w:themeColor="text2"/>
      <w:sz w:val="18"/>
      <w:szCs w:val="18"/>
    </w:rPr>
  </w:style>
  <w:style w:type="character" w:styleId="PlaceholderText">
    <w:name w:val="Placeholder Text"/>
    <w:basedOn w:val="DefaultParagraphFont"/>
    <w:uiPriority w:val="99"/>
    <w:semiHidden/>
    <w:rsid w:val="003714F9"/>
    <w:rPr>
      <w:color w:val="666666"/>
    </w:rPr>
  </w:style>
  <w:style w:type="paragraph" w:styleId="Revision">
    <w:name w:val="Revision"/>
    <w:hidden/>
    <w:uiPriority w:val="99"/>
    <w:semiHidden/>
    <w:rsid w:val="00354E71"/>
    <w:pPr>
      <w:spacing w:after="0" w:line="240" w:lineRule="auto"/>
    </w:pPr>
    <w:rPr>
      <w:rFonts w:eastAsiaTheme="minorHAnsi"/>
      <w:sz w:val="22"/>
      <w:szCs w:val="22"/>
      <w:lang w:val="en-US" w:eastAsia="en-US"/>
    </w:rPr>
  </w:style>
  <w:style w:type="paragraph" w:styleId="NormalWeb">
    <w:name w:val="Normal (Web)"/>
    <w:basedOn w:val="Normal"/>
    <w:uiPriority w:val="99"/>
    <w:unhideWhenUsed/>
    <w:rsid w:val="0029311E"/>
    <w:pPr>
      <w:spacing w:before="100" w:beforeAutospacing="1" w:after="100" w:afterAutospacing="1" w:line="240" w:lineRule="auto"/>
    </w:pPr>
    <w:rPr>
      <w:rFonts w:ascii="Times New Roman" w:eastAsiaTheme="minorEastAsia" w:hAnsi="Times New Roman" w:cs="Times New Roman"/>
      <w:kern w:val="0"/>
      <w:sz w:val="24"/>
      <w:szCs w:val="24"/>
      <w:lang w:val="en-MY"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3700939">
      <w:marLeft w:val="640"/>
      <w:marRight w:val="0"/>
      <w:marTop w:val="0"/>
      <w:marBottom w:val="0"/>
      <w:divBdr>
        <w:top w:val="none" w:sz="0" w:space="0" w:color="auto"/>
        <w:left w:val="none" w:sz="0" w:space="0" w:color="auto"/>
        <w:bottom w:val="none" w:sz="0" w:space="0" w:color="auto"/>
        <w:right w:val="none" w:sz="0" w:space="0" w:color="auto"/>
      </w:divBdr>
    </w:div>
    <w:div w:id="151217168">
      <w:marLeft w:val="640"/>
      <w:marRight w:val="0"/>
      <w:marTop w:val="0"/>
      <w:marBottom w:val="0"/>
      <w:divBdr>
        <w:top w:val="none" w:sz="0" w:space="0" w:color="auto"/>
        <w:left w:val="none" w:sz="0" w:space="0" w:color="auto"/>
        <w:bottom w:val="none" w:sz="0" w:space="0" w:color="auto"/>
        <w:right w:val="none" w:sz="0" w:space="0" w:color="auto"/>
      </w:divBdr>
    </w:div>
    <w:div w:id="253175856">
      <w:marLeft w:val="640"/>
      <w:marRight w:val="0"/>
      <w:marTop w:val="0"/>
      <w:marBottom w:val="0"/>
      <w:divBdr>
        <w:top w:val="none" w:sz="0" w:space="0" w:color="auto"/>
        <w:left w:val="none" w:sz="0" w:space="0" w:color="auto"/>
        <w:bottom w:val="none" w:sz="0" w:space="0" w:color="auto"/>
        <w:right w:val="none" w:sz="0" w:space="0" w:color="auto"/>
      </w:divBdr>
    </w:div>
    <w:div w:id="546334565">
      <w:marLeft w:val="640"/>
      <w:marRight w:val="0"/>
      <w:marTop w:val="0"/>
      <w:marBottom w:val="0"/>
      <w:divBdr>
        <w:top w:val="none" w:sz="0" w:space="0" w:color="auto"/>
        <w:left w:val="none" w:sz="0" w:space="0" w:color="auto"/>
        <w:bottom w:val="none" w:sz="0" w:space="0" w:color="auto"/>
        <w:right w:val="none" w:sz="0" w:space="0" w:color="auto"/>
      </w:divBdr>
    </w:div>
    <w:div w:id="814368965">
      <w:marLeft w:val="640"/>
      <w:marRight w:val="0"/>
      <w:marTop w:val="0"/>
      <w:marBottom w:val="0"/>
      <w:divBdr>
        <w:top w:val="none" w:sz="0" w:space="0" w:color="auto"/>
        <w:left w:val="none" w:sz="0" w:space="0" w:color="auto"/>
        <w:bottom w:val="none" w:sz="0" w:space="0" w:color="auto"/>
        <w:right w:val="none" w:sz="0" w:space="0" w:color="auto"/>
      </w:divBdr>
    </w:div>
    <w:div w:id="825778398">
      <w:marLeft w:val="640"/>
      <w:marRight w:val="0"/>
      <w:marTop w:val="0"/>
      <w:marBottom w:val="0"/>
      <w:divBdr>
        <w:top w:val="none" w:sz="0" w:space="0" w:color="auto"/>
        <w:left w:val="none" w:sz="0" w:space="0" w:color="auto"/>
        <w:bottom w:val="none" w:sz="0" w:space="0" w:color="auto"/>
        <w:right w:val="none" w:sz="0" w:space="0" w:color="auto"/>
      </w:divBdr>
    </w:div>
    <w:div w:id="1027096582">
      <w:marLeft w:val="640"/>
      <w:marRight w:val="0"/>
      <w:marTop w:val="0"/>
      <w:marBottom w:val="0"/>
      <w:divBdr>
        <w:top w:val="none" w:sz="0" w:space="0" w:color="auto"/>
        <w:left w:val="none" w:sz="0" w:space="0" w:color="auto"/>
        <w:bottom w:val="none" w:sz="0" w:space="0" w:color="auto"/>
        <w:right w:val="none" w:sz="0" w:space="0" w:color="auto"/>
      </w:divBdr>
    </w:div>
    <w:div w:id="1361206291">
      <w:marLeft w:val="640"/>
      <w:marRight w:val="0"/>
      <w:marTop w:val="0"/>
      <w:marBottom w:val="0"/>
      <w:divBdr>
        <w:top w:val="none" w:sz="0" w:space="0" w:color="auto"/>
        <w:left w:val="none" w:sz="0" w:space="0" w:color="auto"/>
        <w:bottom w:val="none" w:sz="0" w:space="0" w:color="auto"/>
        <w:right w:val="none" w:sz="0" w:space="0" w:color="auto"/>
      </w:divBdr>
    </w:div>
    <w:div w:id="1391726761">
      <w:marLeft w:val="640"/>
      <w:marRight w:val="0"/>
      <w:marTop w:val="0"/>
      <w:marBottom w:val="0"/>
      <w:divBdr>
        <w:top w:val="none" w:sz="0" w:space="0" w:color="auto"/>
        <w:left w:val="none" w:sz="0" w:space="0" w:color="auto"/>
        <w:bottom w:val="none" w:sz="0" w:space="0" w:color="auto"/>
        <w:right w:val="none" w:sz="0" w:space="0" w:color="auto"/>
      </w:divBdr>
    </w:div>
    <w:div w:id="1405567067">
      <w:marLeft w:val="640"/>
      <w:marRight w:val="0"/>
      <w:marTop w:val="0"/>
      <w:marBottom w:val="0"/>
      <w:divBdr>
        <w:top w:val="none" w:sz="0" w:space="0" w:color="auto"/>
        <w:left w:val="none" w:sz="0" w:space="0" w:color="auto"/>
        <w:bottom w:val="none" w:sz="0" w:space="0" w:color="auto"/>
        <w:right w:val="none" w:sz="0" w:space="0" w:color="auto"/>
      </w:divBdr>
    </w:div>
    <w:div w:id="1764448571">
      <w:marLeft w:val="640"/>
      <w:marRight w:val="0"/>
      <w:marTop w:val="0"/>
      <w:marBottom w:val="0"/>
      <w:divBdr>
        <w:top w:val="none" w:sz="0" w:space="0" w:color="auto"/>
        <w:left w:val="none" w:sz="0" w:space="0" w:color="auto"/>
        <w:bottom w:val="none" w:sz="0" w:space="0" w:color="auto"/>
        <w:right w:val="none" w:sz="0" w:space="0" w:color="auto"/>
      </w:divBdr>
    </w:div>
    <w:div w:id="1780837281">
      <w:marLeft w:val="640"/>
      <w:marRight w:val="0"/>
      <w:marTop w:val="0"/>
      <w:marBottom w:val="0"/>
      <w:divBdr>
        <w:top w:val="none" w:sz="0" w:space="0" w:color="auto"/>
        <w:left w:val="none" w:sz="0" w:space="0" w:color="auto"/>
        <w:bottom w:val="none" w:sz="0" w:space="0" w:color="auto"/>
        <w:right w:val="none" w:sz="0" w:space="0" w:color="auto"/>
      </w:divBdr>
    </w:div>
    <w:div w:id="2032489754">
      <w:marLeft w:val="640"/>
      <w:marRight w:val="0"/>
      <w:marTop w:val="0"/>
      <w:marBottom w:val="0"/>
      <w:divBdr>
        <w:top w:val="none" w:sz="0" w:space="0" w:color="auto"/>
        <w:left w:val="none" w:sz="0" w:space="0" w:color="auto"/>
        <w:bottom w:val="none" w:sz="0" w:space="0" w:color="auto"/>
        <w:right w:val="none" w:sz="0" w:space="0" w:color="auto"/>
      </w:divBdr>
    </w:div>
    <w:div w:id="2100133360">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CABF536-C71D-5045-B35B-EBC733A4DE5A}">
  <we:reference id="f78a3046-9e99-4300-aa2b-5814002b01a2" version="1.55.1.0" store="EXCatalog" storeType="EXCatalog"/>
  <we:alternateReferences>
    <we:reference id="WA104382081" version="1.55.1.0" store="en-MY" storeType="OMEX"/>
  </we:alternateReferences>
  <we:properties>
    <we:property name="MENDELEY_CITATIONS" value="[{&quot;citationID&quot;:&quot;MENDELEY_CITATION_57456158-488a-4921-90a8-54e6c198f5b3&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&quot;,&quot;citationItems&quot;:[{&quot;id&quot;:&quot;7e48ec03-65fc-3bab-a87f-17edbc18d21d&quot;,&quot;itemData&quot;:{&quot;type&quot;:&quot;article&quot;,&quot;id&quot;:&quot;7e48ec03-65fc-3bab-a87f-17edbc18d21d&quot;,&quot;title&quot;:&quot;Bacterial profile of ocular infections: A systematic review&quot;,&quot;groupId&quot;:&quot;59109f0e-1e3e-3cd8-8d25-97189ccb0849&quot;,&quot;author&quot;:[{&quot;family&quot;:&quot;Teweldemedhin&quot;,&quot;given&quot;:&quot;Mebrahtu&quot;,&quot;parse-names&quot;:false,&quot;dropping-particle&quot;:&quot;&quot;,&quot;non-dropping-particle&quot;:&quot;&quot;},{&quot;family&quot;:&quot;Gebreyesus&quot;,&quot;given&quot;:&quot;Hailay&quot;,&quot;parse-names&quot;:false,&quot;dropping-particle&quot;:&quot;&quot;,&quot;non-dropping-particle&quot;:&quot;&quot;},{&quot;family&quot;:&quot;Atsbaha&quot;,&quot;given&quot;:&quot;Ataklti Hailu&quot;,&quot;parse-names&quot;:false,&quot;dropping-particle&quot;:&quot;&quot;,&quot;non-dropping-particle&quot;:&quot;&quot;},{&quot;family&quot;:&quot;Asgedom&quot;,&quot;given&quot;:&quot;Solomon Weldegebreal&quot;,&quot;parse-names&quot;:false,&quot;dropping-particle&quot;:&quot;&quot;,&quot;non-dropping-particle&quot;:&quot;&quot;},{&quot;family&quot;:&quot;Saravanan&quot;,&quot;given&quot;:&quot;Muthupandian&quot;,&quot;parse-names&quot;:false,&quot;dropping-particle&quot;:&quot;&quot;,&quot;non-dropping-particle&quot;:&quot;&quot;}],&quot;container-title&quot;:&quot;BMC Ophthalmology&quot;,&quot;container-title-short&quot;:&quot;BMC Ophthalmol&quot;,&quot;DOI&quot;:&quot;10.1186/s12886-017-0612-2&quot;,&quot;ISSN&quot;:&quot;14712415&quot;,&quot;PMID&quot;:&quot;29178851&quot;,&quot;issued&quot;:{&quot;date-parts&quot;:[[2017,11,25]]},&quot;abstract&quot;:&quot;Background: Bacteria are the major contributor of ocular infections worldwide. Ocular infections, if left untreated, can damage the structures of the eye with possible blindness and visual impairments. This work was aimed to review the bacterial profile of ocular infections. Methods: Literature search was made in different electronic databases; the review was systematically made to get concrete findings. Results: As far as this review, Staphylococcus aureus, Coagulase negative Staphylococci, Streptococcus pneumoniae and Pseudomonas aeruginosa are the leading isolates in ocular infections. Frequent pathogens of the respective clinical diagnose include Staphylococci, Streptococcus pyogenes and Pseudomonas aeruginosa in blepharitis; Staphylococci, Streptococus pneumoniae, Pseudomonas aeruginosa, Klebsiella pneumoniae and Escherichia coli in Conjunctivitis; Staphylococci, P. aeruginosa and E. coli in dacryocystitis; Coagulase negative Staphylococci, Pseudomonas aeruginosa and Staphylococcus aureus in keratitis; Streptococcus viridians, Streptococcus pneumoniae and Coagulase negative Staphylococci in endophthalmitis diagnoses. Endogenous endophthalmitis is associated with Klebsiella pneumoniae whereas Coagulase negative Staphylococci and Bacillus spp. are common causes of post-operative and post-traumatic endophthalmitis. However, the predominant pathogens may not be exactly same in all areas of the world, in the United States for instance, Staphylococcus aureus, Streptococcus pneumoniae and Haemophilus influenzae are the major causes of conjunctivitis. Conclusion: Gram positive bacteria are the major contributor of bacterial ocular infections. The distribution and proportion of bacterial isolates among clinical diagnoses varied but without exclusive anatomical restriction. To mitigate the burden of bacterial ocular infections, physicians should regard on risk reduction and comply with etiologic approach of diagnosis.&quot;,&quot;publisher&quot;:&quot;BioMed Central Ltd.&quot;,&quot;issue&quot;:&quot;1&quot;,&quot;volume&quot;:&quot;17&quot;},&quot;isTemporary&quot;:false},{&quot;id&quot;:&quot;51cb88f4-c495-309d-aa63-c0f0f129d04f&quot;,&quot;itemData&quot;:{&quot;type&quot;:&quot;book&quot;,&quot;id&quot;:&quot;51cb88f4-c495-309d-aa63-c0f0f129d04f&quot;,&quot;title&quot;:&quot;The eye: Basic sciences in practice&quot;,&quot;groupId&quot;:&quot;59109f0e-1e3e-3cd8-8d25-97189ccb0849&quot;,&quot;author&quot;:[{&quot;family&quot;:&quot;Forrester&quot;,&quot;given&quot;:&quot;John&quot;,&quot;parse-names&quot;:false,&quot;dropping-particle&quot;:&quot;V.&quot;,&quot;non-dropping-particle&quot;:&quot;&quot;},{&quot;family&quot;:&quot;Dick&quot;,&quot;given&quot;:&quot;Andrew D.&quot;,&quot;parse-names&quot;:false,&quot;dropping-particle&quot;:&quot;&quot;,&quot;non-dropping-particle&quot;:&quot;&quot;},{&quot;family&quot;:&quot;McMenamin&quot;,&quot;given&quot;:&quot;Paul G.&quot;,&quot;parse-names&quot;:false,&quot;dropping-particle&quot;:&quot;&quot;,&quot;non-dropping-particle&quot;:&quot;&quot;},{&quot;family&quot;:&quot;Roberts&quot;,&quot;given&quot;:&quot;Fiona&quot;,&quot;parse-names&quot;:false,&quot;dropping-particle&quot;:&quot;&quot;,&quot;non-dropping-particle&quot;:&quot;&quot;},{&quot;family&quot;:&quot;Pearlman&quot;,&quot;given&quot;:&quot;Eric&quot;,&quot;parse-names&quot;:false,&quot;dropping-particle&quot;:&quot;&quot;,&quot;non-dropping-particle&quot;:&quot;&quot;}],&quot;accessed&quot;:{&quot;date-parts&quot;:[[2025,8,17]]},&quot;DOI&quot;:&quot;10.1016/C2012-0-07682-X&quot;,&quot;ISBN&quot;:&quot;9780702055546&quot;,&quot;URL&quot;:&quot;https://research.monash.edu/en/publications/the-eye-basic-sciences-in-practice-2&quot;,&quot;issued&quot;:{&quot;date-parts&quot;:[[2016]]},&quot;publisher-place&quot;:&quot;Edinburgh UK&quot;,&quot;abstract&quot;:&quot;The Eye: Basic Sciences in Practice provides highly accessible, concise coverage of all the essential basic science required by today's ophthalmologists and optometrists in training. It is also essential reading for those embarking on a career in visual and ophthalmic science, as well as an invaluable, current refresher for the range of practitioners working in this area. This new fourth edition has now been fully revised and updated in line with current curricula, key research developments and clinical best practice. It succinctly incorporates the massive strides being made by genetics and functional genomics based on the Human Genome Project, the new understanding of how the microbiome affects all aspects of immunology, the remarkable progress in imaging technology now applied to anatomy and neurophysiology, as well as exciting new molecular and other diagnostic methodologies now being used in microbiology and pathology. All this and more collectively brings a wealth of new knowledge to students and practitioners in the fields of ophthalmology and visual science. For the first time, this (print) edition also now comes with bonus access to the complete, fully searchable electronic text - including carefully selected additional information and new video content to further explain and expand on key concepts - making The Eye a more flexible, comprehensive and engaging learning package than ever before.&quot;,&quot;edition&quot;:&quot;4&quot;,&quot;publisher&quot;:&quot;Elsevier&quot;},&quot;isTemporary&quot;:false}]}]"/>
    <we:property name="MENDELEY_CITATIONS_LOCALE_CODE" value="&quot;en-US&quot;"/>
    <we:property name="MENDELEY_CITATIONS_STYLE" value="{&quot;id&quot;:&quot;https://www.zotero.org/styles/american-medical-association&quot;,&quot;title&quot;:&quot;American Medical Association 11th editio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017C7-8946-774C-87C8-47416B120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44</Words>
  <Characters>253</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IIUM</Company>
  <LinksUpToDate>false</LinksUpToDate>
  <CharactersWithSpaces>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MOHAMED YEHIA NAGUIB AHMED OSMAN</dc:creator>
  <cp:keywords/>
  <dc:description/>
  <cp:lastModifiedBy>AHMED MOHAMED YEHIA NAGUIB AHMED OSMAN</cp:lastModifiedBy>
  <cp:revision>5</cp:revision>
  <dcterms:created xsi:type="dcterms:W3CDTF">2025-08-23T00:20:00Z</dcterms:created>
  <dcterms:modified xsi:type="dcterms:W3CDTF">2026-09-02T07:43:00Z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