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C69CB" w14:textId="77777777" w:rsidR="009170A5" w:rsidRPr="008F056F" w:rsidRDefault="009170A5" w:rsidP="009170A5">
      <w:pPr>
        <w:pStyle w:val="NormalWeb"/>
        <w:jc w:val="both"/>
        <w:rPr>
          <w:rFonts w:ascii="Calibri" w:hAnsi="Calibri" w:cs="Calibri"/>
          <w:sz w:val="22"/>
          <w:szCs w:val="22"/>
        </w:rPr>
      </w:pPr>
    </w:p>
    <w:tbl>
      <w:tblPr>
        <w:tblW w:w="9180" w:type="dxa"/>
        <w:jc w:val="center"/>
        <w:tblLayout w:type="fixed"/>
        <w:tblLook w:val="0420" w:firstRow="1" w:lastRow="0" w:firstColumn="0" w:lastColumn="0" w:noHBand="0" w:noVBand="1"/>
      </w:tblPr>
      <w:tblGrid>
        <w:gridCol w:w="1710"/>
        <w:gridCol w:w="2250"/>
        <w:gridCol w:w="1710"/>
        <w:gridCol w:w="2070"/>
        <w:gridCol w:w="1440"/>
      </w:tblGrid>
      <w:tr w:rsidR="009170A5" w:rsidRPr="003612F6" w14:paraId="6222E845" w14:textId="77777777" w:rsidTr="00912DA3">
        <w:trPr>
          <w:tblHeader/>
          <w:jc w:val="center"/>
        </w:trPr>
        <w:tc>
          <w:tcPr>
            <w:tcW w:w="1710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37945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030" w:type="dxa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034D1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Treatment group</w:t>
            </w:r>
          </w:p>
        </w:tc>
        <w:tc>
          <w:tcPr>
            <w:tcW w:w="1440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70D37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</w:t>
            </w:r>
          </w:p>
        </w:tc>
      </w:tr>
      <w:tr w:rsidR="009170A5" w:rsidRPr="003612F6" w14:paraId="62FB5D3E" w14:textId="77777777" w:rsidTr="00912DA3">
        <w:trPr>
          <w:tblHeader/>
          <w:jc w:val="center"/>
        </w:trPr>
        <w:tc>
          <w:tcPr>
            <w:tcW w:w="1710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5917B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Characteristic</w:t>
            </w:r>
          </w:p>
        </w:tc>
        <w:tc>
          <w:tcPr>
            <w:tcW w:w="2250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B0389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Overall</w:t>
            </w: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</w:t>
            </w: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br/>
              <w:t>N = 73</w:t>
            </w: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710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36F51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Chemotherapy</w:t>
            </w: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</w:t>
            </w: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br/>
              <w:t>N = 44</w:t>
            </w: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2070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25A62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Chemo-immunotherapy</w:t>
            </w: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</w:t>
            </w: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br/>
              <w:t>N = 29</w:t>
            </w: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440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22110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p-value</w:t>
            </w: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9170A5" w:rsidRPr="003612F6" w14:paraId="31BC1773" w14:textId="77777777" w:rsidTr="00912DA3">
        <w:trPr>
          <w:jc w:val="center"/>
        </w:trPr>
        <w:tc>
          <w:tcPr>
            <w:tcW w:w="1710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50C3B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Age at diagnosis (years)</w:t>
            </w:r>
          </w:p>
        </w:tc>
        <w:tc>
          <w:tcPr>
            <w:tcW w:w="2250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3252C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57.0 (43.0, 68.0)</w:t>
            </w:r>
          </w:p>
        </w:tc>
        <w:tc>
          <w:tcPr>
            <w:tcW w:w="1710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5FED8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58.0 (44.5, 66.5)</w:t>
            </w:r>
          </w:p>
        </w:tc>
        <w:tc>
          <w:tcPr>
            <w:tcW w:w="2070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E9A08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52.0 (39.0, 69.0)</w:t>
            </w:r>
          </w:p>
        </w:tc>
        <w:tc>
          <w:tcPr>
            <w:tcW w:w="1440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7FE86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0.640</w:t>
            </w:r>
          </w:p>
        </w:tc>
      </w:tr>
      <w:tr w:rsidR="009170A5" w:rsidRPr="003612F6" w14:paraId="2B85FD4E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C562B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Biopsy length (mm)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27CB8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9.0 (6.0, 12.0)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79B86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8.5 (6.0, 12.0)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6471C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9.0 (6.0, 12.0)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2D86F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0.984</w:t>
            </w:r>
          </w:p>
        </w:tc>
      </w:tr>
      <w:tr w:rsidR="009170A5" w:rsidRPr="003612F6" w14:paraId="188C66FA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37127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Tumor bed area</w:t>
            </w:r>
            <w:r w:rsidRPr="003612F6"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8BA82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104.0 (32.0, 455.0)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80929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116.0 (46.0, 455.0)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42E28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70.0 (24.0, 209.0)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B7A37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0.430</w:t>
            </w:r>
          </w:p>
        </w:tc>
      </w:tr>
      <w:tr w:rsidR="009170A5" w:rsidRPr="003612F6" w14:paraId="11164BAB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733E0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RCB score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DF4E9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1.2 (0.0, 1.6)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97500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1.2 (0.0, 1.8)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A3946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1.2 (0.0, 1.6)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3F5B7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0.580</w:t>
            </w:r>
          </w:p>
        </w:tc>
      </w:tr>
      <w:tr w:rsidR="009170A5" w:rsidRPr="003612F6" w14:paraId="244A8280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1AA77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Ki67 % (biopsy)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55011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58.0 (40.5, 72.0)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D5A2F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57.0 (41.0, 72.0)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9692D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59.0 (40.0, 71.0)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48B23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0.930</w:t>
            </w:r>
          </w:p>
        </w:tc>
      </w:tr>
      <w:tr w:rsidR="009170A5" w:rsidRPr="003612F6" w14:paraId="1D3E49B6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D3899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12617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F1865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7C4F2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B1AC1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0EEF4417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E9EA9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Tumor size (x-ray)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9A78A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30.0 (22.0, 40.0)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D3393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30.0 (21.5, 39.5)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04B19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33.0 (22.0, 40.0)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DB682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0.318</w:t>
            </w:r>
          </w:p>
        </w:tc>
      </w:tr>
      <w:tr w:rsidR="009170A5" w:rsidRPr="003612F6" w14:paraId="4F86C96E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3D5F1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TILs (biopsy, %)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32724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10.0 (5.0, 40.0)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18300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20.0 (7.5, 50.0)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B6AD9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10.0 (5.0, 20.0)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EC420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0.102</w:t>
            </w:r>
          </w:p>
        </w:tc>
      </w:tr>
      <w:tr w:rsidR="009170A5" w:rsidRPr="003612F6" w14:paraId="543E9D15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A5795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TILs (surgical, %)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EA1B5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5.0 (1.0, 30.0)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E6788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7.5 (1.0, 30.0)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6BC59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5.0 (1.0, 20.0)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48A69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0.957</w:t>
            </w:r>
          </w:p>
        </w:tc>
      </w:tr>
      <w:tr w:rsidR="009170A5" w:rsidRPr="003612F6" w14:paraId="0F5791AE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D1EA7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LN involvement (pre-NAC)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D8EFC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33ABB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0ED6D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1521A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0.808</w:t>
            </w:r>
          </w:p>
        </w:tc>
      </w:tr>
      <w:tr w:rsidR="009170A5" w:rsidRPr="003612F6" w14:paraId="6B5214A7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C78C9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26FD1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32 (48%)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872A0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18 (46%)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24BD3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14 (50%)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3C67A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4B63A441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F3ECF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&gt;0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953A7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35 (52%)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B2050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21 (54%)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34D18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14 (50%)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155C1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5E0D9083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134F8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9E263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ED711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D7E9F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F4C44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62DB8E68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DDA31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LN involvement (post-NAC)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85329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AF8B3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3DCB1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66132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0.333</w:t>
            </w:r>
          </w:p>
        </w:tc>
      </w:tr>
      <w:tr w:rsidR="009170A5" w:rsidRPr="003612F6" w14:paraId="22B857C1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3246B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8E148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55 (82%)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75AC8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30 (77%)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2530B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25 (89%)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8A32A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197EA183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B4442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&gt;0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653D8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12 (18%)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B6454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9 (23%)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4C2DC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 (11%)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42B50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578E589A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6E566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B467B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BC104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8723F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3B2C7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140BD6AA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A03C2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RCB class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EEDF6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BD0F5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C11A2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D4A64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0.747</w:t>
            </w:r>
          </w:p>
        </w:tc>
      </w:tr>
      <w:tr w:rsidR="009170A5" w:rsidRPr="003612F6" w14:paraId="57BBF91F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706CF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I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CFEE0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11 (15%)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AC2BF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6 (14%)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DFE63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 (17%)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51679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69ABD5AA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0F9F2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II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19107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28 (38%)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5AAC3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19 (43%)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4BFFF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9 (31%)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68C94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31CD00A9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0DB0A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III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FC0E8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4 (5.5%)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87FEB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 (4.5%)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010FF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 (6.9%)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8CA12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7EB14567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F315B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pCR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5415C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30 (41%)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91CF9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17 (39%)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938ED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13 (45%)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9A5FB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68CA80D8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07B99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NGS status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28E1A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2361C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2D8FF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B640F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0.499</w:t>
            </w:r>
          </w:p>
        </w:tc>
      </w:tr>
      <w:tr w:rsidR="009170A5" w:rsidRPr="003612F6" w14:paraId="0A47068D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DBFCD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BARD-1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3F36F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 (1.4%)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EF2F7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 (2.3%)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BE17F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 (0%)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69109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143D241D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3017F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BRCA1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D60C4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4 (5.5%)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6342B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 (4.5%)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C1DEE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 (6.9%)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4F1CC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6B9E5D4B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F2077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BRCA2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D23FC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 (2.7%)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A6193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 (4.5%)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E14DF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 (0%)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3B25D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3836A4D8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DF956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CHEK2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33215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 (1.4%)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5214D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 (0%)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B605D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 (3.4%)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C9E03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54F4C473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EBE73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PALB2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CFC4D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 (1.4%)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7C420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 (2.3%)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BFBA1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 (0%)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140ED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6DC9870E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14F76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PIK3CA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239FC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 (4.1%)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74367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 (6.8%)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18B80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 (0%)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19979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739A5816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F0497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without mutation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01342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61 (84%)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FB53A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35 (80%)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83B47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26 (90%)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6D806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2E28E98D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23237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lastRenderedPageBreak/>
              <w:t>Chemotherapeutic treatment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D22F3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29C3E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0F0CF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2F976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&lt;0.001</w:t>
            </w:r>
          </w:p>
        </w:tc>
      </w:tr>
      <w:tr w:rsidR="009170A5" w:rsidRPr="003612F6" w14:paraId="3231F560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49D36" w14:textId="77777777" w:rsidR="009170A5" w:rsidRPr="00014C31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hAnsi="Helvetica" w:cs="Calibri"/>
                <w:color w:val="000000"/>
                <w:sz w:val="16"/>
                <w:szCs w:val="16"/>
                <w:lang w:val="en-US"/>
              </w:rPr>
              <w:t>TA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01C66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4 (5.5%)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E5197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4 (9.1%)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CF435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 (0%)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173BE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2F12939C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F23F0" w14:textId="77777777" w:rsidR="009170A5" w:rsidRPr="00014C31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014C31">
              <w:rPr>
                <w:rFonts w:ascii="Helvetica" w:hAnsi="Helvetica" w:cs="Calibri"/>
                <w:color w:val="000000"/>
                <w:sz w:val="16"/>
                <w:szCs w:val="16"/>
                <w:lang w:val="en-US"/>
              </w:rPr>
              <w:t>TAX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293A5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20 (27%)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6D22B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20 (45%)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9A26D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 (0%)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8EB2B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62C05E66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589FB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CTA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B58DF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33 (45%)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D320F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14 (32%)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65B7D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19 (66%)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0B5EF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7610D081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26153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CTAX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C60B4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16 (22%)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6B209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6 (14%)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8B22D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10 (34%)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836F2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5AA84073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BE8F5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pTN stage (post-NAC)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50833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8567C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A913D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2A1DB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0.288</w:t>
            </w:r>
          </w:p>
        </w:tc>
      </w:tr>
      <w:tr w:rsidR="009170A5" w:rsidRPr="003612F6" w14:paraId="4114CBDD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D5938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pCR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459DE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31 (42%)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846AE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18 (41%)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C616B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13 (45%)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22866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6ABB4F79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DAC09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T0N1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DAB70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 (2.7%)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6BD2E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 (2.3%)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47137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 (3.4%)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82D37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65D967C2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4D383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T0N1mi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31A6A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 (1.4%)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91578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 (2.3%)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988F0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 (0%)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75233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2D707FF5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E79C8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T1N0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2D49D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26 (36%)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32E2D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14 (32%)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F5575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12 (41%)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E2C90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14E68314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9A635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T1N1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A0EAD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 (6.8%)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1F15F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 (11%)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579E9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 (0%)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2ECE2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5B1CC9FB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F5C19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T2N0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D1003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 (2.7%)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C1044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 (4.5%)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8DDFD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 (0%)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91239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75F218BE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D81A4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T2N1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35A27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4 (5.5%)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66176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 (6.8%)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5B6CC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 (3.4%)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27C2A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2BA408DC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C27C8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T3N0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F201C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 (1.4%)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FC70F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 (0%)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47213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 (3.4%)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924C2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346B71C4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4A65B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T3N3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EC102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 (1.4%)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F3C4C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 (0%)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90FE4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 (3.4%)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38754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2E72F083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83449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Year of diagnosis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AA452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EA26D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9F1C2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C883B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&lt;0.001</w:t>
            </w:r>
          </w:p>
        </w:tc>
      </w:tr>
      <w:tr w:rsidR="009170A5" w:rsidRPr="003612F6" w14:paraId="16DF0C0F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1AA75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≤ 2022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50E51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39 (53%)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2FBAA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38 (86%)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D721D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 (3.4%)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F95B4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20DCC61C" w14:textId="77777777" w:rsidTr="00912DA3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E640F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&gt; 2022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1474D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34 (47%)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92320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6 (14%)</w:t>
            </w:r>
          </w:p>
        </w:tc>
        <w:tc>
          <w:tcPr>
            <w:tcW w:w="2070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54768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28 (97%)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1573E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9170A5" w:rsidRPr="003612F6" w14:paraId="7892B00D" w14:textId="77777777" w:rsidTr="00912DA3">
        <w:trPr>
          <w:jc w:val="center"/>
        </w:trPr>
        <w:tc>
          <w:tcPr>
            <w:tcW w:w="9180" w:type="dxa"/>
            <w:gridSpan w:val="5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8D8D1" w14:textId="77777777" w:rsidR="009170A5" w:rsidRPr="003612F6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  <w:vertAlign w:val="superscript"/>
              </w:rPr>
              <w:t>1</w:t>
            </w:r>
            <w:r w:rsidRPr="003612F6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Median (Q1, Q3); n (%)</w:t>
            </w:r>
          </w:p>
        </w:tc>
      </w:tr>
      <w:tr w:rsidR="009170A5" w:rsidRPr="00E92926" w14:paraId="6C36ABFB" w14:textId="77777777" w:rsidTr="00912DA3">
        <w:trPr>
          <w:jc w:val="center"/>
        </w:trPr>
        <w:tc>
          <w:tcPr>
            <w:tcW w:w="9180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8D2AB" w14:textId="77777777" w:rsidR="009170A5" w:rsidRPr="006A14D0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16"/>
                <w:szCs w:val="16"/>
                <w:lang w:val="en-US"/>
              </w:rPr>
            </w:pPr>
            <w:r w:rsidRPr="006A14D0">
              <w:rPr>
                <w:rFonts w:ascii="Helvetica" w:eastAsia="Helvetica" w:hAnsi="Helvetica" w:cs="Helvetica"/>
                <w:color w:val="000000"/>
                <w:sz w:val="16"/>
                <w:szCs w:val="16"/>
                <w:vertAlign w:val="superscript"/>
                <w:lang w:val="en-US"/>
              </w:rPr>
              <w:t>2</w:t>
            </w:r>
            <w:r w:rsidRPr="006A14D0">
              <w:rPr>
                <w:rFonts w:ascii="Helvetica" w:eastAsia="Helvetica" w:hAnsi="Helvetica" w:cs="Helvetica"/>
                <w:color w:val="000000"/>
                <w:sz w:val="16"/>
                <w:szCs w:val="16"/>
                <w:lang w:val="en-US"/>
              </w:rPr>
              <w:t>Wilcoxon rank sum exact test; Fisher's exact test</w:t>
            </w:r>
          </w:p>
        </w:tc>
      </w:tr>
      <w:tr w:rsidR="009170A5" w:rsidRPr="00E92926" w14:paraId="6606AA28" w14:textId="77777777" w:rsidTr="00912DA3">
        <w:trPr>
          <w:jc w:val="center"/>
        </w:trPr>
        <w:tc>
          <w:tcPr>
            <w:tcW w:w="9180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0AF6D" w14:textId="77777777" w:rsidR="009170A5" w:rsidRPr="006A14D0" w:rsidRDefault="009170A5" w:rsidP="00912DA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16"/>
                <w:szCs w:val="16"/>
                <w:lang w:val="en-US"/>
              </w:rPr>
            </w:pPr>
            <w:r w:rsidRPr="006A14D0">
              <w:rPr>
                <w:rFonts w:ascii="Helvetica" w:eastAsia="Helvetica" w:hAnsi="Helvetica" w:cs="Helvetica"/>
                <w:color w:val="000000"/>
                <w:sz w:val="16"/>
                <w:szCs w:val="16"/>
                <w:vertAlign w:val="superscript"/>
                <w:lang w:val="en-US"/>
              </w:rPr>
              <w:t>3</w:t>
            </w:r>
            <w:r w:rsidRPr="006A14D0">
              <w:rPr>
                <w:rFonts w:ascii="Helvetica" w:eastAsia="Helvetica" w:hAnsi="Helvetica" w:cs="Helvetica"/>
                <w:color w:val="000000"/>
                <w:sz w:val="16"/>
                <w:szCs w:val="16"/>
                <w:lang w:val="en-US"/>
              </w:rPr>
              <w:t>Tumor bed area is undefined in pCR cases; 30 pCR and 4 cases with missing measurement were excluded.</w:t>
            </w:r>
          </w:p>
        </w:tc>
      </w:tr>
    </w:tbl>
    <w:p w14:paraId="28BABE43" w14:textId="77777777" w:rsidR="009170A5" w:rsidRDefault="009170A5" w:rsidP="009170A5">
      <w:pPr>
        <w:rPr>
          <w:rStyle w:val="Strong"/>
          <w:lang w:val="en-US"/>
        </w:rPr>
      </w:pPr>
    </w:p>
    <w:p w14:paraId="48230652" w14:textId="1F21E23D" w:rsidR="00DC2479" w:rsidRDefault="009170A5" w:rsidP="009170A5">
      <w:r w:rsidRPr="006A14D0">
        <w:rPr>
          <w:rStyle w:val="Strong"/>
          <w:rFonts w:ascii="Calibri" w:hAnsi="Calibri" w:cs="Calibri"/>
          <w:sz w:val="22"/>
          <w:szCs w:val="22"/>
          <w:lang w:val="en-US"/>
        </w:rPr>
        <w:t>Table 1. Clinicopathological characteristics by neoadjuvant treatment group.</w:t>
      </w:r>
      <w:r w:rsidRPr="006A14D0">
        <w:rPr>
          <w:rFonts w:ascii="Calibri" w:hAnsi="Calibri" w:cs="Calibri"/>
          <w:sz w:val="22"/>
          <w:szCs w:val="22"/>
          <w:lang w:val="en-US"/>
        </w:rPr>
        <w:br/>
        <w:t xml:space="preserve">Baseline and post-treatment clinicopathological characteristics of patients with TNBC treated with neoadjuvant chemotherapy alone or pembrolizumab-based chemo-immunotherapy. Continuous variables are shown as median (Q1, Q3) and categorical variables as n (%). P-values were calculated using the Wilcoxon rank-sum exact test </w:t>
      </w:r>
      <w:r>
        <w:rPr>
          <w:rFonts w:ascii="Calibri" w:hAnsi="Calibri" w:cs="Calibri"/>
          <w:sz w:val="22"/>
          <w:szCs w:val="22"/>
          <w:lang w:val="en-US"/>
        </w:rPr>
        <w:t xml:space="preserve">for continuous variables </w:t>
      </w:r>
      <w:r w:rsidRPr="006A14D0">
        <w:rPr>
          <w:rFonts w:ascii="Calibri" w:hAnsi="Calibri" w:cs="Calibri"/>
          <w:sz w:val="22"/>
          <w:szCs w:val="22"/>
          <w:lang w:val="en-US"/>
        </w:rPr>
        <w:t>or Fisher’s exact test</w:t>
      </w:r>
      <w:r>
        <w:rPr>
          <w:rFonts w:ascii="Calibri" w:hAnsi="Calibri" w:cs="Calibri"/>
          <w:sz w:val="22"/>
          <w:szCs w:val="22"/>
          <w:lang w:val="en-US"/>
        </w:rPr>
        <w:t xml:space="preserve"> for categorial variables</w:t>
      </w:r>
      <w:r w:rsidRPr="006413B8">
        <w:rPr>
          <w:rFonts w:ascii="Calibri" w:hAnsi="Calibri" w:cs="Calibri"/>
          <w:sz w:val="22"/>
          <w:szCs w:val="22"/>
          <w:lang w:val="en-US"/>
        </w:rPr>
        <w:t xml:space="preserve">. </w:t>
      </w:r>
      <w:r w:rsidRPr="006413B8">
        <w:rPr>
          <w:rFonts w:ascii="Calibri" w:hAnsi="Calibri" w:cs="Calibri"/>
          <w:color w:val="000000"/>
          <w:sz w:val="22"/>
          <w:szCs w:val="22"/>
          <w:lang w:val="en-US"/>
        </w:rPr>
        <w:t>Chemotherapy regimen categories: 0 = taxane + anthracycline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 xml:space="preserve"> (TA)</w:t>
      </w:r>
      <w:r w:rsidRPr="006413B8">
        <w:rPr>
          <w:rFonts w:ascii="Calibri" w:hAnsi="Calibri" w:cs="Calibri"/>
          <w:color w:val="000000"/>
          <w:sz w:val="22"/>
          <w:szCs w:val="22"/>
          <w:lang w:val="en-US"/>
        </w:rPr>
        <w:t>; 1 = taxane + anthracycline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 xml:space="preserve"> </w:t>
      </w:r>
      <w:r w:rsidRPr="006413B8">
        <w:rPr>
          <w:rFonts w:ascii="Calibri" w:hAnsi="Calibri" w:cs="Calibri"/>
          <w:color w:val="000000"/>
          <w:sz w:val="22"/>
          <w:szCs w:val="22"/>
          <w:lang w:val="en-US"/>
        </w:rPr>
        <w:t>+ capecitabine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 xml:space="preserve"> (TAX, X=capecitabine; </w:t>
      </w:r>
      <w:r>
        <w:rPr>
          <w:rFonts w:ascii="Calibri" w:hAnsi="Calibri" w:cs="Calibri"/>
          <w:i/>
          <w:iCs/>
          <w:color w:val="000000"/>
          <w:sz w:val="22"/>
          <w:szCs w:val="22"/>
          <w:lang w:val="en-US"/>
        </w:rPr>
        <w:t>xeloda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>)</w:t>
      </w:r>
      <w:r w:rsidRPr="006413B8">
        <w:rPr>
          <w:rFonts w:ascii="Calibri" w:hAnsi="Calibri" w:cs="Calibri"/>
          <w:color w:val="000000"/>
          <w:sz w:val="22"/>
          <w:szCs w:val="22"/>
          <w:lang w:val="en-US"/>
        </w:rPr>
        <w:t>; 2 = carboplatin + taxane + anthracycline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 xml:space="preserve"> (CTA)</w:t>
      </w:r>
      <w:r w:rsidRPr="006413B8">
        <w:rPr>
          <w:rFonts w:ascii="Calibri" w:hAnsi="Calibri" w:cs="Calibri"/>
          <w:color w:val="000000"/>
          <w:sz w:val="22"/>
          <w:szCs w:val="22"/>
          <w:lang w:val="en-US"/>
        </w:rPr>
        <w:t>; 3 = carboplatin + taxane + anthracycline + capecitabine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 xml:space="preserve"> (CTAX)</w:t>
      </w:r>
      <w:r w:rsidRPr="006413B8">
        <w:rPr>
          <w:rFonts w:ascii="Calibri" w:hAnsi="Calibri" w:cs="Calibri"/>
          <w:color w:val="000000"/>
          <w:sz w:val="22"/>
          <w:szCs w:val="22"/>
          <w:lang w:val="en-US"/>
        </w:rPr>
        <w:t>.</w:t>
      </w:r>
    </w:p>
    <w:sectPr w:rsidR="00DC2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0A5"/>
    <w:rsid w:val="005B6877"/>
    <w:rsid w:val="009170A5"/>
    <w:rsid w:val="00AA0C39"/>
    <w:rsid w:val="00C829BA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079BD"/>
  <w15:chartTrackingRefBased/>
  <w15:docId w15:val="{3E7DC483-D4F6-4F69-A04F-9A87A0E7F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0A5"/>
    <w:pPr>
      <w:spacing w:after="0" w:line="240" w:lineRule="auto"/>
    </w:pPr>
    <w:rPr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70A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70A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70A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70A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70A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70A5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70A5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70A5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70A5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7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7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7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70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70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70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70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70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70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70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917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70A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917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70A5"/>
    <w:pPr>
      <w:spacing w:before="160" w:after="160" w:line="278" w:lineRule="auto"/>
      <w:jc w:val="center"/>
    </w:pPr>
    <w:rPr>
      <w:i/>
      <w:iCs/>
      <w:color w:val="404040" w:themeColor="text1" w:themeTint="BF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9170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70A5"/>
    <w:pPr>
      <w:spacing w:after="160" w:line="278" w:lineRule="auto"/>
      <w:ind w:left="720"/>
      <w:contextualSpacing/>
    </w:pPr>
    <w:rPr>
      <w:lang w:val="en-IN"/>
    </w:rPr>
  </w:style>
  <w:style w:type="character" w:styleId="IntenseEmphasis">
    <w:name w:val="Intense Emphasis"/>
    <w:basedOn w:val="DefaultParagraphFont"/>
    <w:uiPriority w:val="21"/>
    <w:qFormat/>
    <w:rsid w:val="009170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0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70A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170A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character" w:styleId="Strong">
    <w:name w:val="Strong"/>
    <w:basedOn w:val="DefaultParagraphFont"/>
    <w:uiPriority w:val="22"/>
    <w:qFormat/>
    <w:rsid w:val="009170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2455</Characters>
  <Application>Microsoft Office Word</Application>
  <DocSecurity>0</DocSecurity>
  <Lines>20</Lines>
  <Paragraphs>5</Paragraphs>
  <ScaleCrop>false</ScaleCrop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2026-09-14T09:14:00Z</dcterms:created>
  <dcterms:modified xsi:type="dcterms:W3CDTF">2026-09-14T09:14:00Z</dcterms:modified>
</cp:coreProperties>
</file>