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i w:val="0"/>
          <w:sz w:val="24"/>
        </w:rPr>
        <w:t>Additional file 1</w:t>
      </w:r>
    </w:p>
    <w:p>
      <w:pPr>
        <w:pStyle w:val="Title"/>
      </w:pPr>
      <w:r>
        <w:rPr>
          <w:rFonts w:ascii="Times New Roman" w:hAnsi="Times New Roman" w:eastAsia="Times New Roman"/>
          <w:b/>
          <w:sz w:val="32"/>
        </w:rPr>
        <w:t>Reporting Checklists and Exploratory Economic Transfer Scenarios</w:t>
      </w:r>
    </w:p>
    <w:p>
      <w:pPr>
        <w:spacing w:line="276" w:lineRule="auto"/>
        <w:jc w:val="center"/>
      </w:pPr>
      <w:r>
        <w:rPr>
          <w:rFonts w:ascii="Times New Roman" w:hAnsi="Times New Roman" w:eastAsia="Times New Roman"/>
          <w:i w:val="0"/>
          <w:sz w:val="22"/>
        </w:rPr>
        <w:t>Implementation of an Integrated Blood-Warming Pathway during Continuous Renal Replacement Therapy: a Pre-Post Quality-Improvement Study</w:t>
      </w:r>
    </w:p>
    <w:p>
      <w:pPr>
        <w:pStyle w:val="Heading1"/>
      </w:pPr>
      <w:r>
        <w:rPr>
          <w:rFonts w:ascii="Times New Roman" w:hAnsi="Times New Roman" w:eastAsia="Times New Roman"/>
          <w:b/>
          <w:sz w:val="26"/>
        </w:rPr>
        <w:t>SQUIRE 2.0 checklist</w:t>
      </w:r>
    </w:p>
    <w:p>
      <w:pPr>
        <w:spacing w:before="200" w:after="80" w:line="240" w:lineRule="auto"/>
      </w:pPr>
      <w:r>
        <w:rPr>
          <w:rFonts w:ascii="Times New Roman" w:hAnsi="Times New Roman" w:eastAsia="Times New Roman"/>
          <w:b/>
          <w:sz w:val="22"/>
        </w:rPr>
        <w:t>Table S1. SQUIRE 2.0 reporting checklist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9"/>
        <w:gridCol w:w="2239"/>
        <w:gridCol w:w="2239"/>
        <w:gridCol w:w="2239"/>
      </w:tblGrid>
      <w:tr>
        <w:trPr>
          <w:tblHeader w:val="true"/>
        </w:trPr>
        <w:tc>
          <w:tcPr>
            <w:tcW w:type="dxa" w:w="85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Item</w:t>
            </w:r>
          </w:p>
        </w:tc>
        <w:tc>
          <w:tcPr>
            <w:tcW w:type="dxa" w:w="19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Topic</w:t>
            </w:r>
          </w:p>
        </w:tc>
        <w:tc>
          <w:tcPr>
            <w:tcW w:type="dxa" w:w="464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How addressed</w:t>
            </w:r>
          </w:p>
        </w:tc>
        <w:tc>
          <w:tcPr>
            <w:tcW w:type="dxa" w:w="283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Manuscript location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1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Title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Identifies the intervention and quality-improvement design.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Title page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2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Abstract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Summarizes local problem, methods, results, limitations, and conclusions.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Structured Abstract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3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Problem description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Describes the local CRRT-associated hypothermia problem.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Background, paragraph 4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4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Available knowledge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Summarizes incidence, devices, and nursing practice evidence.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Background, paragraphs 1-3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5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Rationale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States the technical and human-factor theory of change.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Methods: Intervention and implementation strategy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6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Specific aims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Defines reduction below 36°C and elimination below 35°C.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Background, paragraph 4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7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Context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Describes hospital, two ICUs, mixed platforms, and dates.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Methods: Study design and setting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8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Intervention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Details platform, warming, monitoring, escalation, education, and feedback.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i w:val="0"/>
                <w:sz w:val="17"/>
              </w:rPr>
              <w:t>Methods: Intervention and implementation strategy; Table 2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9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Study of intervention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Explains uncontrolled pre-post evaluation and limitations.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Methods: Study design; Statistical analysis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10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Measures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Defines outcome, process, and balancing measures.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Methods: Outcomes and data sources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11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Analysis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Reports exact CIs, Fisher tests, risk difference, and RR.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Methods: Statistical analysis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12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Ethics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Reports IRB approval and waiver.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Methods: Ethics approval; Declarations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13a-d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Results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i w:val="0"/>
                <w:sz w:val="17"/>
              </w:rPr>
              <w:t>Reports cohorts, outcomes, fidelity-data limitations, and balancing signals.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i w:val="0"/>
                <w:sz w:val="17"/>
              </w:rPr>
              <w:t>Results; Tables 1-2; Figure 1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14-17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Interpretation, limitations, generalizability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Discusses mechanisms, context, bias, limitations, sustainability, and spread.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Discussion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18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Funding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Reports no external funding and role of institutional resources.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Declarations: Funding</w:t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b/>
          <w:sz w:val="26"/>
        </w:rPr>
        <w:t>STROBE checklist</w:t>
      </w:r>
    </w:p>
    <w:p>
      <w:pPr>
        <w:spacing w:before="200" w:after="80" w:line="240" w:lineRule="auto"/>
      </w:pPr>
      <w:r>
        <w:rPr>
          <w:rFonts w:ascii="Times New Roman" w:hAnsi="Times New Roman" w:eastAsia="Times New Roman"/>
          <w:b/>
          <w:sz w:val="22"/>
        </w:rPr>
        <w:t>Table S2. STROBE reporting checklist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9"/>
        <w:gridCol w:w="2239"/>
        <w:gridCol w:w="2239"/>
        <w:gridCol w:w="2239"/>
      </w:tblGrid>
      <w:tr>
        <w:trPr>
          <w:tblHeader w:val="true"/>
        </w:trPr>
        <w:tc>
          <w:tcPr>
            <w:tcW w:type="dxa" w:w="85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Item</w:t>
            </w:r>
          </w:p>
        </w:tc>
        <w:tc>
          <w:tcPr>
            <w:tcW w:type="dxa" w:w="19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Topic</w:t>
            </w:r>
          </w:p>
        </w:tc>
        <w:tc>
          <w:tcPr>
            <w:tcW w:type="dxa" w:w="464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How addressed</w:t>
            </w:r>
          </w:p>
        </w:tc>
        <w:tc>
          <w:tcPr>
            <w:tcW w:type="dxa" w:w="283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Manuscript location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1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Title and abstract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Study design identified; balanced structured abstract.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Title and Abstract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2-3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Background and objectives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Scientific rationale and prespecified aims stated.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Background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4-5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Study design and setting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Pre-post QI design, hospital, units, and dates described.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Methods: Study design and setting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6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Participants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i w:val="0"/>
                <w:sz w:val="17"/>
              </w:rPr>
              <w:t>Census of 70 preimplementation patients and 80 unique postimplementation patients representing 80 distinct CRRT-treated admissions; no sample-size calculation.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Methods: Study design and setting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7-8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Variables and data sources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i w:val="0"/>
                <w:sz w:val="17"/>
              </w:rPr>
              <w:t>Outcomes, intervention delivery, fidelity-data availability, and balancing signals defined.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Methods: Outcomes and data sources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9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Bias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Uncontrolled design and absence of verified patient-level comparability disclosed.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Methods and Discussion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10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Study size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All available eligible records in defined periods.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Methods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11-12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Quantitative variables and statistical methods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Exact CIs, Fisher tests, risk difference, and RR described.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Methods: Statistical analysis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13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Participant numbers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i w:val="0"/>
                <w:sz w:val="17"/>
              </w:rPr>
              <w:t>70 preimplementation patients and 80 unique postimplementation patients/80 distinct admissions reported.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Results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14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Descriptive data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Unavailable source-verified patient characteristics and CRRT treatment variables disclosed.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Methods and Discussion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15-17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Outcome data and analyses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Raw counts, proportions, precision, effect estimates, subgroup descriptions, and economic scenario reported.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Results; Tables 1-2; Figure 1; Table S3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18-21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Discussion and generalizability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Key results, limitations, interpretation, and external validity discussed.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Discussion</w:t>
            </w:r>
          </w:p>
        </w:tc>
      </w:tr>
      <w:tr>
        <w:trPr>
          <w:cantSplit/>
        </w:trPr>
        <w:tc>
          <w:tcPr>
            <w:tcW w:type="dxa" w:w="850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22</w:t>
            </w:r>
          </w:p>
        </w:tc>
        <w:tc>
          <w:tcPr>
            <w:tcW w:type="dxa" w:w="1984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Funding</w:t>
            </w:r>
          </w:p>
        </w:tc>
        <w:tc>
          <w:tcPr>
            <w:tcW w:type="dxa" w:w="4649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Funding source and manufacturer non-involvement stated.</w:t>
            </w:r>
          </w:p>
        </w:tc>
        <w:tc>
          <w:tcPr>
            <w:tcW w:type="dxa" w:w="283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Declarations: Funding</w:t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b/>
          <w:sz w:val="26"/>
        </w:rPr>
        <w:t>Exploratory economic transfer scenarios</w:t>
      </w:r>
    </w:p>
    <w:p>
      <w:pPr>
        <w:spacing w:before="200" w:after="80" w:line="240" w:lineRule="auto"/>
      </w:pPr>
      <w:r>
        <w:rPr>
          <w:rFonts w:ascii="Times New Roman" w:hAnsi="Times New Roman" w:eastAsia="Times New Roman"/>
          <w:b/>
          <w:sz w:val="22"/>
        </w:rPr>
        <w:t>Table S3. External-model economic transfer scenarios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9"/>
        <w:gridCol w:w="2239"/>
        <w:gridCol w:w="2239"/>
        <w:gridCol w:w="2239"/>
      </w:tblGrid>
      <w:tr>
        <w:trPr>
          <w:tblHeader w:val="true"/>
        </w:trPr>
        <w:tc>
          <w:tcPr>
            <w:tcW w:type="dxa" w:w="22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Transfer assumption</w:t>
            </w:r>
          </w:p>
        </w:tc>
        <w:tc>
          <w:tcPr>
            <w:tcW w:type="dxa" w:w="243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Gross US-dollar benchmark</w:t>
            </w:r>
          </w:p>
        </w:tc>
        <w:tc>
          <w:tcPr>
            <w:tcW w:type="dxa" w:w="243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Gross Saudi-riyal benchmark</w:t>
            </w:r>
          </w:p>
        </w:tc>
        <w:tc>
          <w:tcPr>
            <w:tcW w:type="dxa" w:w="340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Interpretation</w:t>
            </w:r>
          </w:p>
        </w:tc>
      </w:tr>
      <w:tr>
        <w:trPr>
          <w:cantSplit/>
        </w:trPr>
        <w:tc>
          <w:tcPr>
            <w:tcW w:type="dxa" w:w="2268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8"/>
              </w:rPr>
              <w:t>25%</w:t>
            </w:r>
          </w:p>
        </w:tc>
        <w:tc>
          <w:tcPr>
            <w:tcW w:type="dxa" w:w="2438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US$71,240</w:t>
            </w:r>
          </w:p>
        </w:tc>
        <w:tc>
          <w:tcPr>
            <w:tcW w:type="dxa" w:w="2438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SAR267,150</w:t>
            </w:r>
          </w:p>
        </w:tc>
        <w:tc>
          <w:tcPr>
            <w:tcW w:type="dxa" w:w="3402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External-model gross benchmark; not measured local savings</w:t>
            </w:r>
          </w:p>
        </w:tc>
      </w:tr>
      <w:tr>
        <w:trPr>
          <w:cantSplit/>
        </w:trPr>
        <w:tc>
          <w:tcPr>
            <w:tcW w:type="dxa" w:w="2268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8"/>
              </w:rPr>
              <w:t>50%</w:t>
            </w:r>
          </w:p>
        </w:tc>
        <w:tc>
          <w:tcPr>
            <w:tcW w:type="dxa" w:w="2438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US$142,480</w:t>
            </w:r>
          </w:p>
        </w:tc>
        <w:tc>
          <w:tcPr>
            <w:tcW w:type="dxa" w:w="2438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SAR534,300</w:t>
            </w:r>
          </w:p>
        </w:tc>
        <w:tc>
          <w:tcPr>
            <w:tcW w:type="dxa" w:w="3402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External-model gross benchmark; not measured local savings</w:t>
            </w:r>
          </w:p>
        </w:tc>
      </w:tr>
      <w:tr>
        <w:trPr>
          <w:cantSplit/>
        </w:trPr>
        <w:tc>
          <w:tcPr>
            <w:tcW w:type="dxa" w:w="2268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8"/>
              </w:rPr>
              <w:t>75%</w:t>
            </w:r>
          </w:p>
        </w:tc>
        <w:tc>
          <w:tcPr>
            <w:tcW w:type="dxa" w:w="2438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US$213,720</w:t>
            </w:r>
          </w:p>
        </w:tc>
        <w:tc>
          <w:tcPr>
            <w:tcW w:type="dxa" w:w="2438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SAR801,450</w:t>
            </w:r>
          </w:p>
        </w:tc>
        <w:tc>
          <w:tcPr>
            <w:tcW w:type="dxa" w:w="3402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External-model gross benchmark; not measured local savings</w:t>
            </w:r>
          </w:p>
        </w:tc>
      </w:tr>
      <w:tr>
        <w:trPr>
          <w:cantSplit/>
        </w:trPr>
        <w:tc>
          <w:tcPr>
            <w:tcW w:type="dxa" w:w="2268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eastAsia="Times New Roman"/>
                <w:sz w:val="18"/>
              </w:rPr>
              <w:t>100%</w:t>
            </w:r>
          </w:p>
        </w:tc>
        <w:tc>
          <w:tcPr>
            <w:tcW w:type="dxa" w:w="2438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US$284,960</w:t>
            </w:r>
          </w:p>
        </w:tc>
        <w:tc>
          <w:tcPr>
            <w:tcW w:type="dxa" w:w="2438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SAR1,068,600</w:t>
            </w:r>
          </w:p>
        </w:tc>
        <w:tc>
          <w:tcPr>
            <w:tcW w:type="dxa" w:w="3402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External-model gross benchmark; not measured local savings</w:t>
            </w:r>
          </w:p>
        </w:tc>
      </w:tr>
    </w:tbl>
    <w:p>
      <w:pPr>
        <w:spacing w:line="240" w:lineRule="auto" w:before="60" w:after="80"/>
      </w:pPr>
      <w:r>
        <w:rPr>
          <w:rFonts w:ascii="Times New Roman" w:hAnsi="Times New Roman" w:eastAsia="Times New Roman"/>
          <w:b w:val="0"/>
          <w:i/>
          <w:sz w:val="17"/>
        </w:rPr>
        <w:t>Based on the US$3562 per-admission estimate from Blackowicz et al. applied to 80 confirmed distinct postimplementation CRRT-treated admissions. The scenarios vary the degree to which the external model estimate is transferred. They are not inflation-adjusted, do not use Saudi unit costs, and do not subtract equipment, consumables, training, maintenance, staffing, or implementation expenditure.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53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Times New Roman" w:hAnsi="Times New Roman" w:eastAsia="Times New Roman"/>
        <w:i/>
        <w:sz w:val="18"/>
      </w:rPr>
      <w:t>Integrated blood-warming pathway during CRRT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  <w:jc w:val="both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