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eastAsia="Times New Roman"/>
          <w:b/>
          <w:bCs/>
          <w:sz w:val="28"/>
          <w:szCs w:val="28"/>
        </w:rPr>
        <w:t xml:space="preserve">Additional file 2 - TRIPOD+AI checklist</w:t>
      </w:r>
    </w:p>
    <w:p>
      <w:pPr>
        <w:spacing w:after="200"/>
        <w:jc w:val="center"/>
      </w:pPr>
      <w:r>
        <w:rPr>
          <w:rFonts w:ascii="Times New Roman" w:eastAsia="Times New Roman"/>
          <w:i/>
          <w:iCs/>
          <w:sz w:val="21"/>
          <w:szCs w:val="21"/>
        </w:rPr>
        <w:t xml:space="preserve">Dynamic prediction of early hepatic deterioration in critically ill patients with cirrhosis: model development in MIMIC-IV and transportability assessment across four international intensive care databases</w:t>
      </w:r>
    </w:p>
    <w:p>
      <w:pPr>
        <w:spacing w:after="100" w:line="300"/>
        <w:jc w:val="both"/>
      </w:pPr>
      <w:r>
        <w:rPr>
          <w:rFonts w:ascii="Times New Roman" w:eastAsia="Times New Roman"/>
          <w:sz w:val="20"/>
          <w:szCs w:val="20"/>
        </w:rPr>
        <w:t xml:space="preserve">Reporting follows the TRIPOD+AI statement (Collins GS, Moons KGM, Dhiman P, et al. BMJ. 2024;385:e078378). Locations refer to sections of the main manuscript; AF1 = Additional file 1 (supplement). This filled checklist may be transcribed onto the official EQUATOR template at submission if the journal requires it.</w:t>
      </w: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Title and abstract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1. Title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Identifies the study as development and evaluation of a prediction model, the target population, and the outcome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Title page: 'Dynamic prediction of early hepatic deterioration in critically ill patients with cirrhosis: model development in MIMIC-IV and transportability assessment across four international intensive care databases'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2. Abstract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Structured summary of data sources, participants, outcome, predictors, sample size, model performance, and limitations per TRIPOD+AI for abstracts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Abstract (Background / Methods / Results / Conclusions; 333 words) plus Keywords</w:t>
            </w:r>
          </w:p>
        </w:tc>
      </w:tr>
    </w:tbl>
    <w:p>
      <w:pPr>
        <w:spacing w:after="120"/>
      </w:pP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Introduction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3. Background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Rationale for the model; review of existing models and their limitations; clinical need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Introduction paragraphs 1-3 (surrogate-endpoint constraints, single-database limits, transportability gap)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4. Objectives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Prespecified objectives, distinguishing development and evaluation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Introduction final paragraph, objectives (1)-(4); transportability assessment explicitly distinguished from aetiology-matched validation</w:t>
            </w:r>
          </w:p>
        </w:tc>
      </w:tr>
    </w:tbl>
    <w:p>
      <w:pPr>
        <w:spacing w:after="120"/>
      </w:pP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Methods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5. Source of data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Data sources with dates, setting, and eligibility of databases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Data sources; AF1 Table S1 (five databases, versions, settings)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6. Participants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Eligibility criteria, setting, and how participants were selected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Development cohort (ICD codes listed); Methods - Models, benchmarks, and validation strategy (external all-comer gradable stays)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7. Outcome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Outcome definition, ascertainment, timing, and blinding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Outcome definitions and Universal worsening endpoint; AF1 S3 (formal definitions, thresholds, risk sets)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8. Predictors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Predictor definition, measurement, timing; predictor availability at intended use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Features; AF1 S2 (harmonisation, units, outlier contract) and S4 (feature engineering)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9. Sample size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How the sample size was arrived at; events per variable considerations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All eligible stays in MIMIC-IV 3.1 used (94,458 ICU stays screened; 6,703 included; 971 endpoint-A events); Results - Cohort characteristics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10. Missing data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Handling of missing data in predictors and outcome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Models (median imputation for LR; native handling in LightGBM); laboratory missingness count included as a feature (Methods - Features)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11. Analytical methods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Model types, variable selection, hyperparameter specification and tuning, class-imbalance handling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Methods - Models, benchmarks, and validation strategy (LR with median imputation/standardisation/class weighting; LightGBM hyperparameters fixed a priori, no tuning; class weighting)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12. Validation approach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Internal and external validation design, including grouping and transportability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Patient-grouped five-fold GroupKFold (development); zero-refitting application to four external databases; phenotype-restricted and diagnosis-matched validation (Methods; AF1 S6-S8)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13. Performance measures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Discrimination, calibration, clinical utility, and benchmark comparisons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AUROC, AUPRC, Brier score, calibration slope/intercept, decile plots, decision curve analysis; naive-rule benchmarks including the mechanistically matched gap-completion rule (Methods; AF1 S5-S6)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14. Fairness / heterogeneity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Performance examined across relevant subgroups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Aetiology subgroups HBV/HCV/alcohol (Table 5); liver-vulnerable vs non-vulnerable strata (Table 3); phenotype top-30% strata (Table 11); diagnosis-matched subgroups (Table 12)</w:t>
            </w:r>
          </w:p>
        </w:tc>
      </w:tr>
    </w:tbl>
    <w:p>
      <w:pPr>
        <w:spacing w:after="120"/>
      </w:pP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Results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15. Participants and flow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Numbers screened, included, events; baseline characteristics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Results - Cohort characteristics; Table 1 (6,703 stays; 5,509 gradable; 971 events)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16. Model specification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Final model described so it can be applied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Portable model: nine-analyte LightGBM, hyperparameters fixed (Methods; AF1 S6); model available from the corresponding author (Declarations)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17. Model performance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Performance with confidence intervals, in development and all validation populations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Tables 2, 3, 10-13; Figures 1-3; bootstrap 95% CIs throughout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18. Model updating / recalibration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Any recalibration or updating evaluated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Intercept-only external correction with corrected Brier scores and post-correction slopes (Results; Table 3); Platt recalibration for DCA (Methods; Figure 2)</w:t>
            </w:r>
          </w:p>
        </w:tc>
      </w:tr>
    </w:tbl>
    <w:p>
      <w:pPr>
        <w:spacing w:after="120"/>
      </w:pP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Discussion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19. Interpretation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Results interpreted in the context of objectives and previous work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Discussion paragraphs 1-4 (comparison with previous 392-stay study; honest bounds of the contribution)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20. Limitations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Study limitations, including endpoint validity, generalisability, and analytic caveats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Discussion - limitations paragraph (nine enumerated limitations, including surrogate endpoint, measurement-frequency confound, censoring, same-data recalibration optimism, Western high-income systems)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21. Usability and deployment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Intended use, deployment requirements, and monitoring considerations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Discussion paragraphs 4-5 (screening-trigger interpretation; local intercept recalibration required; universal endpoint only where monitoring is at least daily)</w:t>
            </w:r>
          </w:p>
        </w:tc>
      </w:tr>
    </w:tbl>
    <w:p>
      <w:pPr>
        <w:spacing w:after="120"/>
      </w:pPr>
    </w:p>
    <w:p>
      <w:pPr>
        <w:pStyle w:val="Heading1"/>
        <w:spacing w:after="100" w:before="220"/>
      </w:pPr>
      <w:r>
        <w:rPr>
          <w:rFonts w:ascii="Times New Roman" w:eastAsia="Times New Roman"/>
          <w:b/>
          <w:bCs/>
          <w:sz w:val="24"/>
          <w:szCs w:val="24"/>
        </w:rPr>
        <w:t xml:space="preserve">Other information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"/>
        <w:gridCol w:w="36"/>
        <w:gridCol w:w="46"/>
      </w:tblGrid>
      <w:tr>
        <w:trPr>
          <w:cantSplit/>
          <w:tblHeader/>
        </w:trPr>
        <w:tc>
          <w:tcPr>
            <w:tcW w:type="pct" w:w="18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TRIPOD+AI item</w:t>
            </w:r>
          </w:p>
        </w:tc>
        <w:tc>
          <w:tcPr>
            <w:tcW w:type="pct" w:w="3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Requirement (abbreviated)</w:t>
            </w:r>
          </w:p>
        </w:tc>
        <w:tc>
          <w:tcPr>
            <w:tcW w:type="pct" w:w="46%"/>
            <w:shd w:fill="EFEFEF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/>
                <w:bCs/>
                <w:sz w:val="17"/>
                <w:szCs w:val="17"/>
              </w:rPr>
              <w:t xml:space="preserve">Where addressed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22. Funding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Sources of funding and their role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Declarations - Funding: no external funding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23. Conflicts of interest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Declarations of interest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Declarations - Competing interests: none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24. Protocol and registration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Where the protocol/analysis plan can be accessed; registration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Not externally registered; primary landmark-horizon combination designated before analysis and carried from the previous study (Methods; limitation seven)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25. Data, code, and model availability</w:t>
            </w:r>
          </w:p>
        </w:tc>
        <w:tc>
          <w:tcPr>
            <w:tcW w:type="pct" w:w="3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Availability of data, analysis code, and the model</w:t>
            </w:r>
          </w:p>
        </w:tc>
        <w:tc>
          <w:tcPr>
            <w:tcW w:type="pct" w:w="46%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spacing w:line="240"/>
            </w:pPr>
            <w:r>
              <w:rPr>
                <w:rFonts w:ascii="Times New Roman" w:eastAsia="Times New Roman"/>
                <w:b w:val="false"/>
                <w:bCs w:val="false"/>
                <w:sz w:val="17"/>
                <w:szCs w:val="17"/>
              </w:rPr>
              <w:t xml:space="preserve">Declarations - Availability of data and materials; AF1 S9 (numbered reproduction pipeline); code and model from the corresponding author</w:t>
            </w:r>
          </w:p>
        </w:tc>
      </w:tr>
    </w:tbl>
    <w:p>
      <w:pPr>
        <w:spacing w:after="120"/>
      </w:pPr>
    </w:p>
    <w:p>
      <w:pPr>
        <w:spacing w:after="100" w:line="300"/>
        <w:jc w:val="both"/>
      </w:pPr>
      <w:r>
        <w:rPr>
          <w:rFonts w:ascii="Times New Roman" w:eastAsia="Times New Roman"/>
          <w:sz w:val="20"/>
          <w:szCs w:val="20"/>
        </w:rPr>
        <w:t xml:space="preserve">Total items addressed: 25. Prepared 2026-09-04.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Zhihui Zhao</dc:creator>
  <cp:lastModifiedBy>Zhihui Zhao</cp:lastModifiedBy>
  <cp:revision>1</cp:revision>
  <dcterms:created xsi:type="dcterms:W3CDTF">2026-09-03T23:15:16.763Z</dcterms:created>
  <dcterms:modified xsi:type="dcterms:W3CDTF">2026-09-03T23:15:16.764Z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