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Times New Roman" w:eastAsia="Times New Roman"/>
          <w:b/>
          <w:bCs/>
          <w:sz w:val="30"/>
          <w:szCs w:val="30"/>
        </w:rPr>
        <w:t xml:space="preserve">Additional file 1 - Supplementary material</w:t>
      </w:r>
    </w:p>
    <w:p>
      <w:pPr>
        <w:spacing w:after="240"/>
        <w:jc w:val="center"/>
      </w:pPr>
      <w:r>
        <w:rPr>
          <w:rFonts w:ascii="Times New Roman" w:eastAsia="Times New Roman"/>
          <w:i/>
          <w:iCs/>
          <w:sz w:val="22"/>
          <w:szCs w:val="22"/>
        </w:rPr>
        <w:t xml:space="preserve">Dynamic prediction of early hepatic deterioration in critically ill patients with cirrhosis: model development in MIMIC-IV and transportability assessment across four international intensive care databases</w:t>
      </w:r>
    </w:p>
    <w:p>
      <w:pPr>
        <w:pStyle w:val="Heading1"/>
        <w:spacing w:after="120" w:before="260"/>
      </w:pPr>
      <w:r>
        <w:rPr>
          <w:rFonts w:ascii="Times New Roman" w:eastAsia="Times New Roman"/>
          <w:b/>
          <w:bCs/>
          <w:sz w:val="26"/>
          <w:szCs w:val="26"/>
        </w:rPr>
        <w:t xml:space="preserve">S1. Data sources and versions</w:t>
      </w:r>
    </w:p>
    <w:tbl>
      <w:tblPr>
        <w:tblW w:type="pct" w:w="100%"/>
        <w:tblBorders>
          <w:top w:val="none"/>
          <w:left w:val="none"/>
          <w:bottom w:val="none"/>
          <w:right w:val="none"/>
          <w:insideH w:val="single" w:color="BBBBBB" w:sz="2"/>
          <w:insideV w:val="none"/>
        </w:tblBorders>
      </w:tblPr>
      <w:tblGrid>
        <w:gridCol w:w="20"/>
        <w:gridCol w:w="10"/>
        <w:gridCol w:w="40"/>
        <w:gridCol w:w="30"/>
      </w:tblGrid>
      <w:tr>
        <w:trPr>
          <w:cantSplit/>
          <w:tblHeader/>
        </w:trPr>
        <w:tc>
          <w:tcPr>
            <w:tcW w:type="pct" w:w="20%"/>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Database</w:t>
            </w:r>
          </w:p>
        </w:tc>
        <w:tc>
          <w:tcPr>
            <w:tcW w:type="pct" w:w="10%"/>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Version</w:t>
            </w:r>
          </w:p>
        </w:tc>
        <w:tc>
          <w:tcPr>
            <w:tcW w:type="pct" w:w="40%"/>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Setting</w:t>
            </w:r>
          </w:p>
        </w:tc>
        <w:tc>
          <w:tcPr>
            <w:tcW w:type="pct" w:w="30%"/>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Role in this study</w:t>
            </w:r>
          </w:p>
        </w:tc>
      </w:tr>
      <w:tr>
        <w:trPr>
          <w:cantSplit/>
        </w:trPr>
        <w:tc>
          <w:tcPr>
            <w:tcW w:type="pct" w:w="2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MIMIC-IV</w:t>
            </w:r>
          </w:p>
        </w:tc>
        <w:tc>
          <w:tcPr>
            <w:tcW w:type="pct" w:w="1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3.1</w:t>
            </w:r>
          </w:p>
        </w:tc>
        <w:tc>
          <w:tcPr>
            <w:tcW w:type="pct" w:w="4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Beth Israel Deaconess Medical Center, Boston, USA; 2008-2022</w:t>
            </w:r>
          </w:p>
        </w:tc>
        <w:tc>
          <w:tcPr>
            <w:tcW w:type="pct" w:w="3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cohort (6,703 cirrhosis ICU stays)</w:t>
            </w:r>
          </w:p>
        </w:tc>
      </w:tr>
      <w:tr>
        <w:trPr>
          <w:cantSplit/>
        </w:trPr>
        <w:tc>
          <w:tcPr>
            <w:tcW w:type="pct" w:w="2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eICU-CRD</w:t>
            </w:r>
          </w:p>
        </w:tc>
        <w:tc>
          <w:tcPr>
            <w:tcW w:type="pct" w:w="1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2.0</w:t>
            </w:r>
          </w:p>
        </w:tc>
        <w:tc>
          <w:tcPr>
            <w:tcW w:type="pct" w:w="4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Multi-centre, USA</w:t>
            </w:r>
          </w:p>
        </w:tc>
        <w:tc>
          <w:tcPr>
            <w:tcW w:type="pct" w:w="3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External assessment; diagnosis-matched validation</w:t>
            </w:r>
          </w:p>
        </w:tc>
      </w:tr>
      <w:tr>
        <w:trPr>
          <w:cantSplit/>
        </w:trPr>
        <w:tc>
          <w:tcPr>
            <w:tcW w:type="pct" w:w="2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AmsterdamUMCdb</w:t>
            </w:r>
          </w:p>
        </w:tc>
        <w:tc>
          <w:tcPr>
            <w:tcW w:type="pct" w:w="1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1.0.2</w:t>
            </w:r>
          </w:p>
        </w:tc>
        <w:tc>
          <w:tcPr>
            <w:tcW w:type="pct" w:w="4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Amsterdam UMC, the Netherlands</w:t>
            </w:r>
          </w:p>
        </w:tc>
        <w:tc>
          <w:tcPr>
            <w:tcW w:type="pct" w:w="3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External assessment (phenotype-restricted only)</w:t>
            </w:r>
          </w:p>
        </w:tc>
      </w:tr>
      <w:tr>
        <w:trPr>
          <w:cantSplit/>
        </w:trPr>
        <w:tc>
          <w:tcPr>
            <w:tcW w:type="pct" w:w="2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SICdb</w:t>
            </w:r>
          </w:p>
        </w:tc>
        <w:tc>
          <w:tcPr>
            <w:tcW w:type="pct" w:w="1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1.0.8</w:t>
            </w:r>
          </w:p>
        </w:tc>
        <w:tc>
          <w:tcPr>
            <w:tcW w:type="pct" w:w="4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University Hospital Salzburg, Austria</w:t>
            </w:r>
          </w:p>
        </w:tc>
        <w:tc>
          <w:tcPr>
            <w:tcW w:type="pct" w:w="3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External assessment; phenotype validation vs main diagnoses</w:t>
            </w:r>
          </w:p>
        </w:tc>
      </w:tr>
      <w:tr>
        <w:trPr>
          <w:cantSplit/>
        </w:trPr>
        <w:tc>
          <w:tcPr>
            <w:tcW w:type="pct" w:w="2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NWICU</w:t>
            </w:r>
          </w:p>
        </w:tc>
        <w:tc>
          <w:tcPr>
            <w:tcW w:type="pct" w:w="1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0.1.0</w:t>
            </w:r>
          </w:p>
        </w:tc>
        <w:tc>
          <w:tcPr>
            <w:tcW w:type="pct" w:w="4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Northwestern Memorial HealthCare, USA</w:t>
            </w:r>
          </w:p>
        </w:tc>
        <w:tc>
          <w:tcPr>
            <w:tcW w:type="pct" w:w="30%"/>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External assessment; phenotype validation vs ICD diagnoses</w:t>
            </w:r>
          </w:p>
        </w:tc>
      </w:tr>
    </w:tbl>
    <w:p>
      <w:pPr>
        <w:spacing w:after="120"/>
      </w:pPr>
    </w:p>
    <w:p>
      <w:pPr>
        <w:spacing w:after="100" w:line="320"/>
        <w:jc w:val="both"/>
      </w:pPr>
      <w:r>
        <w:rPr>
          <w:rFonts w:ascii="Times New Roman" w:eastAsia="Times New Roman"/>
          <w:sz w:val="21"/>
          <w:szCs w:val="21"/>
        </w:rPr>
        <w:t xml:space="preserve">All databases are publicly available to credentialed researchers under their respective data use agreements (PhysioNet for MIMIC-IV, eICU-CRD, SICdb, and NWICU; the AmsterdamUMCdb institutional portal for AmsterdamUMCdb). No row-level data from any source database are redistributed in this supplement.</w:t>
      </w:r>
    </w:p>
    <w:p>
      <w:pPr>
        <w:pStyle w:val="Heading1"/>
        <w:spacing w:after="120" w:before="260"/>
      </w:pPr>
      <w:r>
        <w:rPr>
          <w:rFonts w:ascii="Times New Roman" w:eastAsia="Times New Roman"/>
          <w:b/>
          <w:bCs/>
          <w:sz w:val="26"/>
          <w:szCs w:val="26"/>
        </w:rPr>
        <w:t xml:space="preserve">S2. Harmonised extraction layer: conventions</w:t>
      </w:r>
    </w:p>
    <w:p>
      <w:pPr>
        <w:spacing w:after="100" w:line="320"/>
        <w:jc w:val="both"/>
      </w:pPr>
      <w:r>
        <w:rPr>
          <w:rFonts w:ascii="Times New Roman" w:eastAsia="Times New Roman"/>
          <w:sz w:val="21"/>
          <w:szCs w:val="21"/>
        </w:rPr>
        <w:t xml:space="preserve">All five databases were accessed through a harmonised concept-level extraction layer that maps source tables to standardised concepts (prefixed std_) with explicit unit normalisation and time anchoring relative to ICU admission. Every harmonised record retains its provenance (source table, source item code, raw label, raw unit, and a per-record normalisation rule string), so that each standardised value is auditable back to the source row.</w:t>
      </w:r>
    </w:p>
    <w:p>
      <w:pPr>
        <w:pStyle w:val="Heading2"/>
        <w:spacing w:after="100" w:before="180"/>
      </w:pPr>
      <w:r>
        <w:rPr>
          <w:rFonts w:ascii="Times New Roman" w:eastAsia="Times New Roman"/>
          <w:b/>
          <w:bCs/>
          <w:sz w:val="22"/>
          <w:szCs w:val="22"/>
        </w:rPr>
        <w:t xml:space="preserve">S2.1 Concept mapping</w:t>
      </w:r>
    </w:p>
    <w:p>
      <w:pPr>
        <w:spacing w:after="100" w:line="320"/>
        <w:jc w:val="both"/>
      </w:pPr>
      <w:r>
        <w:rPr>
          <w:rFonts w:ascii="Times New Roman" w:eastAsia="Times New Roman"/>
          <w:sz w:val="21"/>
          <w:szCs w:val="21"/>
        </w:rPr>
        <w:t xml:space="preserve">Source-specific laboratory item codes (e.g., MIMIC-IV labevents.itemid, eICU lab.labname, AmsterdamUMCdb numericitems.item, SICdb laboratory identifiers) were grouped into standardised analyte concepts such as std_total_bilirubin, std_alt, std_inr. Qualitative and body-fluid-specific variants (e.g., ascites, pleural, cerebrospinal fluid) are separate concepts and were not used. Only serum/plasma concepts listed in Table S1 entered the analysis.</w:t>
      </w:r>
    </w:p>
    <w:p>
      <w:pPr>
        <w:pStyle w:val="Heading2"/>
        <w:spacing w:after="100" w:before="180"/>
      </w:pPr>
      <w:r>
        <w:rPr>
          <w:rFonts w:ascii="Times New Roman" w:eastAsia="Times New Roman"/>
          <w:b/>
          <w:bCs/>
          <w:sz w:val="22"/>
          <w:szCs w:val="22"/>
        </w:rPr>
        <w:t xml:space="preserve">S2.2 Canonical units and conversion rules</w:t>
      </w:r>
    </w:p>
    <w:p>
      <w:pPr>
        <w:spacing w:after="100" w:line="320"/>
        <w:jc w:val="both"/>
      </w:pPr>
      <w:r>
        <w:rPr>
          <w:rFonts w:ascii="Times New Roman" w:eastAsia="Times New Roman"/>
          <w:sz w:val="21"/>
          <w:szCs w:val="21"/>
        </w:rPr>
        <w:t xml:space="preserve">Each concept carries a canonical unit, embedded in the harmonised column name (e.g., std_total_bilirubin_mg_per_dl_cleaned). Where a source database reports SI units, values were converted with standard factors before analysis (e.g., bilirubin umol/L to mg/dL by dividing by 17.1; creatinine umol/L to mg/dL by dividing by 88.4); the applied rule is stored per record in the normalization_rule field (for example, the MIMIC-IV total bilirubin series, already reported in mg/dL, carries the identity rule identity_round_1_half_away_from_zero_with_raw_zero_recovery). Table S1 lists the canonical units used in this study.</w:t>
      </w:r>
    </w:p>
    <w:tbl>
      <w:tblPr>
        <w:tblW w:type="pct" w:w="100%"/>
        <w:tblBorders>
          <w:top w:val="none"/>
          <w:left w:val="none"/>
          <w:bottom w:val="none"/>
          <w:right w:val="none"/>
          <w:insideH w:val="single" w:color="BBBBBB" w:sz="2"/>
          <w:insideV w:val="none"/>
        </w:tblBorders>
      </w:tblPr>
      <w:tblGrid>
        <w:gridCol w:w="42"/>
        <w:gridCol w:w="22"/>
        <w:gridCol w:w="36"/>
      </w:tblGrid>
      <w:tr>
        <w:trPr>
          <w:cantSplit/>
          <w:tblHeader/>
        </w:trPr>
        <w:tc>
          <w:tcPr>
            <w:tcW w:type="pct" w:w="42%"/>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Analyte (concept)</w:t>
            </w:r>
          </w:p>
        </w:tc>
        <w:tc>
          <w:tcPr>
            <w:tcW w:type="pct" w:w="22%"/>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Canonical unit</w:t>
            </w:r>
          </w:p>
        </w:tc>
        <w:tc>
          <w:tcPr>
            <w:tcW w:type="pct" w:w="36%"/>
            <w:shd w:fill="EFEFEF" w:val="clear"/>
            <w:tcMar>
              <w:top w:type="dxa" w:w="30"/>
              <w:left w:type="dxa" w:w="80"/>
              <w:bottom w:type="dxa" w:w="30"/>
              <w:right w:type="dxa" w:w="80"/>
            </w:tcMar>
            <w:vAlign w:val="center"/>
          </w:tcPr>
          <w:p>
            <w:pPr>
              <w:spacing w:line="240"/>
            </w:pPr>
            <w:r>
              <w:rPr>
                <w:rFonts w:ascii="Times New Roman" w:eastAsia="Times New Roman"/>
                <w:b/>
                <w:bCs/>
                <w:sz w:val="18"/>
                <w:szCs w:val="18"/>
              </w:rPr>
              <w:t xml:space="preserve">Role</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Alanine aminotransferase (ALT)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U/L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Endpoint A; 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Aspartate aminotransferase (AST)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U/L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Endpoint A; 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Alkaline phosphatase (ALP)</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U/L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Endpoint A; 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Total bilirubin (TBIL)</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mg/dL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Endpoints A/B/A2/B2; all feature sets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Direct bilirubin</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mg/dL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International normalised ratio (INR)</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ratio</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Characterisation; 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Prothrombin time (PT)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seconds</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Activated partial thromboplastin time (aPTT)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seconds</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Albumin</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g/dL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Creatinine</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mg/dL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Platelet count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x10^9/L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 platelet phenotype</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Lactate</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mmol/L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White cell count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x10^9/L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Haematocrit</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Portable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Sodium / potassium</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mmol/L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Bicarbonate</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mmol/L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features</w:t>
            </w:r>
          </w:p>
        </w:tc>
      </w:tr>
      <w:tr>
        <w:trPr>
          <w:cantSplit/>
        </w:trPr>
        <w:tc>
          <w:tcPr>
            <w:tcW w:type="pct" w:w="4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Urea nitrogen</w:t>
            </w:r>
          </w:p>
        </w:tc>
        <w:tc>
          <w:tcPr>
            <w:tcW w:type="pct" w:w="22%"/>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mg/dL</w:t>
            </w:r>
          </w:p>
        </w:tc>
        <w:tc>
          <w:tcPr>
            <w:tcW w:type="pct" w:w="36%"/>
            <w:tcMar>
              <w:top w:type="dxa" w:w="30"/>
              <w:left w:type="dxa" w:w="80"/>
              <w:bottom w:type="dxa" w:w="30"/>
              <w:right w:type="dxa" w:w="80"/>
            </w:tcMar>
            <w:vAlign w:val="center"/>
          </w:tcPr>
          <w:p>
            <w:pPr>
              <w:spacing w:line="240"/>
            </w:pPr>
            <w:r>
              <w:rPr>
                <w:rFonts w:ascii="Times New Roman" w:eastAsia="Times New Roman"/>
                <w:b w:val="false"/>
                <w:bCs w:val="false"/>
                <w:sz w:val="18"/>
                <w:szCs w:val="18"/>
              </w:rPr>
              <w:t xml:space="preserve">Development features</w:t>
            </w:r>
          </w:p>
        </w:tc>
      </w:tr>
    </w:tbl>
    <w:p>
      <w:pPr>
        <w:spacing w:after="120"/>
      </w:pPr>
    </w:p>
    <w:p>
      <w:pPr>
        <w:pStyle w:val="Heading2"/>
        <w:spacing w:after="100" w:before="180"/>
      </w:pPr>
      <w:r>
        <w:rPr>
          <w:rFonts w:ascii="Times New Roman" w:eastAsia="Times New Roman"/>
          <w:b/>
          <w:bCs/>
          <w:sz w:val="22"/>
          <w:szCs w:val="22"/>
        </w:rPr>
        <w:t xml:space="preserve">S2.3 Outlier contract</w:t>
      </w:r>
    </w:p>
    <w:p>
      <w:pPr>
        <w:spacing w:after="100" w:line="320"/>
        <w:jc w:val="both"/>
      </w:pPr>
      <w:r>
        <w:rPr>
          <w:rFonts w:ascii="Times New Roman" w:eastAsia="Times New Roman"/>
          <w:sz w:val="21"/>
          <w:szCs w:val="21"/>
        </w:rPr>
        <w:t xml:space="preserve">Each concept defines a physiologically plausible value range (the outlier contract). Values outside the contract are flagged (is_outlier_by_contract) and set to missing in the corresponding _cleaned column; all analyses in this study used the _cleaned values only. The contract removes, for example, negative concentrations, bilirubin values incompatible with life, and unit-confusion artefacts (e.g., values recorded in the wrong unit by an order of magnitude). Range limits are fixed per concept and applied identically across databases.</w:t>
      </w:r>
    </w:p>
    <w:p>
      <w:pPr>
        <w:pStyle w:val="Heading2"/>
        <w:spacing w:after="100" w:before="180"/>
      </w:pPr>
      <w:r>
        <w:rPr>
          <w:rFonts w:ascii="Times New Roman" w:eastAsia="Times New Roman"/>
          <w:b/>
          <w:bCs/>
          <w:sz w:val="22"/>
          <w:szCs w:val="22"/>
        </w:rPr>
        <w:t xml:space="preserve">S2.4 Time anchoring</w:t>
      </w:r>
    </w:p>
    <w:p>
      <w:pPr>
        <w:spacing w:after="100" w:line="320"/>
        <w:jc w:val="both"/>
      </w:pPr>
      <w:r>
        <w:rPr>
          <w:rFonts w:ascii="Times New Roman" w:eastAsia="Times New Roman"/>
          <w:sz w:val="21"/>
          <w:szCs w:val="21"/>
        </w:rPr>
        <w:t xml:space="preserve">All measurement times were converted to hours relative to ICU admission. MIMIC-IV uses calendar timestamps, differenced against the stay start time; eICU, SICdb, and NWICU provide event times in days from ICU admission (multiplied by 24); AmsterdamUMCdb provides relative times in minutes (divided by 60). Measurements before ICU admission (hour &lt; 0) were excluded from endpoint and feature construction.</w:t>
      </w:r>
    </w:p>
    <w:p>
      <w:pPr>
        <w:pStyle w:val="Heading2"/>
        <w:spacing w:after="100" w:before="180"/>
      </w:pPr>
      <w:r>
        <w:rPr>
          <w:rFonts w:ascii="Times New Roman" w:eastAsia="Times New Roman"/>
          <w:b/>
          <w:bCs/>
          <w:sz w:val="22"/>
          <w:szCs w:val="22"/>
        </w:rPr>
        <w:t xml:space="preserve">S2.5 Assignment of laboratory events to ICU stays</w:t>
      </w:r>
    </w:p>
    <w:p>
      <w:pPr>
        <w:spacing w:after="100" w:line="320"/>
        <w:jc w:val="both"/>
      </w:pPr>
      <w:r>
        <w:rPr>
          <w:rFonts w:ascii="Times New Roman" w:eastAsia="Times New Roman"/>
          <w:sz w:val="21"/>
          <w:szCs w:val="21"/>
        </w:rPr>
        <w:t xml:space="preserve">In MIMIC-IV, laboratory events are recorded at hospitalisation level. Each event was assigned to the ICU stay whose time window, extended by a 6-hour margin on both sides ([ICU in-time - 6 h, ICU out-time + 6 h]), contained the measurement time; when several overlapping stay windows matched, the assignment with the earliest measurement hour was kept, and events outside all windows were excluded. The 6-hour margin captures per-transfer samples while preventing cross-stay leakage; all feature and label construction then used only hours 0 to the landmark or horizon of the assigned stay.</w:t>
      </w:r>
    </w:p>
    <w:p>
      <w:pPr>
        <w:pStyle w:val="Heading1"/>
        <w:spacing w:after="120" w:before="260"/>
      </w:pPr>
      <w:r>
        <w:rPr>
          <w:rFonts w:ascii="Times New Roman" w:eastAsia="Times New Roman"/>
          <w:b/>
          <w:bCs/>
          <w:sz w:val="26"/>
          <w:szCs w:val="26"/>
        </w:rPr>
        <w:t xml:space="preserve">S3. Endpoint definitions (formal)</w:t>
      </w:r>
    </w:p>
    <w:p>
      <w:pPr>
        <w:spacing w:after="100" w:line="320"/>
        <w:jc w:val="both"/>
      </w:pPr>
      <w:r>
        <w:rPr>
          <w:rFonts w:ascii="Times New Roman" w:eastAsia="Times New Roman"/>
          <w:sz w:val="21"/>
          <w:szCs w:val="21"/>
        </w:rPr>
        <w:t xml:space="preserve">Baseline: the earliest measurement within the first 24 h of ICU admission. Conditional event (soft): baseline below the analyte threshold and at least one value at or above the threshold after hour 24. Strict event: soft event plus at least two abnormal values after hour 24 and a peak at least twice the baseline. Thresholds: ALT 120 U/L; AST 120 U/L; total bilirubin 2.4 mg/dL; ALP 240 U/L. The composite endpoint A is any soft event across the four analytes; endpoint B applies the same logic to total bilirubin alone.</w:t>
      </w:r>
    </w:p>
    <w:p>
      <w:pPr>
        <w:spacing w:after="100" w:line="320"/>
        <w:jc w:val="both"/>
      </w:pPr>
      <w:r>
        <w:rPr>
          <w:rFonts w:ascii="Times New Roman" w:eastAsia="Times New Roman"/>
          <w:sz w:val="21"/>
          <w:szCs w:val="21"/>
        </w:rPr>
        <w:t xml:space="preserve">Universal worsening event: the union of (i) a new crossing, as above, and (ii) progression, applicable when the baseline is at or above threshold: any post-24 h value at least twice the baseline with an absolute increment of at least 40 U/L (ALT, AST), 1.0 mg/dL (TBIL), or 80 U/L (ALP). The universal composite is endpoint A2; the universal bilirubin endpoint is B2. Gradability for universal endpoints requires any baseline measurement in the first 24 h. The event time is the hour of the first qualifying value.</w:t>
      </w:r>
    </w:p>
    <w:p>
      <w:pPr>
        <w:spacing w:after="100" w:line="320"/>
        <w:jc w:val="both"/>
      </w:pPr>
      <w:r>
        <w:rPr>
          <w:rFonts w:ascii="Times New Roman" w:eastAsia="Times New Roman"/>
          <w:sz w:val="21"/>
          <w:szCs w:val="21"/>
        </w:rPr>
        <w:t xml:space="preserve">Risk sets: at landmark L, included stays were still in the ICU at L, gradable for the endpoint, and event-free up to L; the label indicates whether the first event occurred within (L, L + H] for horizon H. Stays discharged before completing the window were treated as event-free (right-censoring at ICU discharge); censoring proportions are reported in Table 13 of the main text.</w:t>
      </w:r>
    </w:p>
    <w:p>
      <w:pPr>
        <w:pStyle w:val="Heading1"/>
        <w:spacing w:after="120" w:before="260"/>
      </w:pPr>
      <w:r>
        <w:rPr>
          <w:rFonts w:ascii="Times New Roman" w:eastAsia="Times New Roman"/>
          <w:b/>
          <w:bCs/>
          <w:sz w:val="26"/>
          <w:szCs w:val="26"/>
        </w:rPr>
        <w:t xml:space="preserve">S4. Feature engineering</w:t>
      </w:r>
    </w:p>
    <w:p>
      <w:pPr>
        <w:spacing w:after="100" w:line="320"/>
        <w:jc w:val="both"/>
      </w:pPr>
      <w:r>
        <w:rPr>
          <w:rFonts w:ascii="Times New Roman" w:eastAsia="Times New Roman"/>
          <w:sz w:val="21"/>
          <w:szCs w:val="21"/>
        </w:rPr>
        <w:t xml:space="preserve">For each analyte, ten summary variables were computed over the window from ICU admission to the landmark: measurement count, first, last, minimum, maximum, mean, change (last minus first), slope (change divided by elapsed hours, floored at 0.5 h), and the hours of the first and last measurements. The development feature set (218 variables) covers 18 analytes (Table S1) plus age, sex, severity scores (MELD, first-day SOFA and its liver component, SAPS-II, OASIS, Charlson index), counts of administration-record exposures to eight hepatotoxic drug categories (acetaminophen, antituberculosis agents, amiodarone, antiepileptics, azole antifungals, macrolides, statins, linezolid) before the landmark, and a laboratory missingness count. The portable feature set uses the nine analytes available in all five databases (TBIL, INR, creatinine, platelet count, lactate, white cell count, haematocrit, PT, aPTT) plus age and sex.</w:t>
      </w:r>
    </w:p>
    <w:p>
      <w:pPr>
        <w:pStyle w:val="Heading1"/>
        <w:spacing w:after="120" w:before="260"/>
      </w:pPr>
      <w:r>
        <w:rPr>
          <w:rFonts w:ascii="Times New Roman" w:eastAsia="Times New Roman"/>
          <w:b/>
          <w:bCs/>
          <w:sz w:val="26"/>
          <w:szCs w:val="26"/>
        </w:rPr>
        <w:t xml:space="preserve">S5. Naive benchmark rules (formal)</w:t>
      </w:r>
    </w:p>
    <w:p>
      <w:pPr>
        <w:spacing w:after="100" w:line="320"/>
        <w:jc w:val="both"/>
      </w:pPr>
      <w:r>
        <w:rPr>
          <w:rFonts w:ascii="Times New Roman" w:eastAsia="Times New Roman"/>
          <w:sz w:val="21"/>
          <w:szCs w:val="21"/>
        </w:rPr>
        <w:t xml:space="preserve">All rules are computable at the landmark without machine learning, and each produces a single risk score per stay. Proximity: the maximum across analytes of last value divided by threshold. Rise: the maximum across analytes of (last minus first) divided by threshold. Proximity + rise: the sum of the two standardised scores. Gap-completion (conditional endpoints): the fraction of the baseline-to-threshold distance already covered, (last - baseline) / (threshold - baseline), maximised across analytes; this rule is mechanistically matched to the crossing definition of the conditional endpoints. Portable rules: last TBIL value; TBIL change; and a fixed rule flagging last TBIL at least 1.8 mg/dL or a rise of at least 0.3 mg/dL. Trajectory extrapolation (universal endpoints): the first-24 h slope of each analyte is linearly extrapolated to hour 72 and scored against the applicable event threshold (the fixed threshold for below-threshold baselines; twice the baseline for already-abnormal baselines), with the maximum score across analytes used as the risk score.</w:t>
      </w:r>
    </w:p>
    <w:p>
      <w:pPr>
        <w:pStyle w:val="Heading1"/>
        <w:spacing w:after="120" w:before="260"/>
      </w:pPr>
      <w:r>
        <w:rPr>
          <w:rFonts w:ascii="Times New Roman" w:eastAsia="Times New Roman"/>
          <w:b/>
          <w:bCs/>
          <w:sz w:val="26"/>
          <w:szCs w:val="26"/>
        </w:rPr>
        <w:t xml:space="preserve">S6. Models, training, and evaluation</w:t>
      </w:r>
    </w:p>
    <w:p>
      <w:pPr>
        <w:spacing w:after="100" w:line="320"/>
        <w:jc w:val="both"/>
      </w:pPr>
      <w:r>
        <w:rPr>
          <w:rFonts w:ascii="Times New Roman" w:eastAsia="Times New Roman"/>
          <w:sz w:val="21"/>
          <w:szCs w:val="21"/>
        </w:rPr>
        <w:t xml:space="preserve">Logistic regression used median imputation, standardisation, and class weighting. LightGBM used 150 trees, learning rate 0.03, 7 leaves, maximum depth 3, subsampling 0.8, L1 0.5, L2 1.0, and class weighting; hyperparameters were fixed a priori from our previous study with no tuning on the present data. Validation used five-fold GroupKFold cross-validation grouped by patient; all reported development metrics are out-of-fold. Confidence intervals are bootstrap percentile intervals over 1,000 resamples of the evaluation set; incremental AUROCs are paired differences over the same resamples.</w:t>
      </w:r>
    </w:p>
    <w:p>
      <w:pPr>
        <w:spacing w:after="100" w:line="320"/>
        <w:jc w:val="both"/>
      </w:pPr>
      <w:r>
        <w:rPr>
          <w:rFonts w:ascii="Times New Roman" w:eastAsia="Times New Roman"/>
          <w:sz w:val="21"/>
          <w:szCs w:val="21"/>
        </w:rPr>
        <w:t xml:space="preserve">Calibration was assessed by the logistic recalibration slope and intercept and by decile plots. For external databases, an intercept-only correction (a single additive shift on the logit scale chosen to match the observed event rate) was applied, with corrected mean predicted risk, corrected Brier score, and the post-correction logistic slope reported. Decision curve analysis was performed on Platt-recalibrated probabilities because class-weighted raw probabilities are overdispersed by construction. Feature importance used SHAP values (TreeExplainer) computed for the final full model.</w:t>
      </w:r>
    </w:p>
    <w:p>
      <w:pPr>
        <w:pStyle w:val="Heading1"/>
        <w:spacing w:after="120" w:before="260"/>
      </w:pPr>
      <w:r>
        <w:rPr>
          <w:rFonts w:ascii="Times New Roman" w:eastAsia="Times New Roman"/>
          <w:b/>
          <w:bCs/>
          <w:sz w:val="26"/>
          <w:szCs w:val="26"/>
        </w:rPr>
        <w:t xml:space="preserve">S7. Cirrhosis-probability phenotype</w:t>
      </w:r>
    </w:p>
    <w:p>
      <w:pPr>
        <w:spacing w:after="100" w:line="320"/>
        <w:jc w:val="both"/>
      </w:pPr>
      <w:r>
        <w:rPr>
          <w:rFonts w:ascii="Times New Roman" w:eastAsia="Times New Roman"/>
          <w:sz w:val="21"/>
          <w:szCs w:val="21"/>
        </w:rPr>
        <w:t xml:space="preserve">The phenotype model is a LightGBM classifier (same hyperparameters as above) trained on 45,621 MIMIC-IV ICU stays (6,620 with ICD-coded cirrhosis; 40,000 randomly sampled non-cirrhosis stays) using first-24 h summaries (minimum, maximum, mean, last) of the nine portable analytes plus age and sex, with patient-grouped five-fold cross-validation (internal AUROC 0.910, 95% CI 0.906-0.915). The restricted variant excludes all liver-related analytes (bilirubin, INR, PT, aPTT), retaining creatinine, platelet count, lactate, white cell count, haematocrit, age, and sex (internal AUROC 0.868, 0.862-0.872). For phenotype-restricted external validation, stays in the top 30% of predicted cirrhosis probability were compared with the remainder. The fixed-threshold platelet phenotype flags stays with a first-24 h minimum platelet count below 150 x10^9/L.</w:t>
      </w:r>
    </w:p>
    <w:p>
      <w:pPr>
        <w:pStyle w:val="Heading1"/>
        <w:spacing w:after="120" w:before="260"/>
      </w:pPr>
      <w:r>
        <w:rPr>
          <w:rFonts w:ascii="Times New Roman" w:eastAsia="Times New Roman"/>
          <w:b/>
          <w:bCs/>
          <w:sz w:val="26"/>
          <w:szCs w:val="26"/>
        </w:rPr>
        <w:t xml:space="preserve">S8. Diagnosis-table cirrhosis flags</w:t>
      </w:r>
    </w:p>
    <w:p>
      <w:pPr>
        <w:spacing w:after="100" w:line="320"/>
        <w:jc w:val="both"/>
      </w:pPr>
      <w:r>
        <w:rPr>
          <w:rFonts w:ascii="Times New Roman" w:eastAsia="Times New Roman"/>
          <w:sz w:val="21"/>
          <w:szCs w:val="21"/>
        </w:rPr>
        <w:t xml:space="preserve">Coded-diagnosis flags used ICD-9 571.2, 571.5, 571.6 and ICD-10 K70.2-K70.4, K74.x, together with free-text keywords (cirrhosis, liver fibrosis, oesophageal varices, portal hypertension, hepatic failure). The strict variant excludes the keyword 'hepatic failure', which can capture acute liver failure without cirrhosis. Source tables: the eICU diagnosis table (2,710,672 rows; 2,512 flagged unit stays), the SICdb case table (ICD-10 main admission diagnosis; 73 flagged cases), and the NWICU ICD diagnosis table (201,355 rows; 502 flagged stays). AmsterdamUMCdb does not distribute a discharge diagnosis table in the locally available release and remains validated through the phenotype approach only.</w:t>
      </w:r>
    </w:p>
    <w:p>
      <w:pPr>
        <w:pStyle w:val="Heading1"/>
        <w:spacing w:after="120" w:before="260"/>
      </w:pPr>
      <w:r>
        <w:rPr>
          <w:rFonts w:ascii="Times New Roman" w:eastAsia="Times New Roman"/>
          <w:b/>
          <w:bCs/>
          <w:sz w:val="26"/>
          <w:szCs w:val="26"/>
        </w:rPr>
        <w:t xml:space="preserve">S9. Reproduction pipeline</w:t>
      </w:r>
    </w:p>
    <w:p>
      <w:pPr>
        <w:spacing w:after="100" w:line="320"/>
        <w:jc w:val="both"/>
      </w:pPr>
      <w:r>
        <w:rPr>
          <w:rFonts w:ascii="Times New Roman" w:eastAsia="Times New Roman"/>
          <w:sz w:val="21"/>
          <w:szCs w:val="21"/>
        </w:rPr>
        <w:t xml:space="preserve">Analysis code is available from the corresponding author. The pipeline runs on Python 3.14 with pandas, scikit-learn, LightGBM, SHAP, pyarrow, and matplotlib, executed in numbered order: 01 build MIMIC cohort; 02 build external extracts; 03 endpoint labels; 04 landmark feature matrices; 05 model development; 06 external validation; 07 phenotype anchoring; 08 figures and tables; 09 naive benchmarks, sepsis exclusion, external CIs, intercept correction; 10 Figure 2 recalibration; 11 universal endpoints; 12 phenotype-restricted external validation; 13 diagnosis-matched validation; 14 phenotype versus diagnoses; 15 monitoring-confound, extrapolation benchmark, keyword sensitivity, censoring analyses; 16 gap-completion benchmark, mortality trend tests, post-correction slopes, event composition.</w:t>
      </w:r>
    </w:p>
    <w:sectPr>
      <w:pgSz w:w="11906" w:h="16838" w:orient="portrait"/>
      <w:pgMar w:top="1200" w:right="1400" w:bottom="12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Zhihui Zhao</dc:creator>
  <cp:lastModifiedBy>Zhihui Zhao</cp:lastModifiedBy>
  <cp:revision>1</cp:revision>
  <dcterms:created xsi:type="dcterms:W3CDTF">2026-09-03T23:15:16.483Z</dcterms:created>
  <dcterms:modified xsi:type="dcterms:W3CDTF">2026-09-03T23:15:16.484Z</dcterms:modified>
</cp:coreProperties>
</file>

<file path=docProps/custom.xml><?xml version="1.0" encoding="utf-8"?>
<Properties xmlns="http://schemas.openxmlformats.org/officeDocument/2006/custom-properties" xmlns:vt="http://schemas.openxmlformats.org/officeDocument/2006/docPropsVTypes"/>
</file>