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D8D1B">
      <w:pPr>
        <w:spacing w:line="360" w:lineRule="auto"/>
        <w:jc w:val="both"/>
        <w:rPr>
          <w:rFonts w:ascii="Calibri" w:hAnsi="Calibri" w:eastAsia="Calibri" w:cs="Calibri"/>
          <w:b/>
          <w:color w:val="000000"/>
        </w:rPr>
      </w:pPr>
      <w:r>
        <w:rPr>
          <w:rFonts w:ascii="Calibri" w:hAnsi="Calibri" w:eastAsia="Calibri" w:cs="Calibri"/>
          <w:b/>
          <w:color w:val="000000"/>
        </w:rPr>
        <w:t xml:space="preserve">Additional file 1. CONSORT 2025 Statement—checklist of items that should be included in reports of a randomized clinical trial. * </w:t>
      </w:r>
    </w:p>
    <w:p w14:paraId="205B0998">
      <w:pPr>
        <w:spacing w:after="160"/>
        <w:rPr>
          <w:rFonts w:ascii="Calibri" w:hAnsi="Calibri" w:eastAsia="Calibri" w:cs="Calibri"/>
          <w:b/>
          <w:color w:val="000000"/>
        </w:rPr>
      </w:pPr>
      <w:r>
        <w:rPr>
          <w:rFonts w:ascii="Calibri" w:hAnsi="Calibri" w:cs="Calibri"/>
        </w:rPr>
        <w:t>Note: CONSORT 2025 is designed for randomized trials. Items requiring randomization, allocation concealment, blinding, comparator groups, or between-group effect estimates are marked N/A because this study is a prospective, multicenter, single-arm, target-value interventional device trial. NR = not reported in the manuscript. Page numbers refer to the submitted manuscript PDF.</w:t>
      </w:r>
    </w:p>
    <w:tbl>
      <w:tblPr>
        <w:tblStyle w:val="23"/>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4826"/>
        <w:gridCol w:w="5947"/>
      </w:tblGrid>
      <w:tr w14:paraId="7816F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shd w:val="clear" w:color="auto" w:fill="BFBFBF"/>
          </w:tcPr>
          <w:p w14:paraId="5F8BDC51">
            <w:pPr>
              <w:spacing w:line="240" w:lineRule="auto"/>
              <w:rPr>
                <w:rFonts w:ascii="Calibri" w:hAnsi="Calibri" w:eastAsia="Calibri" w:cs="Calibri"/>
                <w:b/>
                <w:color w:val="000000"/>
              </w:rPr>
            </w:pPr>
            <w:r>
              <w:rPr>
                <w:rFonts w:ascii="Calibri" w:hAnsi="Calibri" w:eastAsia="Calibri" w:cs="Calibri"/>
                <w:b/>
                <w:color w:val="000000"/>
              </w:rPr>
              <w:t>Section / Topic</w:t>
            </w:r>
          </w:p>
          <w:p w14:paraId="138FEFF0">
            <w:pPr>
              <w:spacing w:line="240" w:lineRule="auto"/>
              <w:rPr>
                <w:rFonts w:ascii="Calibri" w:hAnsi="Calibri" w:eastAsia="Calibri" w:cs="Calibri"/>
                <w:b/>
                <w:color w:val="000000"/>
              </w:rPr>
            </w:pPr>
          </w:p>
        </w:tc>
        <w:tc>
          <w:tcPr>
            <w:tcW w:w="992" w:type="dxa"/>
            <w:shd w:val="clear" w:color="auto" w:fill="BFBFBF"/>
          </w:tcPr>
          <w:p w14:paraId="13F47BDE">
            <w:pPr>
              <w:spacing w:line="240" w:lineRule="auto"/>
              <w:jc w:val="center"/>
              <w:rPr>
                <w:rFonts w:ascii="Calibri" w:hAnsi="Calibri" w:eastAsia="Calibri" w:cs="Calibri"/>
                <w:b/>
                <w:color w:val="000000"/>
              </w:rPr>
            </w:pPr>
            <w:r>
              <w:rPr>
                <w:rFonts w:ascii="Calibri" w:hAnsi="Calibri" w:eastAsia="Calibri" w:cs="Calibri"/>
                <w:b/>
                <w:color w:val="000000"/>
              </w:rPr>
              <w:t>No</w:t>
            </w:r>
          </w:p>
        </w:tc>
        <w:tc>
          <w:tcPr>
            <w:tcW w:w="4826" w:type="dxa"/>
            <w:shd w:val="clear" w:color="auto" w:fill="BEBEBE" w:themeFill="background1" w:themeFillShade="BF"/>
          </w:tcPr>
          <w:p w14:paraId="2540B789">
            <w:pPr>
              <w:spacing w:line="240" w:lineRule="auto"/>
              <w:rPr>
                <w:rFonts w:ascii="Calibri" w:hAnsi="Calibri" w:eastAsia="Calibri" w:cs="Calibri"/>
                <w:b/>
                <w:color w:val="000000"/>
              </w:rPr>
            </w:pPr>
            <w:r>
              <w:rPr>
                <w:rFonts w:ascii="Calibri" w:hAnsi="Calibri" w:eastAsia="Calibri" w:cs="Calibri"/>
                <w:b/>
                <w:color w:val="000000"/>
              </w:rPr>
              <w:t>CONSORT 2025 checklist item description</w:t>
            </w:r>
          </w:p>
        </w:tc>
        <w:tc>
          <w:tcPr>
            <w:tcW w:w="5947" w:type="dxa"/>
            <w:shd w:val="clear" w:color="auto" w:fill="BEBEBE" w:themeFill="background1" w:themeFillShade="BF"/>
          </w:tcPr>
          <w:p w14:paraId="3ECDCBFA">
            <w:pPr>
              <w:spacing w:line="240" w:lineRule="auto"/>
              <w:rPr>
                <w:rFonts w:ascii="Calibri" w:hAnsi="Calibri" w:eastAsia="Calibri" w:cs="Calibri"/>
                <w:b/>
                <w:color w:val="000000"/>
              </w:rPr>
            </w:pPr>
            <w:r>
              <w:rPr>
                <w:rFonts w:ascii="Calibri" w:hAnsi="Calibri" w:eastAsia="Calibri" w:cs="Calibri"/>
                <w:b/>
                <w:color w:val="000000"/>
              </w:rPr>
              <w:t>Reported on page no.</w:t>
            </w:r>
          </w:p>
        </w:tc>
      </w:tr>
      <w:tr w14:paraId="7C304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8365" w:type="dxa"/>
            <w:gridSpan w:val="3"/>
            <w:shd w:val="clear" w:color="auto" w:fill="C6D9F0" w:themeFill="text2" w:themeFillTint="33"/>
          </w:tcPr>
          <w:p w14:paraId="24AA1BA2">
            <w:pPr>
              <w:spacing w:line="240" w:lineRule="auto"/>
              <w:rPr>
                <w:rFonts w:ascii="Calibri" w:hAnsi="Calibri" w:eastAsia="Calibri" w:cs="Calibri"/>
                <w:b/>
                <w:color w:val="000000"/>
              </w:rPr>
            </w:pPr>
            <w:r>
              <w:rPr>
                <w:rFonts w:ascii="Calibri" w:hAnsi="Calibri" w:eastAsia="Calibri" w:cs="Calibri"/>
                <w:b/>
                <w:color w:val="000000"/>
              </w:rPr>
              <w:t>Title and abstract</w:t>
            </w:r>
          </w:p>
        </w:tc>
        <w:tc>
          <w:tcPr>
            <w:tcW w:w="5947" w:type="dxa"/>
            <w:shd w:val="clear" w:color="auto" w:fill="C6D9F0" w:themeFill="text2" w:themeFillTint="33"/>
          </w:tcPr>
          <w:p w14:paraId="2CF2DDB6">
            <w:pPr>
              <w:spacing w:line="240" w:lineRule="auto"/>
              <w:rPr>
                <w:rFonts w:ascii="Calibri" w:hAnsi="Calibri" w:eastAsia="Calibri" w:cs="Calibri"/>
                <w:b/>
                <w:color w:val="000000"/>
              </w:rPr>
            </w:pPr>
          </w:p>
        </w:tc>
      </w:tr>
      <w:tr w14:paraId="2519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tcPr>
          <w:p w14:paraId="63942616">
            <w:pPr>
              <w:spacing w:line="240" w:lineRule="auto"/>
              <w:rPr>
                <w:rFonts w:ascii="Calibri" w:hAnsi="Calibri" w:eastAsia="Calibri" w:cs="Calibri"/>
                <w:color w:val="000000"/>
              </w:rPr>
            </w:pPr>
            <w:r>
              <w:rPr>
                <w:rFonts w:ascii="Calibri" w:hAnsi="Calibri" w:eastAsia="Calibri" w:cs="Calibri"/>
                <w:color w:val="000000"/>
              </w:rPr>
              <w:t>Title and structured abstract</w:t>
            </w:r>
          </w:p>
        </w:tc>
        <w:tc>
          <w:tcPr>
            <w:tcW w:w="992" w:type="dxa"/>
          </w:tcPr>
          <w:p w14:paraId="45860178">
            <w:pPr>
              <w:spacing w:line="240" w:lineRule="auto"/>
              <w:jc w:val="center"/>
              <w:rPr>
                <w:rFonts w:ascii="Calibri" w:hAnsi="Calibri" w:eastAsia="Calibri" w:cs="Calibri"/>
                <w:color w:val="000000"/>
              </w:rPr>
            </w:pPr>
            <w:r>
              <w:rPr>
                <w:rFonts w:ascii="Calibri" w:hAnsi="Calibri" w:eastAsia="Calibri" w:cs="Calibri"/>
                <w:color w:val="000000"/>
              </w:rPr>
              <w:t>1a</w:t>
            </w:r>
          </w:p>
        </w:tc>
        <w:tc>
          <w:tcPr>
            <w:tcW w:w="4826" w:type="dxa"/>
          </w:tcPr>
          <w:p w14:paraId="40F32C84">
            <w:pPr>
              <w:spacing w:line="240" w:lineRule="auto"/>
              <w:rPr>
                <w:rFonts w:ascii="Calibri" w:hAnsi="Calibri" w:eastAsia="Calibri" w:cs="Calibri"/>
                <w:color w:val="000000"/>
              </w:rPr>
            </w:pPr>
            <w:r>
              <w:rPr>
                <w:rFonts w:ascii="Calibri" w:hAnsi="Calibri" w:eastAsia="Calibri" w:cs="Calibri"/>
                <w:color w:val="000000"/>
              </w:rPr>
              <w:t xml:space="preserve">Identification as a randomised trial </w:t>
            </w:r>
          </w:p>
        </w:tc>
        <w:tc>
          <w:tcPr>
            <w:tcW w:w="5947" w:type="dxa"/>
          </w:tcPr>
          <w:p w14:paraId="4BFF8836">
            <w:pPr>
              <w:spacing w:line="240" w:lineRule="auto"/>
              <w:rPr>
                <w:rFonts w:ascii="Calibri" w:hAnsi="Calibri" w:eastAsia="宋体" w:cs="Calibri"/>
                <w:color w:val="000000"/>
              </w:rPr>
            </w:pPr>
            <w:r>
              <w:rPr>
                <w:rFonts w:ascii="Calibri" w:hAnsi="Calibri" w:eastAsia="宋体" w:cs="Calibri"/>
              </w:rPr>
              <w:t>N/A - this was not a randomized trial; the title identifies a prospective multicenter single-arm trial (p. 1).</w:t>
            </w:r>
          </w:p>
        </w:tc>
      </w:tr>
      <w:tr w14:paraId="0F1D3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8" w:hRule="atLeast"/>
        </w:trPr>
        <w:tc>
          <w:tcPr>
            <w:tcW w:w="2547" w:type="dxa"/>
            <w:vMerge w:val="continue"/>
          </w:tcPr>
          <w:p w14:paraId="5B442FC0">
            <w:pPr>
              <w:widowControl w:val="0"/>
              <w:spacing w:line="276" w:lineRule="auto"/>
              <w:rPr>
                <w:rFonts w:ascii="Calibri" w:hAnsi="Calibri" w:eastAsia="Calibri" w:cs="Calibri"/>
                <w:color w:val="000000"/>
              </w:rPr>
            </w:pPr>
          </w:p>
        </w:tc>
        <w:tc>
          <w:tcPr>
            <w:tcW w:w="992" w:type="dxa"/>
          </w:tcPr>
          <w:p w14:paraId="61E8AE2B">
            <w:pPr>
              <w:spacing w:line="240" w:lineRule="auto"/>
              <w:jc w:val="center"/>
              <w:rPr>
                <w:rFonts w:ascii="Calibri" w:hAnsi="Calibri" w:eastAsia="Calibri" w:cs="Calibri"/>
                <w:color w:val="000000"/>
              </w:rPr>
            </w:pPr>
            <w:r>
              <w:rPr>
                <w:rFonts w:ascii="Calibri" w:hAnsi="Calibri" w:eastAsia="Calibri" w:cs="Calibri"/>
                <w:color w:val="000000"/>
              </w:rPr>
              <w:t>1b</w:t>
            </w:r>
          </w:p>
        </w:tc>
        <w:tc>
          <w:tcPr>
            <w:tcW w:w="4826" w:type="dxa"/>
          </w:tcPr>
          <w:p w14:paraId="366E8429">
            <w:pPr>
              <w:spacing w:line="240" w:lineRule="auto"/>
              <w:rPr>
                <w:rFonts w:ascii="Calibri" w:hAnsi="Calibri" w:eastAsia="Calibri" w:cs="Calibri"/>
                <w:color w:val="000000"/>
              </w:rPr>
            </w:pPr>
            <w:r>
              <w:rPr>
                <w:rFonts w:ascii="Calibri" w:hAnsi="Calibri" w:eastAsia="Calibri" w:cs="Calibri"/>
                <w:color w:val="000000"/>
              </w:rPr>
              <w:t>Structured summary of the trial design, methods, results, and conclusions</w:t>
            </w:r>
          </w:p>
        </w:tc>
        <w:tc>
          <w:tcPr>
            <w:tcW w:w="5947" w:type="dxa"/>
          </w:tcPr>
          <w:p w14:paraId="48D0D8E2">
            <w:pPr>
              <w:spacing w:line="240" w:lineRule="auto"/>
              <w:rPr>
                <w:rFonts w:ascii="Calibri" w:hAnsi="Calibri" w:eastAsia="宋体" w:cs="Calibri"/>
                <w:color w:val="000000"/>
              </w:rPr>
            </w:pPr>
            <w:r>
              <w:rPr>
                <w:rFonts w:ascii="Calibri" w:hAnsi="Calibri" w:eastAsia="宋体" w:cs="Calibri"/>
                <w:color w:val="000000"/>
              </w:rPr>
              <w:t>Abstract reports trial registration, background, methods, results, conclusions, sample size, endpoints, and key safety findings (p. 2-4).</w:t>
            </w:r>
          </w:p>
        </w:tc>
      </w:tr>
      <w:tr w14:paraId="0B51D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8365" w:type="dxa"/>
            <w:gridSpan w:val="3"/>
            <w:shd w:val="clear" w:color="auto" w:fill="BDD7EE"/>
          </w:tcPr>
          <w:p w14:paraId="6E773A34">
            <w:pPr>
              <w:spacing w:line="240" w:lineRule="auto"/>
              <w:rPr>
                <w:rFonts w:ascii="Calibri" w:hAnsi="Calibri" w:eastAsia="Calibri" w:cs="Calibri"/>
                <w:b/>
                <w:color w:val="000000"/>
              </w:rPr>
            </w:pPr>
            <w:r>
              <w:rPr>
                <w:rFonts w:ascii="Calibri" w:hAnsi="Calibri" w:eastAsia="Calibri" w:cs="Calibri"/>
                <w:b/>
                <w:color w:val="000000"/>
              </w:rPr>
              <w:t>Open science</w:t>
            </w:r>
          </w:p>
        </w:tc>
        <w:tc>
          <w:tcPr>
            <w:tcW w:w="5947" w:type="dxa"/>
            <w:shd w:val="clear" w:color="auto" w:fill="C6D9F0" w:themeFill="text2" w:themeFillTint="33"/>
          </w:tcPr>
          <w:p w14:paraId="6F00C351">
            <w:pPr>
              <w:spacing w:line="240" w:lineRule="auto"/>
              <w:rPr>
                <w:rFonts w:ascii="Calibri" w:hAnsi="Calibri" w:eastAsia="宋体" w:cs="Calibri"/>
                <w:color w:val="000000"/>
              </w:rPr>
            </w:pPr>
          </w:p>
        </w:tc>
      </w:tr>
      <w:tr w14:paraId="1F290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F097246">
            <w:pPr>
              <w:spacing w:line="240" w:lineRule="auto"/>
              <w:rPr>
                <w:rFonts w:ascii="Calibri" w:hAnsi="Calibri" w:eastAsia="Calibri" w:cs="Calibri"/>
                <w:color w:val="000000"/>
              </w:rPr>
            </w:pPr>
            <w:r>
              <w:rPr>
                <w:rFonts w:ascii="Calibri" w:hAnsi="Calibri" w:eastAsia="Calibri" w:cs="Calibri"/>
                <w:color w:val="000000"/>
              </w:rPr>
              <w:t>Trial registration</w:t>
            </w:r>
          </w:p>
        </w:tc>
        <w:tc>
          <w:tcPr>
            <w:tcW w:w="992" w:type="dxa"/>
          </w:tcPr>
          <w:p w14:paraId="0871D115">
            <w:pPr>
              <w:spacing w:line="240" w:lineRule="auto"/>
              <w:jc w:val="center"/>
              <w:rPr>
                <w:rFonts w:ascii="Calibri" w:hAnsi="Calibri" w:eastAsia="Calibri" w:cs="Calibri"/>
                <w:color w:val="000000"/>
              </w:rPr>
            </w:pPr>
            <w:r>
              <w:rPr>
                <w:rFonts w:ascii="Calibri" w:hAnsi="Calibri" w:eastAsia="Calibri" w:cs="Calibri"/>
                <w:color w:val="000000"/>
              </w:rPr>
              <w:t>2</w:t>
            </w:r>
          </w:p>
        </w:tc>
        <w:tc>
          <w:tcPr>
            <w:tcW w:w="4826" w:type="dxa"/>
          </w:tcPr>
          <w:p w14:paraId="116ECA74">
            <w:pPr>
              <w:spacing w:line="240" w:lineRule="auto"/>
              <w:rPr>
                <w:rFonts w:ascii="Calibri" w:hAnsi="Calibri" w:eastAsia="Calibri" w:cs="Calibri"/>
                <w:color w:val="000000"/>
              </w:rPr>
            </w:pPr>
            <w:r>
              <w:rPr>
                <w:rFonts w:ascii="Calibri" w:hAnsi="Calibri" w:eastAsia="Calibri" w:cs="Calibri"/>
                <w:color w:val="000000"/>
              </w:rPr>
              <w:t>Name of trial registry, identifying number (with URL) and date of registration</w:t>
            </w:r>
          </w:p>
        </w:tc>
        <w:tc>
          <w:tcPr>
            <w:tcW w:w="5947" w:type="dxa"/>
          </w:tcPr>
          <w:p w14:paraId="625983FA">
            <w:pPr>
              <w:spacing w:line="240" w:lineRule="auto"/>
              <w:rPr>
                <w:rFonts w:ascii="Calibri" w:hAnsi="Calibri" w:eastAsia="宋体" w:cs="Calibri"/>
                <w:color w:val="000000"/>
              </w:rPr>
            </w:pPr>
            <w:r>
              <w:rPr>
                <w:rFonts w:ascii="Calibri" w:hAnsi="Calibri" w:eastAsia="宋体" w:cs="Calibri"/>
              </w:rPr>
              <w:t>Chinese Clinical Trial Registry, ChiCTR2400089647, registered September 12, 2024 (Abstract p. 4; Methods p. 7). URL not reported.</w:t>
            </w:r>
          </w:p>
        </w:tc>
      </w:tr>
      <w:tr w14:paraId="5935F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03A75DE4">
            <w:pPr>
              <w:spacing w:line="240" w:lineRule="auto"/>
              <w:rPr>
                <w:rFonts w:ascii="Calibri" w:hAnsi="Calibri" w:eastAsia="Calibri" w:cs="Calibri"/>
                <w:color w:val="000000"/>
              </w:rPr>
            </w:pPr>
            <w:r>
              <w:rPr>
                <w:rFonts w:ascii="Calibri" w:hAnsi="Calibri" w:eastAsia="Calibri" w:cs="Calibri"/>
                <w:color w:val="000000"/>
              </w:rPr>
              <w:t>Protocol and statistical analysis plan</w:t>
            </w:r>
          </w:p>
        </w:tc>
        <w:tc>
          <w:tcPr>
            <w:tcW w:w="992" w:type="dxa"/>
          </w:tcPr>
          <w:p w14:paraId="46C9B324">
            <w:pPr>
              <w:spacing w:line="240" w:lineRule="auto"/>
              <w:jc w:val="center"/>
              <w:rPr>
                <w:rFonts w:ascii="Calibri" w:hAnsi="Calibri" w:eastAsia="Calibri" w:cs="Calibri"/>
                <w:color w:val="000000"/>
              </w:rPr>
            </w:pPr>
            <w:r>
              <w:rPr>
                <w:rFonts w:ascii="Calibri" w:hAnsi="Calibri" w:eastAsia="Calibri" w:cs="Calibri"/>
                <w:color w:val="000000"/>
              </w:rPr>
              <w:t>3</w:t>
            </w:r>
          </w:p>
        </w:tc>
        <w:tc>
          <w:tcPr>
            <w:tcW w:w="4826" w:type="dxa"/>
          </w:tcPr>
          <w:p w14:paraId="42EA5893">
            <w:pPr>
              <w:spacing w:line="240" w:lineRule="auto"/>
              <w:rPr>
                <w:rFonts w:ascii="Calibri" w:hAnsi="Calibri" w:eastAsia="Calibri" w:cs="Calibri"/>
                <w:color w:val="000000"/>
              </w:rPr>
            </w:pPr>
            <w:r>
              <w:rPr>
                <w:rFonts w:ascii="Calibri" w:hAnsi="Calibri" w:eastAsia="Calibri" w:cs="Calibri"/>
                <w:color w:val="000000"/>
              </w:rPr>
              <w:t>Where the trial protocol and statistical analysis plan can be accessed</w:t>
            </w:r>
          </w:p>
        </w:tc>
        <w:tc>
          <w:tcPr>
            <w:tcW w:w="5947" w:type="dxa"/>
          </w:tcPr>
          <w:p w14:paraId="3354D9D8">
            <w:pPr>
              <w:spacing w:line="240" w:lineRule="auto"/>
              <w:rPr>
                <w:rFonts w:ascii="Calibri" w:hAnsi="Calibri" w:eastAsia="宋体" w:cs="Calibri"/>
                <w:color w:val="000000"/>
              </w:rPr>
            </w:pPr>
            <w:r>
              <w:rPr>
                <w:rFonts w:ascii="Calibri" w:hAnsi="Calibri" w:eastAsia="宋体" w:cs="Calibri"/>
                <w:color w:val="000000"/>
              </w:rPr>
              <w:t>NA - no public protocol or statistical analysis plan access location is provided in the manuscript.</w:t>
            </w:r>
          </w:p>
        </w:tc>
      </w:tr>
      <w:tr w14:paraId="3D7AA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054B33AF">
            <w:pPr>
              <w:spacing w:line="240" w:lineRule="auto"/>
              <w:rPr>
                <w:rFonts w:ascii="Calibri" w:hAnsi="Calibri" w:eastAsia="Calibri" w:cs="Calibri"/>
                <w:color w:val="000000"/>
              </w:rPr>
            </w:pPr>
            <w:r>
              <w:rPr>
                <w:rFonts w:ascii="Calibri" w:hAnsi="Calibri" w:eastAsia="Calibri" w:cs="Calibri"/>
                <w:color w:val="000000"/>
              </w:rPr>
              <w:t>Data sharing</w:t>
            </w:r>
          </w:p>
        </w:tc>
        <w:tc>
          <w:tcPr>
            <w:tcW w:w="992" w:type="dxa"/>
          </w:tcPr>
          <w:p w14:paraId="310A6B6F">
            <w:pPr>
              <w:spacing w:line="240" w:lineRule="auto"/>
              <w:jc w:val="center"/>
              <w:rPr>
                <w:rFonts w:ascii="Calibri" w:hAnsi="Calibri" w:eastAsia="Calibri" w:cs="Calibri"/>
                <w:color w:val="000000"/>
              </w:rPr>
            </w:pPr>
            <w:r>
              <w:rPr>
                <w:rFonts w:ascii="Calibri" w:hAnsi="Calibri" w:eastAsia="Calibri" w:cs="Calibri"/>
                <w:color w:val="000000"/>
              </w:rPr>
              <w:t>4</w:t>
            </w:r>
          </w:p>
        </w:tc>
        <w:tc>
          <w:tcPr>
            <w:tcW w:w="4826" w:type="dxa"/>
          </w:tcPr>
          <w:p w14:paraId="77C85744">
            <w:pPr>
              <w:spacing w:line="240" w:lineRule="auto"/>
              <w:rPr>
                <w:rFonts w:ascii="Calibri" w:hAnsi="Calibri" w:eastAsia="Calibri" w:cs="Calibri"/>
                <w:color w:val="000000"/>
              </w:rPr>
            </w:pPr>
            <w:r>
              <w:rPr>
                <w:rFonts w:ascii="Calibri" w:hAnsi="Calibri" w:eastAsia="Calibri" w:cs="Calibri"/>
                <w:color w:val="000000"/>
              </w:rPr>
              <w:t>Where and how the individual de-identified participant data (including data dictionary), statistical code and any other materials can be accessed</w:t>
            </w:r>
          </w:p>
        </w:tc>
        <w:tc>
          <w:tcPr>
            <w:tcW w:w="5947" w:type="dxa"/>
          </w:tcPr>
          <w:p w14:paraId="5BC8B2A7">
            <w:pPr>
              <w:spacing w:line="240" w:lineRule="auto"/>
              <w:rPr>
                <w:rFonts w:ascii="Calibri" w:hAnsi="Calibri" w:eastAsia="宋体" w:cs="Calibri"/>
                <w:color w:val="000000"/>
              </w:rPr>
            </w:pPr>
            <w:r>
              <w:rPr>
                <w:rFonts w:ascii="Calibri" w:hAnsi="Calibri" w:eastAsia="宋体" w:cs="Calibri"/>
                <w:color w:val="000000"/>
              </w:rPr>
              <w:t>Data availability statement: de-identified participant data are available from the corresponding author on reasonable written request; no public repository used (p. 24). Statistical code access is not reported.</w:t>
            </w:r>
          </w:p>
        </w:tc>
      </w:tr>
      <w:tr w14:paraId="221F0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restart"/>
          </w:tcPr>
          <w:p w14:paraId="2473489F">
            <w:pPr>
              <w:spacing w:line="240" w:lineRule="auto"/>
              <w:rPr>
                <w:rFonts w:ascii="Calibri" w:hAnsi="Calibri" w:eastAsia="Calibri" w:cs="Calibri"/>
                <w:color w:val="000000"/>
              </w:rPr>
            </w:pPr>
            <w:r>
              <w:rPr>
                <w:rFonts w:ascii="Calibri" w:hAnsi="Calibri" w:eastAsia="Calibri" w:cs="Calibri"/>
                <w:color w:val="000000"/>
              </w:rPr>
              <w:t>Funding and conflicts of interest</w:t>
            </w:r>
          </w:p>
        </w:tc>
        <w:tc>
          <w:tcPr>
            <w:tcW w:w="992" w:type="dxa"/>
          </w:tcPr>
          <w:p w14:paraId="75B5B694">
            <w:pPr>
              <w:spacing w:line="240" w:lineRule="auto"/>
              <w:jc w:val="center"/>
              <w:rPr>
                <w:rFonts w:ascii="Calibri" w:hAnsi="Calibri" w:eastAsia="Calibri" w:cs="Calibri"/>
                <w:color w:val="000000"/>
              </w:rPr>
            </w:pPr>
            <w:r>
              <w:rPr>
                <w:rFonts w:ascii="Calibri" w:hAnsi="Calibri" w:eastAsia="Calibri" w:cs="Calibri"/>
                <w:color w:val="000000"/>
              </w:rPr>
              <w:t>5a</w:t>
            </w:r>
          </w:p>
        </w:tc>
        <w:tc>
          <w:tcPr>
            <w:tcW w:w="4826" w:type="dxa"/>
          </w:tcPr>
          <w:p w14:paraId="572A3C28">
            <w:pPr>
              <w:spacing w:line="240" w:lineRule="auto"/>
              <w:rPr>
                <w:rFonts w:ascii="Calibri" w:hAnsi="Calibri" w:eastAsia="Calibri" w:cs="Calibri"/>
                <w:color w:val="000000"/>
              </w:rPr>
            </w:pPr>
            <w:r>
              <w:rPr>
                <w:rFonts w:ascii="Calibri" w:hAnsi="Calibri" w:eastAsia="Calibri" w:cs="Calibri"/>
                <w:color w:val="000000"/>
              </w:rPr>
              <w:t>Sources of funding and other support (e.g., supply of drugs), and role of funders in the design, conduct, analysis and reporting of the trial</w:t>
            </w:r>
          </w:p>
        </w:tc>
        <w:tc>
          <w:tcPr>
            <w:tcW w:w="5947" w:type="dxa"/>
          </w:tcPr>
          <w:p w14:paraId="0A52B60F">
            <w:pPr>
              <w:spacing w:line="240" w:lineRule="auto"/>
              <w:rPr>
                <w:rFonts w:ascii="Calibri" w:hAnsi="Calibri" w:eastAsia="宋体" w:cs="Calibri"/>
                <w:color w:val="000000"/>
              </w:rPr>
            </w:pPr>
            <w:r>
              <w:rPr>
                <w:rFonts w:ascii="Calibri" w:hAnsi="Calibri" w:eastAsia="宋体" w:cs="Calibri"/>
                <w:color w:val="000000"/>
              </w:rPr>
              <w:t>This project was supported by the Scientific Research Development Funds of Peking University People’s Hospital (grant number RDL 2024-19: p.24) The funder had no specific role in the conceptualization, design, data collection, analysis, decision to publish, or preparation of the manuscript.</w:t>
            </w:r>
          </w:p>
        </w:tc>
      </w:tr>
      <w:tr w14:paraId="63EE6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continue"/>
          </w:tcPr>
          <w:p w14:paraId="1ADC5CAA">
            <w:pPr>
              <w:widowControl w:val="0"/>
              <w:spacing w:line="276" w:lineRule="auto"/>
              <w:rPr>
                <w:rFonts w:ascii="Calibri" w:hAnsi="Calibri" w:eastAsia="Calibri" w:cs="Calibri"/>
                <w:color w:val="000000"/>
              </w:rPr>
            </w:pPr>
          </w:p>
        </w:tc>
        <w:tc>
          <w:tcPr>
            <w:tcW w:w="992" w:type="dxa"/>
          </w:tcPr>
          <w:p w14:paraId="12DB9950">
            <w:pPr>
              <w:spacing w:line="240" w:lineRule="auto"/>
              <w:jc w:val="center"/>
              <w:rPr>
                <w:rFonts w:ascii="Calibri" w:hAnsi="Calibri" w:eastAsia="Calibri" w:cs="Calibri"/>
                <w:color w:val="000000"/>
              </w:rPr>
            </w:pPr>
            <w:r>
              <w:rPr>
                <w:rFonts w:ascii="Calibri" w:hAnsi="Calibri" w:eastAsia="Calibri" w:cs="Calibri"/>
                <w:color w:val="000000"/>
              </w:rPr>
              <w:t>5b</w:t>
            </w:r>
          </w:p>
        </w:tc>
        <w:tc>
          <w:tcPr>
            <w:tcW w:w="4826" w:type="dxa"/>
          </w:tcPr>
          <w:p w14:paraId="0D954458">
            <w:pPr>
              <w:spacing w:line="240" w:lineRule="auto"/>
              <w:rPr>
                <w:rFonts w:ascii="Calibri" w:hAnsi="Calibri" w:eastAsia="Calibri" w:cs="Calibri"/>
                <w:color w:val="000000"/>
              </w:rPr>
            </w:pPr>
            <w:r>
              <w:rPr>
                <w:rFonts w:ascii="Calibri" w:hAnsi="Calibri" w:eastAsia="Calibri" w:cs="Calibri"/>
                <w:color w:val="000000"/>
              </w:rPr>
              <w:t>Financial and other conflicts of interest of the manuscript authors</w:t>
            </w:r>
          </w:p>
        </w:tc>
        <w:tc>
          <w:tcPr>
            <w:tcW w:w="5947" w:type="dxa"/>
          </w:tcPr>
          <w:p w14:paraId="326B92E0">
            <w:pPr>
              <w:spacing w:line="240" w:lineRule="auto"/>
              <w:rPr>
                <w:rFonts w:ascii="Calibri" w:hAnsi="Calibri" w:eastAsia="宋体" w:cs="Calibri"/>
                <w:color w:val="000000"/>
              </w:rPr>
            </w:pPr>
            <w:r>
              <w:rPr>
                <w:rFonts w:ascii="Calibri" w:hAnsi="Calibri" w:eastAsia="宋体" w:cs="Calibri"/>
                <w:color w:val="000000"/>
              </w:rPr>
              <w:t>Authors declare no competing interests (p. 24).</w:t>
            </w:r>
          </w:p>
        </w:tc>
      </w:tr>
      <w:tr w14:paraId="57067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8365" w:type="dxa"/>
            <w:gridSpan w:val="3"/>
            <w:shd w:val="clear" w:color="auto" w:fill="BDD7EE"/>
          </w:tcPr>
          <w:p w14:paraId="4C64640D">
            <w:pPr>
              <w:spacing w:line="240" w:lineRule="auto"/>
              <w:rPr>
                <w:rFonts w:ascii="Calibri" w:hAnsi="Calibri" w:eastAsia="Calibri" w:cs="Calibri"/>
                <w:b/>
                <w:color w:val="000000"/>
              </w:rPr>
            </w:pPr>
            <w:r>
              <w:rPr>
                <w:rFonts w:ascii="Calibri" w:hAnsi="Calibri" w:eastAsia="Calibri" w:cs="Calibri"/>
                <w:b/>
                <w:color w:val="000000"/>
              </w:rPr>
              <w:t>Introduction</w:t>
            </w:r>
          </w:p>
        </w:tc>
        <w:tc>
          <w:tcPr>
            <w:tcW w:w="5947" w:type="dxa"/>
            <w:shd w:val="clear" w:color="auto" w:fill="C6D9F0" w:themeFill="text2" w:themeFillTint="33"/>
          </w:tcPr>
          <w:p w14:paraId="425F2475">
            <w:pPr>
              <w:spacing w:line="240" w:lineRule="auto"/>
              <w:rPr>
                <w:rFonts w:ascii="Calibri" w:hAnsi="Calibri" w:eastAsia="宋体" w:cs="Calibri"/>
                <w:color w:val="000000"/>
              </w:rPr>
            </w:pPr>
          </w:p>
        </w:tc>
      </w:tr>
      <w:tr w14:paraId="1C993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1" w:hRule="atLeast"/>
        </w:trPr>
        <w:tc>
          <w:tcPr>
            <w:tcW w:w="2547" w:type="dxa"/>
            <w:tcBorders>
              <w:bottom w:val="single" w:color="000000" w:sz="4" w:space="0"/>
            </w:tcBorders>
          </w:tcPr>
          <w:p w14:paraId="2F4CF041">
            <w:pPr>
              <w:spacing w:line="240" w:lineRule="auto"/>
              <w:rPr>
                <w:rFonts w:ascii="Calibri" w:hAnsi="Calibri" w:eastAsia="Calibri" w:cs="Calibri"/>
                <w:color w:val="000000"/>
              </w:rPr>
            </w:pPr>
            <w:r>
              <w:rPr>
                <w:rFonts w:ascii="Calibri" w:hAnsi="Calibri" w:eastAsia="Calibri" w:cs="Calibri"/>
                <w:color w:val="000000"/>
              </w:rPr>
              <w:t>Background and rationale</w:t>
            </w:r>
          </w:p>
        </w:tc>
        <w:tc>
          <w:tcPr>
            <w:tcW w:w="992" w:type="dxa"/>
            <w:tcBorders>
              <w:bottom w:val="single" w:color="000000" w:sz="4" w:space="0"/>
            </w:tcBorders>
          </w:tcPr>
          <w:p w14:paraId="35A9A8F5">
            <w:pPr>
              <w:spacing w:line="240" w:lineRule="auto"/>
              <w:jc w:val="center"/>
              <w:rPr>
                <w:rFonts w:ascii="Calibri" w:hAnsi="Calibri" w:eastAsia="Calibri" w:cs="Calibri"/>
                <w:color w:val="000000"/>
              </w:rPr>
            </w:pPr>
            <w:r>
              <w:rPr>
                <w:rFonts w:ascii="Calibri" w:hAnsi="Calibri" w:eastAsia="Calibri" w:cs="Calibri"/>
                <w:color w:val="000000"/>
              </w:rPr>
              <w:t>6</w:t>
            </w:r>
          </w:p>
        </w:tc>
        <w:tc>
          <w:tcPr>
            <w:tcW w:w="4826" w:type="dxa"/>
          </w:tcPr>
          <w:p w14:paraId="48C39373">
            <w:pPr>
              <w:spacing w:line="240" w:lineRule="auto"/>
              <w:rPr>
                <w:rFonts w:ascii="Calibri" w:hAnsi="Calibri" w:eastAsia="Calibri" w:cs="Calibri"/>
                <w:color w:val="000000"/>
              </w:rPr>
            </w:pPr>
            <w:r>
              <w:rPr>
                <w:rFonts w:ascii="Calibri" w:hAnsi="Calibri" w:eastAsia="Calibri" w:cs="Calibri"/>
                <w:color w:val="000000"/>
              </w:rPr>
              <w:t>Scientific background and rationale</w:t>
            </w:r>
          </w:p>
        </w:tc>
        <w:tc>
          <w:tcPr>
            <w:tcW w:w="5947" w:type="dxa"/>
          </w:tcPr>
          <w:p w14:paraId="11FC7175">
            <w:pPr>
              <w:spacing w:line="240" w:lineRule="auto"/>
              <w:rPr>
                <w:rFonts w:ascii="Calibri" w:hAnsi="Calibri" w:eastAsia="宋体" w:cs="Calibri"/>
                <w:color w:val="000000"/>
              </w:rPr>
            </w:pPr>
            <w:r>
              <w:rPr>
                <w:rFonts w:ascii="Calibri" w:hAnsi="Calibri" w:eastAsia="宋体" w:cs="Calibri"/>
                <w:color w:val="000000"/>
              </w:rPr>
              <w:t>Background describes CRT, need for complete coronary venous visualization, limitations of conventional catheters, and rationale for the LeesCa balloon catheter (pp. 5-6).</w:t>
            </w:r>
          </w:p>
        </w:tc>
      </w:tr>
      <w:tr w14:paraId="15BDB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Align w:val="center"/>
          </w:tcPr>
          <w:p w14:paraId="3DF96938">
            <w:pPr>
              <w:spacing w:line="240" w:lineRule="auto"/>
              <w:rPr>
                <w:rFonts w:ascii="Calibri" w:hAnsi="Calibri" w:eastAsia="Calibri" w:cs="Calibri"/>
                <w:color w:val="000000"/>
              </w:rPr>
            </w:pPr>
            <w:r>
              <w:rPr>
                <w:rFonts w:ascii="Calibri" w:hAnsi="Calibri" w:eastAsia="Calibri" w:cs="Calibri"/>
                <w:color w:val="000000"/>
              </w:rPr>
              <w:t>Objectives</w:t>
            </w:r>
          </w:p>
        </w:tc>
        <w:tc>
          <w:tcPr>
            <w:tcW w:w="992" w:type="dxa"/>
          </w:tcPr>
          <w:p w14:paraId="24466C7A">
            <w:pPr>
              <w:spacing w:line="240" w:lineRule="auto"/>
              <w:jc w:val="center"/>
              <w:rPr>
                <w:rFonts w:ascii="Calibri" w:hAnsi="Calibri" w:eastAsia="Calibri" w:cs="Calibri"/>
                <w:color w:val="000000"/>
              </w:rPr>
            </w:pPr>
            <w:r>
              <w:rPr>
                <w:rFonts w:ascii="Calibri" w:hAnsi="Calibri" w:eastAsia="Calibri" w:cs="Calibri"/>
                <w:color w:val="000000"/>
              </w:rPr>
              <w:t>7</w:t>
            </w:r>
          </w:p>
        </w:tc>
        <w:tc>
          <w:tcPr>
            <w:tcW w:w="4826" w:type="dxa"/>
          </w:tcPr>
          <w:p w14:paraId="3CBC43B6">
            <w:pPr>
              <w:spacing w:line="240" w:lineRule="auto"/>
              <w:rPr>
                <w:rFonts w:ascii="Calibri" w:hAnsi="Calibri" w:eastAsia="Calibri" w:cs="Calibri"/>
                <w:color w:val="000000"/>
              </w:rPr>
            </w:pPr>
            <w:r>
              <w:rPr>
                <w:rFonts w:ascii="Calibri" w:hAnsi="Calibri" w:eastAsia="Calibri" w:cs="Calibri"/>
                <w:color w:val="000000"/>
              </w:rPr>
              <w:t>Specific objectives related to benefits and harms</w:t>
            </w:r>
          </w:p>
        </w:tc>
        <w:tc>
          <w:tcPr>
            <w:tcW w:w="5947" w:type="dxa"/>
          </w:tcPr>
          <w:p w14:paraId="1D7E6A39">
            <w:pPr>
              <w:spacing w:line="240" w:lineRule="auto"/>
              <w:rPr>
                <w:rFonts w:ascii="Calibri" w:hAnsi="Calibri" w:eastAsia="宋体" w:cs="Calibri"/>
                <w:color w:val="000000"/>
              </w:rPr>
            </w:pPr>
            <w:r>
              <w:rPr>
                <w:rFonts w:ascii="Calibri" w:hAnsi="Calibri" w:eastAsia="宋体" w:cs="Calibri"/>
                <w:color w:val="000000"/>
              </w:rPr>
              <w:t>Objective: evaluate short-term efficacy and safety of the balloon angiography catheter for standard CRT procedures (p. 6).</w:t>
            </w:r>
          </w:p>
        </w:tc>
      </w:tr>
      <w:tr w14:paraId="00C0F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8365" w:type="dxa"/>
            <w:gridSpan w:val="3"/>
            <w:shd w:val="clear" w:color="auto" w:fill="BDD7EE"/>
          </w:tcPr>
          <w:p w14:paraId="2AFB82D3">
            <w:pPr>
              <w:spacing w:line="240" w:lineRule="auto"/>
              <w:rPr>
                <w:rFonts w:ascii="Calibri" w:hAnsi="Calibri" w:eastAsia="Calibri" w:cs="Calibri"/>
                <w:b/>
                <w:color w:val="000000"/>
              </w:rPr>
            </w:pPr>
            <w:r>
              <w:rPr>
                <w:rFonts w:ascii="Calibri" w:hAnsi="Calibri" w:eastAsia="Calibri" w:cs="Calibri"/>
                <w:b/>
                <w:color w:val="000000"/>
              </w:rPr>
              <w:t>Methods</w:t>
            </w:r>
          </w:p>
        </w:tc>
        <w:tc>
          <w:tcPr>
            <w:tcW w:w="5947" w:type="dxa"/>
            <w:shd w:val="clear" w:color="auto" w:fill="C6D9F0" w:themeFill="text2" w:themeFillTint="33"/>
          </w:tcPr>
          <w:p w14:paraId="0DD6B3EB">
            <w:pPr>
              <w:spacing w:line="240" w:lineRule="auto"/>
              <w:rPr>
                <w:rFonts w:ascii="Calibri" w:hAnsi="Calibri" w:eastAsia="宋体" w:cs="Calibri"/>
                <w:color w:val="000000"/>
              </w:rPr>
            </w:pPr>
          </w:p>
        </w:tc>
      </w:tr>
      <w:tr w14:paraId="5524A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066993BB">
            <w:pPr>
              <w:spacing w:line="240" w:lineRule="auto"/>
              <w:rPr>
                <w:rFonts w:ascii="Calibri" w:hAnsi="Calibri" w:eastAsia="Calibri" w:cs="Calibri"/>
                <w:color w:val="000000"/>
              </w:rPr>
            </w:pPr>
            <w:r>
              <w:rPr>
                <w:rFonts w:ascii="Calibri" w:hAnsi="Calibri" w:eastAsia="Calibri" w:cs="Calibri"/>
                <w:color w:val="000000"/>
              </w:rPr>
              <w:t>Patient and public involvement</w:t>
            </w:r>
          </w:p>
        </w:tc>
        <w:tc>
          <w:tcPr>
            <w:tcW w:w="992" w:type="dxa"/>
          </w:tcPr>
          <w:p w14:paraId="1B551BEB">
            <w:pPr>
              <w:spacing w:line="240" w:lineRule="auto"/>
              <w:jc w:val="center"/>
              <w:rPr>
                <w:rFonts w:ascii="Calibri" w:hAnsi="Calibri" w:eastAsia="Calibri" w:cs="Calibri"/>
                <w:color w:val="000000"/>
              </w:rPr>
            </w:pPr>
            <w:r>
              <w:rPr>
                <w:rFonts w:ascii="Calibri" w:hAnsi="Calibri" w:eastAsia="Calibri" w:cs="Calibri"/>
                <w:color w:val="000000"/>
              </w:rPr>
              <w:t>8</w:t>
            </w:r>
          </w:p>
        </w:tc>
        <w:tc>
          <w:tcPr>
            <w:tcW w:w="4826" w:type="dxa"/>
          </w:tcPr>
          <w:p w14:paraId="2B1CC113">
            <w:pPr>
              <w:spacing w:line="240" w:lineRule="auto"/>
              <w:rPr>
                <w:rFonts w:ascii="Calibri" w:hAnsi="Calibri" w:eastAsia="Calibri" w:cs="Calibri"/>
                <w:color w:val="000000"/>
              </w:rPr>
            </w:pPr>
            <w:r>
              <w:rPr>
                <w:rFonts w:ascii="Calibri" w:hAnsi="Calibri" w:eastAsia="Calibri" w:cs="Calibri"/>
                <w:color w:val="000000"/>
              </w:rPr>
              <w:t>Details of patient or public involvement in the design, conduct and reporting of the trial</w:t>
            </w:r>
          </w:p>
        </w:tc>
        <w:tc>
          <w:tcPr>
            <w:tcW w:w="5947" w:type="dxa"/>
          </w:tcPr>
          <w:p w14:paraId="0927C106">
            <w:pPr>
              <w:spacing w:line="240" w:lineRule="auto"/>
              <w:rPr>
                <w:rFonts w:ascii="Calibri" w:hAnsi="Calibri" w:eastAsia="宋体" w:cs="Calibri"/>
                <w:color w:val="000000"/>
              </w:rPr>
            </w:pPr>
            <w:r>
              <w:rPr>
                <w:rFonts w:ascii="Calibri" w:hAnsi="Calibri" w:eastAsia="宋体" w:cs="Calibri"/>
                <w:color w:val="000000"/>
              </w:rPr>
              <w:t>NR/N/A - no patient or public involvement is reported.</w:t>
            </w:r>
          </w:p>
        </w:tc>
      </w:tr>
      <w:tr w14:paraId="63FF0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7A2BA789">
            <w:pPr>
              <w:spacing w:line="240" w:lineRule="auto"/>
              <w:rPr>
                <w:rFonts w:ascii="Calibri" w:hAnsi="Calibri" w:eastAsia="Calibri" w:cs="Calibri"/>
                <w:color w:val="000000"/>
              </w:rPr>
            </w:pPr>
            <w:r>
              <w:rPr>
                <w:rFonts w:ascii="Calibri" w:hAnsi="Calibri" w:eastAsia="Calibri" w:cs="Calibri"/>
                <w:color w:val="000000"/>
              </w:rPr>
              <w:t>Trial design</w:t>
            </w:r>
          </w:p>
        </w:tc>
        <w:tc>
          <w:tcPr>
            <w:tcW w:w="992" w:type="dxa"/>
          </w:tcPr>
          <w:p w14:paraId="77C72A80">
            <w:pPr>
              <w:spacing w:line="240" w:lineRule="auto"/>
              <w:jc w:val="center"/>
              <w:rPr>
                <w:rFonts w:ascii="Calibri" w:hAnsi="Calibri" w:eastAsia="Calibri" w:cs="Calibri"/>
                <w:color w:val="000000"/>
              </w:rPr>
            </w:pPr>
            <w:r>
              <w:rPr>
                <w:rFonts w:ascii="Calibri" w:hAnsi="Calibri" w:eastAsia="Calibri" w:cs="Calibri"/>
                <w:color w:val="000000"/>
              </w:rPr>
              <w:t>9</w:t>
            </w:r>
          </w:p>
        </w:tc>
        <w:tc>
          <w:tcPr>
            <w:tcW w:w="4826" w:type="dxa"/>
          </w:tcPr>
          <w:p w14:paraId="2EB67AE5">
            <w:pPr>
              <w:spacing w:line="240" w:lineRule="auto"/>
              <w:rPr>
                <w:rFonts w:ascii="Calibri" w:hAnsi="Calibri" w:eastAsia="Calibri" w:cs="Calibri"/>
                <w:color w:val="000000"/>
              </w:rPr>
            </w:pPr>
            <w:r>
              <w:rPr>
                <w:rFonts w:ascii="Calibri" w:hAnsi="Calibri" w:eastAsia="Calibri" w:cs="Calibri"/>
                <w:color w:val="000000"/>
              </w:rPr>
              <w:t>Description of trial design including type of trial (e.g., parallel group, crossover), allocation ratio, and framework (e.g., superiority, equivalence, non-inferiority, exploratory)</w:t>
            </w:r>
          </w:p>
        </w:tc>
        <w:tc>
          <w:tcPr>
            <w:tcW w:w="5947" w:type="dxa"/>
          </w:tcPr>
          <w:p w14:paraId="2995698D">
            <w:pPr>
              <w:spacing w:line="240" w:lineRule="auto"/>
              <w:rPr>
                <w:rFonts w:ascii="Calibri" w:hAnsi="Calibri" w:eastAsia="宋体" w:cs="Calibri"/>
                <w:color w:val="000000"/>
              </w:rPr>
            </w:pPr>
            <w:r>
              <w:rPr>
                <w:rFonts w:ascii="Calibri" w:hAnsi="Calibri" w:eastAsia="宋体" w:cs="Calibri"/>
                <w:color w:val="000000"/>
              </w:rPr>
              <w:t>Prospective, multi-center, single-arm, target-value clinical study across four tertiary hospitals; no allocation ratio because there was no comparator arm (p. 7).</w:t>
            </w:r>
          </w:p>
        </w:tc>
      </w:tr>
      <w:tr w14:paraId="05179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14" w:hRule="atLeast"/>
        </w:trPr>
        <w:tc>
          <w:tcPr>
            <w:tcW w:w="2547" w:type="dxa"/>
          </w:tcPr>
          <w:p w14:paraId="4AF71495">
            <w:pPr>
              <w:spacing w:line="240" w:lineRule="auto"/>
              <w:rPr>
                <w:rFonts w:ascii="Calibri" w:hAnsi="Calibri" w:eastAsia="Calibri" w:cs="Calibri"/>
                <w:color w:val="000000"/>
              </w:rPr>
            </w:pPr>
            <w:r>
              <w:rPr>
                <w:rFonts w:ascii="Calibri" w:hAnsi="Calibri" w:eastAsia="Calibri" w:cs="Calibri"/>
                <w:color w:val="000000"/>
              </w:rPr>
              <w:t>Changes to trial protocol</w:t>
            </w:r>
          </w:p>
        </w:tc>
        <w:tc>
          <w:tcPr>
            <w:tcW w:w="992" w:type="dxa"/>
          </w:tcPr>
          <w:p w14:paraId="03DD780B">
            <w:pPr>
              <w:spacing w:line="240" w:lineRule="auto"/>
              <w:jc w:val="center"/>
              <w:rPr>
                <w:rFonts w:ascii="Calibri" w:hAnsi="Calibri" w:eastAsia="Calibri" w:cs="Calibri"/>
                <w:color w:val="000000"/>
              </w:rPr>
            </w:pPr>
            <w:r>
              <w:rPr>
                <w:rFonts w:ascii="Calibri" w:hAnsi="Calibri" w:eastAsia="Calibri" w:cs="Calibri"/>
                <w:color w:val="000000"/>
              </w:rPr>
              <w:t>10</w:t>
            </w:r>
          </w:p>
        </w:tc>
        <w:tc>
          <w:tcPr>
            <w:tcW w:w="4826" w:type="dxa"/>
          </w:tcPr>
          <w:p w14:paraId="6252DE4A">
            <w:pPr>
              <w:spacing w:line="240" w:lineRule="auto"/>
              <w:rPr>
                <w:rFonts w:ascii="Calibri" w:hAnsi="Calibri" w:eastAsia="Calibri" w:cs="Calibri"/>
                <w:color w:val="000000"/>
              </w:rPr>
            </w:pPr>
            <w:r>
              <w:rPr>
                <w:rFonts w:ascii="Calibri" w:hAnsi="Calibri" w:eastAsia="Calibri" w:cs="Calibri"/>
                <w:color w:val="000000"/>
              </w:rPr>
              <w:t>Important changes to the trial after it commenced including any outcomes or analyses that were not prespecified, with reason</w:t>
            </w:r>
          </w:p>
        </w:tc>
        <w:tc>
          <w:tcPr>
            <w:tcW w:w="5947" w:type="dxa"/>
          </w:tcPr>
          <w:p w14:paraId="2026A1BD">
            <w:pPr>
              <w:spacing w:line="240" w:lineRule="auto"/>
              <w:rPr>
                <w:rFonts w:ascii="Calibri" w:hAnsi="Calibri" w:eastAsia="宋体" w:cs="Calibri"/>
                <w:color w:val="000000"/>
              </w:rPr>
            </w:pPr>
            <w:r>
              <w:rPr>
                <w:rFonts w:ascii="Calibri" w:hAnsi="Calibri" w:eastAsia="宋体" w:cs="Calibri"/>
                <w:color w:val="000000"/>
              </w:rPr>
              <w:t>NR - no important post-commencement protocol, outcome, or analysis changes are reported.</w:t>
            </w:r>
          </w:p>
        </w:tc>
      </w:tr>
      <w:tr w14:paraId="7F5BD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tcPr>
          <w:p w14:paraId="74DD470D">
            <w:pPr>
              <w:spacing w:line="240" w:lineRule="auto"/>
              <w:rPr>
                <w:rFonts w:ascii="Calibri" w:hAnsi="Calibri" w:eastAsia="Calibri" w:cs="Calibri"/>
                <w:color w:val="000000"/>
              </w:rPr>
            </w:pPr>
            <w:r>
              <w:rPr>
                <w:rFonts w:ascii="Calibri" w:hAnsi="Calibri" w:eastAsia="Calibri" w:cs="Calibri"/>
                <w:color w:val="000000"/>
              </w:rPr>
              <w:t>Trial setting</w:t>
            </w:r>
          </w:p>
        </w:tc>
        <w:tc>
          <w:tcPr>
            <w:tcW w:w="992" w:type="dxa"/>
          </w:tcPr>
          <w:p w14:paraId="67FBC305">
            <w:pPr>
              <w:spacing w:line="240" w:lineRule="auto"/>
              <w:jc w:val="center"/>
              <w:rPr>
                <w:rFonts w:ascii="Calibri" w:hAnsi="Calibri" w:eastAsia="Calibri" w:cs="Calibri"/>
                <w:color w:val="000000"/>
              </w:rPr>
            </w:pPr>
            <w:r>
              <w:rPr>
                <w:rFonts w:ascii="Calibri" w:hAnsi="Calibri" w:eastAsia="Calibri" w:cs="Calibri"/>
                <w:color w:val="000000"/>
              </w:rPr>
              <w:t>11</w:t>
            </w:r>
          </w:p>
        </w:tc>
        <w:tc>
          <w:tcPr>
            <w:tcW w:w="4826" w:type="dxa"/>
          </w:tcPr>
          <w:p w14:paraId="4075760D">
            <w:pPr>
              <w:spacing w:line="240" w:lineRule="auto"/>
              <w:rPr>
                <w:rFonts w:ascii="Calibri" w:hAnsi="Calibri" w:eastAsia="Calibri" w:cs="Calibri"/>
                <w:color w:val="000000"/>
              </w:rPr>
            </w:pPr>
            <w:r>
              <w:rPr>
                <w:rFonts w:ascii="Calibri" w:hAnsi="Calibri" w:eastAsia="Calibri" w:cs="Calibri"/>
                <w:color w:val="000000"/>
              </w:rPr>
              <w:t>Settings (e.g., community, hospital) and locations (e.g., countries, sites) where the trial was conducted</w:t>
            </w:r>
          </w:p>
        </w:tc>
        <w:tc>
          <w:tcPr>
            <w:tcW w:w="5947" w:type="dxa"/>
          </w:tcPr>
          <w:p w14:paraId="753EA564">
            <w:pPr>
              <w:spacing w:line="240" w:lineRule="auto"/>
              <w:rPr>
                <w:rFonts w:ascii="Calibri" w:hAnsi="Calibri" w:eastAsia="宋体" w:cs="Calibri"/>
                <w:color w:val="000000"/>
              </w:rPr>
            </w:pPr>
            <w:r>
              <w:rPr>
                <w:rFonts w:ascii="Calibri" w:hAnsi="Calibri" w:eastAsia="宋体" w:cs="Calibri"/>
                <w:color w:val="000000"/>
              </w:rPr>
              <w:t>Four tertiary hospitals, with Peking University People's Hospital as leading center; participating centers, and standardization details in Supplementary File 2 (p. 7; p. 35).</w:t>
            </w:r>
          </w:p>
        </w:tc>
      </w:tr>
      <w:tr w14:paraId="45654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vAlign w:val="center"/>
          </w:tcPr>
          <w:p w14:paraId="006A3D8F">
            <w:pPr>
              <w:spacing w:line="240" w:lineRule="auto"/>
              <w:rPr>
                <w:rFonts w:ascii="Calibri" w:hAnsi="Calibri" w:eastAsia="Calibri" w:cs="Calibri"/>
                <w:color w:val="000000"/>
              </w:rPr>
            </w:pPr>
            <w:r>
              <w:rPr>
                <w:rFonts w:ascii="Calibri" w:hAnsi="Calibri" w:eastAsia="Calibri" w:cs="Calibri"/>
                <w:color w:val="000000"/>
              </w:rPr>
              <w:t>Eligibility criteria</w:t>
            </w:r>
          </w:p>
        </w:tc>
        <w:tc>
          <w:tcPr>
            <w:tcW w:w="992" w:type="dxa"/>
          </w:tcPr>
          <w:p w14:paraId="06C8525F">
            <w:pPr>
              <w:spacing w:line="240" w:lineRule="auto"/>
              <w:jc w:val="center"/>
              <w:rPr>
                <w:rFonts w:ascii="Calibri" w:hAnsi="Calibri" w:eastAsia="Calibri" w:cs="Calibri"/>
                <w:color w:val="000000"/>
              </w:rPr>
            </w:pPr>
            <w:r>
              <w:rPr>
                <w:rFonts w:ascii="Calibri" w:hAnsi="Calibri" w:eastAsia="Calibri" w:cs="Calibri"/>
                <w:color w:val="000000"/>
              </w:rPr>
              <w:t>12a</w:t>
            </w:r>
          </w:p>
        </w:tc>
        <w:tc>
          <w:tcPr>
            <w:tcW w:w="4826" w:type="dxa"/>
          </w:tcPr>
          <w:p w14:paraId="4E0CBB90">
            <w:pPr>
              <w:spacing w:line="240" w:lineRule="auto"/>
              <w:rPr>
                <w:rFonts w:ascii="Calibri" w:hAnsi="Calibri" w:eastAsia="Calibri" w:cs="Calibri"/>
                <w:color w:val="000000"/>
              </w:rPr>
            </w:pPr>
            <w:r>
              <w:rPr>
                <w:rFonts w:ascii="Calibri" w:hAnsi="Calibri" w:eastAsia="Calibri" w:cs="Calibri"/>
                <w:color w:val="000000"/>
              </w:rPr>
              <w:t>Eligibility criteria for participants</w:t>
            </w:r>
          </w:p>
        </w:tc>
        <w:tc>
          <w:tcPr>
            <w:tcW w:w="5947" w:type="dxa"/>
          </w:tcPr>
          <w:p w14:paraId="5984595E">
            <w:pPr>
              <w:spacing w:line="240" w:lineRule="auto"/>
              <w:rPr>
                <w:rFonts w:ascii="Calibri" w:hAnsi="Calibri" w:eastAsia="宋体" w:cs="Calibri"/>
                <w:color w:val="000000"/>
              </w:rPr>
            </w:pPr>
            <w:r>
              <w:rPr>
                <w:rFonts w:ascii="Calibri" w:hAnsi="Calibri" w:eastAsia="宋体" w:cs="Calibri"/>
                <w:color w:val="000000"/>
              </w:rPr>
              <w:t>Adults aged &gt;=18 years meeting CRT or LV lead implantation indications; additional inclusion and exclusion criteria are reported (pp. 7-8).</w:t>
            </w:r>
          </w:p>
        </w:tc>
      </w:tr>
      <w:tr w14:paraId="4B4E0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vAlign w:val="center"/>
          </w:tcPr>
          <w:p w14:paraId="59BE07F3">
            <w:pPr>
              <w:widowControl w:val="0"/>
              <w:spacing w:line="276" w:lineRule="auto"/>
              <w:rPr>
                <w:rFonts w:ascii="Calibri" w:hAnsi="Calibri" w:eastAsia="Calibri" w:cs="Calibri"/>
                <w:color w:val="000000"/>
              </w:rPr>
            </w:pPr>
          </w:p>
        </w:tc>
        <w:tc>
          <w:tcPr>
            <w:tcW w:w="992" w:type="dxa"/>
          </w:tcPr>
          <w:p w14:paraId="6A43E811">
            <w:pPr>
              <w:spacing w:line="240" w:lineRule="auto"/>
              <w:jc w:val="center"/>
              <w:rPr>
                <w:rFonts w:ascii="Calibri" w:hAnsi="Calibri" w:eastAsia="Calibri" w:cs="Calibri"/>
                <w:color w:val="000000"/>
              </w:rPr>
            </w:pPr>
            <w:r>
              <w:rPr>
                <w:rFonts w:ascii="Calibri" w:hAnsi="Calibri" w:eastAsia="Calibri" w:cs="Calibri"/>
                <w:color w:val="000000"/>
              </w:rPr>
              <w:t>12b</w:t>
            </w:r>
          </w:p>
        </w:tc>
        <w:tc>
          <w:tcPr>
            <w:tcW w:w="4826" w:type="dxa"/>
          </w:tcPr>
          <w:p w14:paraId="4A2AB881">
            <w:pPr>
              <w:spacing w:line="240" w:lineRule="auto"/>
              <w:rPr>
                <w:rFonts w:ascii="Calibri" w:hAnsi="Calibri" w:eastAsia="Calibri" w:cs="Calibri"/>
                <w:color w:val="000000"/>
              </w:rPr>
            </w:pPr>
            <w:r>
              <w:rPr>
                <w:rFonts w:ascii="Calibri" w:hAnsi="Calibri" w:eastAsia="Calibri" w:cs="Calibri"/>
                <w:color w:val="000000"/>
              </w:rPr>
              <w:t>If applicable, eligibility criteria for sites and for individuals delivering the interventions (e.g., surgeons, physiotherapists)</w:t>
            </w:r>
          </w:p>
        </w:tc>
        <w:tc>
          <w:tcPr>
            <w:tcW w:w="5947" w:type="dxa"/>
          </w:tcPr>
          <w:p w14:paraId="63F50F04">
            <w:pPr>
              <w:spacing w:line="240" w:lineRule="auto"/>
              <w:rPr>
                <w:rFonts w:ascii="Calibri" w:hAnsi="Calibri" w:eastAsia="宋体" w:cs="Calibri"/>
                <w:color w:val="000000"/>
              </w:rPr>
            </w:pPr>
            <w:r>
              <w:rPr>
                <w:rFonts w:ascii="Calibri" w:hAnsi="Calibri" w:eastAsia="宋体" w:cs="Calibri"/>
                <w:color w:val="000000"/>
              </w:rPr>
              <w:t>Participating centers, ethics approvals, unified operator training, and procedural standardization are reported in Supplementary File 2 (p. 35).</w:t>
            </w:r>
          </w:p>
        </w:tc>
      </w:tr>
      <w:tr w14:paraId="4DB64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63" w:hRule="atLeast"/>
        </w:trPr>
        <w:tc>
          <w:tcPr>
            <w:tcW w:w="2547" w:type="dxa"/>
          </w:tcPr>
          <w:p w14:paraId="0BFD9E12">
            <w:pPr>
              <w:spacing w:line="240" w:lineRule="auto"/>
              <w:rPr>
                <w:rFonts w:ascii="Calibri" w:hAnsi="Calibri" w:eastAsia="Calibri" w:cs="Calibri"/>
                <w:color w:val="000000"/>
              </w:rPr>
            </w:pPr>
            <w:r>
              <w:rPr>
                <w:rFonts w:ascii="Calibri" w:hAnsi="Calibri" w:eastAsia="Calibri" w:cs="Calibri"/>
                <w:color w:val="000000"/>
              </w:rPr>
              <w:t>Intervention and comparator</w:t>
            </w:r>
          </w:p>
        </w:tc>
        <w:tc>
          <w:tcPr>
            <w:tcW w:w="992" w:type="dxa"/>
          </w:tcPr>
          <w:p w14:paraId="1BA5C3A0">
            <w:pPr>
              <w:spacing w:line="240" w:lineRule="auto"/>
              <w:jc w:val="center"/>
              <w:rPr>
                <w:rFonts w:ascii="Calibri" w:hAnsi="Calibri" w:eastAsia="Calibri" w:cs="Calibri"/>
                <w:color w:val="000000"/>
              </w:rPr>
            </w:pPr>
            <w:r>
              <w:rPr>
                <w:rFonts w:ascii="Calibri" w:hAnsi="Calibri" w:eastAsia="Calibri" w:cs="Calibri"/>
                <w:color w:val="000000"/>
              </w:rPr>
              <w:t>13</w:t>
            </w:r>
          </w:p>
        </w:tc>
        <w:tc>
          <w:tcPr>
            <w:tcW w:w="4826" w:type="dxa"/>
          </w:tcPr>
          <w:p w14:paraId="414E959C">
            <w:pPr>
              <w:spacing w:line="240" w:lineRule="auto"/>
              <w:rPr>
                <w:rFonts w:ascii="Calibri" w:hAnsi="Calibri" w:eastAsia="Calibri" w:cs="Calibri"/>
                <w:color w:val="000000"/>
              </w:rPr>
            </w:pPr>
            <w:r>
              <w:rPr>
                <w:rFonts w:ascii="Calibri" w:hAnsi="Calibri" w:eastAsia="Calibri" w:cs="Calibri"/>
                <w:color w:val="000000"/>
              </w:rPr>
              <w:t>Intervention and comparator with sufficient details to allow replication. If relevant, where additional materials describing the intervention and comparator (e.g., intervention manual) can be accessed</w:t>
            </w:r>
          </w:p>
        </w:tc>
        <w:tc>
          <w:tcPr>
            <w:tcW w:w="5947" w:type="dxa"/>
          </w:tcPr>
          <w:p w14:paraId="7ECE5C42">
            <w:pPr>
              <w:spacing w:line="240" w:lineRule="auto"/>
              <w:rPr>
                <w:rFonts w:ascii="Calibri" w:hAnsi="Calibri" w:eastAsia="宋体" w:cs="Calibri"/>
                <w:color w:val="000000"/>
              </w:rPr>
            </w:pPr>
            <w:r>
              <w:rPr>
                <w:rFonts w:ascii="Calibri" w:hAnsi="Calibri" w:eastAsia="宋体" w:cs="Calibri"/>
                <w:color w:val="000000"/>
              </w:rPr>
              <w:t>Study device structure and procedural steps are described; no comparator intervention. Supplementary File 2 reports operator training and procedural standardization (pp. 8-10; p. 35).</w:t>
            </w:r>
          </w:p>
        </w:tc>
      </w:tr>
      <w:tr w14:paraId="1A37D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614" w:hRule="atLeast"/>
        </w:trPr>
        <w:tc>
          <w:tcPr>
            <w:tcW w:w="2547" w:type="dxa"/>
          </w:tcPr>
          <w:p w14:paraId="63E740A2">
            <w:pPr>
              <w:spacing w:line="240" w:lineRule="auto"/>
              <w:rPr>
                <w:rFonts w:ascii="Calibri" w:hAnsi="Calibri" w:eastAsia="Calibri" w:cs="Calibri"/>
                <w:color w:val="000000"/>
              </w:rPr>
            </w:pPr>
            <w:r>
              <w:rPr>
                <w:rFonts w:ascii="Calibri" w:hAnsi="Calibri" w:eastAsia="Calibri" w:cs="Calibri"/>
                <w:color w:val="000000"/>
              </w:rPr>
              <w:t>Outcomes</w:t>
            </w:r>
          </w:p>
        </w:tc>
        <w:tc>
          <w:tcPr>
            <w:tcW w:w="992" w:type="dxa"/>
          </w:tcPr>
          <w:p w14:paraId="39A77F30">
            <w:pPr>
              <w:spacing w:line="240" w:lineRule="auto"/>
              <w:jc w:val="center"/>
              <w:rPr>
                <w:rFonts w:ascii="Calibri" w:hAnsi="Calibri" w:eastAsia="Calibri" w:cs="Calibri"/>
                <w:color w:val="000000"/>
              </w:rPr>
            </w:pPr>
            <w:r>
              <w:rPr>
                <w:rFonts w:ascii="Calibri" w:hAnsi="Calibri" w:eastAsia="Calibri" w:cs="Calibri"/>
                <w:color w:val="000000"/>
              </w:rPr>
              <w:t>14</w:t>
            </w:r>
          </w:p>
          <w:p w14:paraId="69C72356">
            <w:pPr>
              <w:spacing w:line="240" w:lineRule="auto"/>
              <w:jc w:val="center"/>
              <w:rPr>
                <w:rFonts w:ascii="Calibri" w:hAnsi="Calibri" w:eastAsia="Calibri" w:cs="Calibri"/>
                <w:color w:val="000000"/>
              </w:rPr>
            </w:pPr>
          </w:p>
        </w:tc>
        <w:tc>
          <w:tcPr>
            <w:tcW w:w="4826" w:type="dxa"/>
          </w:tcPr>
          <w:p w14:paraId="17A37E59">
            <w:pPr>
              <w:spacing w:line="240" w:lineRule="auto"/>
              <w:rPr>
                <w:rFonts w:ascii="Calibri" w:hAnsi="Calibri" w:eastAsia="Calibri" w:cs="Calibri"/>
                <w:color w:val="000000"/>
              </w:rPr>
            </w:pPr>
            <w:r>
              <w:rPr>
                <w:rFonts w:ascii="Calibri" w:hAnsi="Calibri" w:eastAsia="Calibri" w:cs="Calibri"/>
                <w:color w:val="000000"/>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5947" w:type="dxa"/>
          </w:tcPr>
          <w:p w14:paraId="7632E995">
            <w:pPr>
              <w:spacing w:line="240" w:lineRule="auto"/>
              <w:rPr>
                <w:rFonts w:ascii="Calibri" w:hAnsi="Calibri" w:eastAsia="宋体" w:cs="Calibri"/>
                <w:color w:val="000000"/>
              </w:rPr>
            </w:pPr>
            <w:r>
              <w:rPr>
                <w:rFonts w:ascii="Calibri" w:hAnsi="Calibri" w:eastAsia="宋体" w:cs="Calibri"/>
                <w:color w:val="000000"/>
              </w:rPr>
              <w:t>Primary endpoint was device success; secondary procedural, performance, and safety endpoints are defined; follow-up to discharge or postoperative day 7 (pp. 10-11).</w:t>
            </w:r>
          </w:p>
        </w:tc>
      </w:tr>
      <w:tr w14:paraId="37DD3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339" w:hRule="atLeast"/>
        </w:trPr>
        <w:tc>
          <w:tcPr>
            <w:tcW w:w="2547" w:type="dxa"/>
          </w:tcPr>
          <w:p w14:paraId="6C34D3F0">
            <w:pPr>
              <w:spacing w:line="240" w:lineRule="auto"/>
              <w:rPr>
                <w:rFonts w:ascii="Calibri" w:hAnsi="Calibri" w:eastAsia="Calibri" w:cs="Calibri"/>
                <w:color w:val="000000"/>
              </w:rPr>
            </w:pPr>
            <w:r>
              <w:rPr>
                <w:rFonts w:ascii="Calibri" w:hAnsi="Calibri" w:eastAsia="Calibri" w:cs="Calibri"/>
                <w:color w:val="000000"/>
              </w:rPr>
              <w:t>Harms</w:t>
            </w:r>
          </w:p>
        </w:tc>
        <w:tc>
          <w:tcPr>
            <w:tcW w:w="992" w:type="dxa"/>
          </w:tcPr>
          <w:p w14:paraId="41B38823">
            <w:pPr>
              <w:spacing w:line="240" w:lineRule="auto"/>
              <w:jc w:val="center"/>
              <w:rPr>
                <w:rFonts w:ascii="Calibri" w:hAnsi="Calibri" w:eastAsia="Calibri" w:cs="Calibri"/>
                <w:color w:val="000000"/>
              </w:rPr>
            </w:pPr>
            <w:r>
              <w:rPr>
                <w:rFonts w:ascii="Calibri" w:hAnsi="Calibri" w:eastAsia="Calibri" w:cs="Calibri"/>
                <w:color w:val="000000"/>
              </w:rPr>
              <w:t>15</w:t>
            </w:r>
          </w:p>
        </w:tc>
        <w:tc>
          <w:tcPr>
            <w:tcW w:w="4826" w:type="dxa"/>
          </w:tcPr>
          <w:p w14:paraId="1F7A7A90">
            <w:pPr>
              <w:spacing w:line="240" w:lineRule="auto"/>
              <w:rPr>
                <w:rFonts w:ascii="Calibri" w:hAnsi="Calibri" w:eastAsia="Calibri" w:cs="Calibri"/>
                <w:color w:val="000000"/>
              </w:rPr>
            </w:pPr>
            <w:r>
              <w:rPr>
                <w:rFonts w:ascii="Calibri" w:hAnsi="Calibri" w:eastAsia="Calibri" w:cs="Calibri"/>
                <w:color w:val="000000"/>
              </w:rPr>
              <w:t>How harms were defined and assessed (e.g., systematically, non-systematically)</w:t>
            </w:r>
          </w:p>
        </w:tc>
        <w:tc>
          <w:tcPr>
            <w:tcW w:w="5947" w:type="dxa"/>
          </w:tcPr>
          <w:p w14:paraId="38BCA39B">
            <w:pPr>
              <w:spacing w:line="240" w:lineRule="auto"/>
              <w:rPr>
                <w:rFonts w:ascii="Calibri" w:hAnsi="Calibri" w:eastAsia="宋体" w:cs="Calibri"/>
                <w:color w:val="000000"/>
              </w:rPr>
            </w:pPr>
            <w:r>
              <w:rPr>
                <w:rFonts w:ascii="Calibri" w:hAnsi="Calibri" w:eastAsia="宋体" w:cs="Calibri"/>
                <w:color w:val="000000"/>
              </w:rPr>
              <w:t>Adverse events, serious adverse events, and device deficiencies were recorded intraoperatively and during postoperative follow-up; follow-up assessments included adverse or serious adverse events (pp. 10-11).</w:t>
            </w:r>
          </w:p>
        </w:tc>
      </w:tr>
      <w:tr w14:paraId="4CC28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restart"/>
          </w:tcPr>
          <w:p w14:paraId="3D319E27">
            <w:pPr>
              <w:spacing w:line="240" w:lineRule="auto"/>
              <w:rPr>
                <w:rFonts w:ascii="Calibri" w:hAnsi="Calibri" w:eastAsia="Calibri" w:cs="Calibri"/>
                <w:color w:val="000000"/>
              </w:rPr>
            </w:pPr>
            <w:r>
              <w:rPr>
                <w:rFonts w:ascii="Calibri" w:hAnsi="Calibri" w:eastAsia="Calibri" w:cs="Calibri"/>
                <w:color w:val="000000"/>
              </w:rPr>
              <w:t>Sample size</w:t>
            </w:r>
          </w:p>
        </w:tc>
        <w:tc>
          <w:tcPr>
            <w:tcW w:w="992" w:type="dxa"/>
          </w:tcPr>
          <w:p w14:paraId="338D171C">
            <w:pPr>
              <w:spacing w:line="240" w:lineRule="auto"/>
              <w:jc w:val="center"/>
              <w:rPr>
                <w:rFonts w:ascii="Calibri" w:hAnsi="Calibri" w:eastAsia="Calibri" w:cs="Calibri"/>
                <w:color w:val="000000"/>
              </w:rPr>
            </w:pPr>
            <w:r>
              <w:rPr>
                <w:rFonts w:ascii="Calibri" w:hAnsi="Calibri" w:eastAsia="Calibri" w:cs="Calibri"/>
                <w:color w:val="000000"/>
              </w:rPr>
              <w:t>16a</w:t>
            </w:r>
          </w:p>
        </w:tc>
        <w:tc>
          <w:tcPr>
            <w:tcW w:w="4826" w:type="dxa"/>
          </w:tcPr>
          <w:p w14:paraId="46BC57F3">
            <w:pPr>
              <w:spacing w:line="240" w:lineRule="auto"/>
              <w:rPr>
                <w:rFonts w:ascii="Calibri" w:hAnsi="Calibri" w:eastAsia="Calibri" w:cs="Calibri"/>
                <w:color w:val="000000"/>
              </w:rPr>
            </w:pPr>
            <w:r>
              <w:rPr>
                <w:rFonts w:ascii="Calibri" w:hAnsi="Calibri" w:eastAsia="Calibri" w:cs="Calibri"/>
                <w:color w:val="000000"/>
              </w:rPr>
              <w:t>How sample size was determined, including all assumptions supporting the sample size calculation</w:t>
            </w:r>
          </w:p>
        </w:tc>
        <w:tc>
          <w:tcPr>
            <w:tcW w:w="5947" w:type="dxa"/>
          </w:tcPr>
          <w:p w14:paraId="4286E9C2">
            <w:pPr>
              <w:spacing w:line="240" w:lineRule="auto"/>
              <w:rPr>
                <w:rFonts w:ascii="Calibri" w:hAnsi="Calibri" w:eastAsia="宋体" w:cs="Calibri"/>
                <w:color w:val="000000"/>
              </w:rPr>
            </w:pPr>
            <w:r>
              <w:rPr>
                <w:rFonts w:ascii="Calibri" w:hAnsi="Calibri" w:eastAsia="宋体" w:cs="Calibri"/>
                <w:color w:val="000000"/>
              </w:rPr>
              <w:t>Single-arm target-value design; null success 93%, expected success 99%, one-sided alpha 0.025, power 80%, exact binomial method in PASS 15.0.5; 97 participants required (pp. 8-9).</w:t>
            </w:r>
          </w:p>
        </w:tc>
      </w:tr>
      <w:tr w14:paraId="585FC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continue"/>
          </w:tcPr>
          <w:p w14:paraId="5CE39DE7">
            <w:pPr>
              <w:widowControl w:val="0"/>
              <w:spacing w:line="276" w:lineRule="auto"/>
              <w:rPr>
                <w:rFonts w:ascii="Calibri" w:hAnsi="Calibri" w:eastAsia="Calibri" w:cs="Calibri"/>
                <w:color w:val="000000"/>
              </w:rPr>
            </w:pPr>
          </w:p>
        </w:tc>
        <w:tc>
          <w:tcPr>
            <w:tcW w:w="992" w:type="dxa"/>
          </w:tcPr>
          <w:p w14:paraId="232D83FB">
            <w:pPr>
              <w:spacing w:line="240" w:lineRule="auto"/>
              <w:jc w:val="center"/>
              <w:rPr>
                <w:rFonts w:ascii="Calibri" w:hAnsi="Calibri" w:eastAsia="Calibri" w:cs="Calibri"/>
                <w:color w:val="000000"/>
              </w:rPr>
            </w:pPr>
            <w:r>
              <w:rPr>
                <w:rFonts w:ascii="Calibri" w:hAnsi="Calibri" w:eastAsia="Calibri" w:cs="Calibri"/>
                <w:color w:val="000000"/>
              </w:rPr>
              <w:t>16b</w:t>
            </w:r>
          </w:p>
        </w:tc>
        <w:tc>
          <w:tcPr>
            <w:tcW w:w="4826" w:type="dxa"/>
          </w:tcPr>
          <w:p w14:paraId="242CFE97">
            <w:pPr>
              <w:spacing w:line="240" w:lineRule="auto"/>
              <w:rPr>
                <w:rFonts w:ascii="Calibri" w:hAnsi="Calibri" w:eastAsia="Calibri" w:cs="Calibri"/>
                <w:color w:val="000000"/>
              </w:rPr>
            </w:pPr>
            <w:r>
              <w:rPr>
                <w:rFonts w:ascii="Calibri" w:hAnsi="Calibri" w:eastAsia="Calibri" w:cs="Calibri"/>
                <w:color w:val="000000"/>
              </w:rPr>
              <w:t>Explanation of any interim analyses and stopping guidelines</w:t>
            </w:r>
          </w:p>
        </w:tc>
        <w:tc>
          <w:tcPr>
            <w:tcW w:w="5947" w:type="dxa"/>
          </w:tcPr>
          <w:p w14:paraId="6D2FA87D">
            <w:pPr>
              <w:spacing w:line="240" w:lineRule="auto"/>
              <w:rPr>
                <w:rFonts w:ascii="Calibri" w:hAnsi="Calibri" w:eastAsia="宋体" w:cs="Calibri"/>
                <w:color w:val="000000"/>
              </w:rPr>
            </w:pPr>
            <w:r>
              <w:rPr>
                <w:rFonts w:ascii="Calibri" w:hAnsi="Calibri" w:eastAsia="宋体" w:cs="Calibri"/>
                <w:color w:val="000000"/>
              </w:rPr>
              <w:t>N/A/NR - no interim analysis or stopping guideline is described.</w:t>
            </w:r>
          </w:p>
        </w:tc>
      </w:tr>
      <w:tr w14:paraId="2E86B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tcPr>
          <w:p w14:paraId="6D8CA805">
            <w:pPr>
              <w:spacing w:line="240" w:lineRule="auto"/>
              <w:rPr>
                <w:rFonts w:ascii="Calibri" w:hAnsi="Calibri" w:eastAsia="Calibri" w:cs="Calibri"/>
                <w:color w:val="000000"/>
              </w:rPr>
            </w:pPr>
            <w:r>
              <w:rPr>
                <w:rFonts w:ascii="Calibri" w:hAnsi="Calibri" w:eastAsia="Calibri" w:cs="Calibri"/>
                <w:color w:val="000000"/>
              </w:rPr>
              <w:t>Randomization:</w:t>
            </w:r>
          </w:p>
        </w:tc>
        <w:tc>
          <w:tcPr>
            <w:tcW w:w="992" w:type="dxa"/>
          </w:tcPr>
          <w:p w14:paraId="4816BD74">
            <w:pPr>
              <w:spacing w:line="240" w:lineRule="auto"/>
              <w:rPr>
                <w:rFonts w:ascii="Calibri" w:hAnsi="Calibri" w:eastAsia="Calibri" w:cs="Calibri"/>
                <w:color w:val="000000"/>
              </w:rPr>
            </w:pPr>
            <w:r>
              <w:rPr>
                <w:rFonts w:ascii="Calibri" w:hAnsi="Calibri" w:eastAsia="Calibri" w:cs="Calibri"/>
                <w:color w:val="000000"/>
              </w:rPr>
              <w:t> </w:t>
            </w:r>
          </w:p>
        </w:tc>
        <w:tc>
          <w:tcPr>
            <w:tcW w:w="4826" w:type="dxa"/>
          </w:tcPr>
          <w:p w14:paraId="2B6EEBE0">
            <w:pPr>
              <w:spacing w:line="240" w:lineRule="auto"/>
              <w:rPr>
                <w:rFonts w:ascii="Calibri" w:hAnsi="Calibri" w:eastAsia="Calibri" w:cs="Calibri"/>
                <w:color w:val="000000"/>
              </w:rPr>
            </w:pPr>
            <w:r>
              <w:rPr>
                <w:rFonts w:ascii="Calibri" w:hAnsi="Calibri" w:eastAsia="Calibri" w:cs="Calibri"/>
                <w:color w:val="000000"/>
              </w:rPr>
              <w:t> </w:t>
            </w:r>
          </w:p>
        </w:tc>
        <w:tc>
          <w:tcPr>
            <w:tcW w:w="5947" w:type="dxa"/>
          </w:tcPr>
          <w:p w14:paraId="595BB6F5">
            <w:pPr>
              <w:spacing w:line="240" w:lineRule="auto"/>
              <w:rPr>
                <w:rFonts w:ascii="Calibri" w:hAnsi="Calibri" w:eastAsia="宋体" w:cs="Calibri"/>
                <w:color w:val="000000"/>
              </w:rPr>
            </w:pPr>
          </w:p>
        </w:tc>
      </w:tr>
      <w:tr w14:paraId="4E8C5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6" w:hRule="atLeast"/>
        </w:trPr>
        <w:tc>
          <w:tcPr>
            <w:tcW w:w="2547" w:type="dxa"/>
            <w:vMerge w:val="restart"/>
          </w:tcPr>
          <w:p w14:paraId="00899F29">
            <w:pPr>
              <w:spacing w:line="240" w:lineRule="auto"/>
              <w:ind w:left="113"/>
              <w:rPr>
                <w:rFonts w:ascii="Calibri" w:hAnsi="Calibri" w:eastAsia="Calibri" w:cs="Calibri"/>
                <w:color w:val="000000"/>
              </w:rPr>
            </w:pPr>
            <w:r>
              <w:rPr>
                <w:rFonts w:ascii="Calibri" w:hAnsi="Calibri" w:eastAsia="Calibri" w:cs="Calibri"/>
                <w:color w:val="000000"/>
              </w:rPr>
              <w:t>Sequence generation</w:t>
            </w:r>
          </w:p>
        </w:tc>
        <w:tc>
          <w:tcPr>
            <w:tcW w:w="992" w:type="dxa"/>
          </w:tcPr>
          <w:p w14:paraId="3AABA290">
            <w:pPr>
              <w:spacing w:line="240" w:lineRule="auto"/>
              <w:jc w:val="center"/>
              <w:rPr>
                <w:rFonts w:ascii="Calibri" w:hAnsi="Calibri" w:eastAsia="Calibri" w:cs="Calibri"/>
                <w:color w:val="000000"/>
              </w:rPr>
            </w:pPr>
            <w:r>
              <w:rPr>
                <w:rFonts w:ascii="Calibri" w:hAnsi="Calibri" w:eastAsia="Calibri" w:cs="Calibri"/>
                <w:color w:val="000000"/>
              </w:rPr>
              <w:t>17a</w:t>
            </w:r>
          </w:p>
        </w:tc>
        <w:tc>
          <w:tcPr>
            <w:tcW w:w="4826" w:type="dxa"/>
          </w:tcPr>
          <w:p w14:paraId="658850C4">
            <w:pPr>
              <w:spacing w:line="240" w:lineRule="auto"/>
              <w:rPr>
                <w:rFonts w:ascii="Calibri" w:hAnsi="Calibri" w:eastAsia="Calibri" w:cs="Calibri"/>
                <w:color w:val="000000"/>
              </w:rPr>
            </w:pPr>
            <w:r>
              <w:rPr>
                <w:rFonts w:ascii="Calibri" w:hAnsi="Calibri" w:eastAsia="Calibri" w:cs="Calibri"/>
                <w:color w:val="000000"/>
              </w:rPr>
              <w:t>Who generated the random allocation sequence and the method used</w:t>
            </w:r>
          </w:p>
        </w:tc>
        <w:tc>
          <w:tcPr>
            <w:tcW w:w="5947" w:type="dxa"/>
          </w:tcPr>
          <w:p w14:paraId="398F6E6F">
            <w:pPr>
              <w:spacing w:line="240" w:lineRule="auto"/>
              <w:rPr>
                <w:rFonts w:ascii="Calibri" w:hAnsi="Calibri" w:eastAsia="宋体" w:cs="Calibri"/>
                <w:color w:val="000000"/>
              </w:rPr>
            </w:pPr>
            <w:r>
              <w:rPr>
                <w:rFonts w:ascii="Calibri" w:hAnsi="Calibri" w:eastAsia="宋体" w:cs="Calibri"/>
                <w:color w:val="000000"/>
              </w:rPr>
              <w:t>N/A - single-arm study; no random allocation sequence.</w:t>
            </w:r>
          </w:p>
        </w:tc>
      </w:tr>
      <w:tr w14:paraId="449A1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5" w:hRule="atLeast"/>
        </w:trPr>
        <w:tc>
          <w:tcPr>
            <w:tcW w:w="2547" w:type="dxa"/>
            <w:vMerge w:val="continue"/>
          </w:tcPr>
          <w:p w14:paraId="79B76CF3">
            <w:pPr>
              <w:widowControl w:val="0"/>
              <w:spacing w:line="276" w:lineRule="auto"/>
              <w:rPr>
                <w:rFonts w:ascii="Calibri" w:hAnsi="Calibri" w:eastAsia="Calibri" w:cs="Calibri"/>
                <w:color w:val="000000"/>
              </w:rPr>
            </w:pPr>
          </w:p>
        </w:tc>
        <w:tc>
          <w:tcPr>
            <w:tcW w:w="992" w:type="dxa"/>
          </w:tcPr>
          <w:p w14:paraId="0CDB9600">
            <w:pPr>
              <w:spacing w:line="240" w:lineRule="auto"/>
              <w:jc w:val="center"/>
              <w:rPr>
                <w:rFonts w:ascii="Calibri" w:hAnsi="Calibri" w:eastAsia="Calibri" w:cs="Calibri"/>
                <w:color w:val="000000"/>
              </w:rPr>
            </w:pPr>
            <w:r>
              <w:rPr>
                <w:rFonts w:ascii="Calibri" w:hAnsi="Calibri" w:eastAsia="Calibri" w:cs="Calibri"/>
                <w:color w:val="000000"/>
              </w:rPr>
              <w:t>17b</w:t>
            </w:r>
          </w:p>
        </w:tc>
        <w:tc>
          <w:tcPr>
            <w:tcW w:w="4826" w:type="dxa"/>
          </w:tcPr>
          <w:p w14:paraId="5F162AE1">
            <w:pPr>
              <w:spacing w:line="240" w:lineRule="auto"/>
              <w:rPr>
                <w:rFonts w:ascii="Calibri" w:hAnsi="Calibri" w:eastAsia="Calibri" w:cs="Calibri"/>
                <w:color w:val="000000"/>
              </w:rPr>
            </w:pPr>
            <w:r>
              <w:rPr>
                <w:rFonts w:ascii="Calibri" w:hAnsi="Calibri" w:eastAsia="Calibri" w:cs="Calibri"/>
                <w:color w:val="000000"/>
              </w:rPr>
              <w:t>Type of randomization and details of any restriction (e.g., stratification, blocking and block size)</w:t>
            </w:r>
          </w:p>
        </w:tc>
        <w:tc>
          <w:tcPr>
            <w:tcW w:w="5947" w:type="dxa"/>
          </w:tcPr>
          <w:p w14:paraId="7077F25F">
            <w:pPr>
              <w:spacing w:line="240" w:lineRule="auto"/>
              <w:rPr>
                <w:rFonts w:ascii="Calibri" w:hAnsi="Calibri" w:eastAsia="宋体" w:cs="Calibri"/>
                <w:color w:val="000000"/>
              </w:rPr>
            </w:pPr>
            <w:r>
              <w:rPr>
                <w:rFonts w:ascii="Calibri" w:hAnsi="Calibri" w:eastAsia="宋体" w:cs="Calibri"/>
                <w:color w:val="000000"/>
              </w:rPr>
              <w:t>N/A - single-arm study without randomization.</w:t>
            </w:r>
          </w:p>
        </w:tc>
      </w:tr>
      <w:tr w14:paraId="00444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44" w:hRule="atLeast"/>
        </w:trPr>
        <w:tc>
          <w:tcPr>
            <w:tcW w:w="2547" w:type="dxa"/>
          </w:tcPr>
          <w:p w14:paraId="6595F136">
            <w:pPr>
              <w:spacing w:line="240" w:lineRule="auto"/>
              <w:ind w:left="113"/>
              <w:rPr>
                <w:rFonts w:ascii="Calibri" w:hAnsi="Calibri" w:eastAsia="Calibri" w:cs="Calibri"/>
                <w:color w:val="000000"/>
              </w:rPr>
            </w:pPr>
            <w:r>
              <w:rPr>
                <w:rFonts w:ascii="Calibri" w:hAnsi="Calibri" w:eastAsia="Calibri" w:cs="Calibri"/>
                <w:color w:val="000000"/>
              </w:rPr>
              <w:t>Allocation concealment mechanism</w:t>
            </w:r>
          </w:p>
        </w:tc>
        <w:tc>
          <w:tcPr>
            <w:tcW w:w="992" w:type="dxa"/>
          </w:tcPr>
          <w:p w14:paraId="4453A0B3">
            <w:pPr>
              <w:spacing w:line="240" w:lineRule="auto"/>
              <w:jc w:val="center"/>
              <w:rPr>
                <w:rFonts w:ascii="Calibri" w:hAnsi="Calibri" w:eastAsia="Calibri" w:cs="Calibri"/>
                <w:color w:val="000000"/>
              </w:rPr>
            </w:pPr>
            <w:r>
              <w:rPr>
                <w:rFonts w:ascii="Calibri" w:hAnsi="Calibri" w:eastAsia="Calibri" w:cs="Calibri"/>
                <w:color w:val="000000"/>
              </w:rPr>
              <w:t>18</w:t>
            </w:r>
          </w:p>
        </w:tc>
        <w:tc>
          <w:tcPr>
            <w:tcW w:w="4826" w:type="dxa"/>
          </w:tcPr>
          <w:p w14:paraId="5748C513">
            <w:pPr>
              <w:spacing w:line="240" w:lineRule="auto"/>
              <w:rPr>
                <w:rFonts w:ascii="Calibri" w:hAnsi="Calibri" w:eastAsia="Calibri" w:cs="Calibri"/>
                <w:color w:val="000000"/>
              </w:rPr>
            </w:pPr>
            <w:r>
              <w:rPr>
                <w:rFonts w:ascii="Calibri" w:hAnsi="Calibri" w:eastAsia="Calibri" w:cs="Calibri"/>
                <w:color w:val="000000"/>
              </w:rPr>
              <w:t>Mechanism used to implement the random allocation sequence (e.g., central computer/telephone; sequentially numbered, opaque, sealed containers), describing any steps to conceal the sequence until interventions were assigned</w:t>
            </w:r>
          </w:p>
        </w:tc>
        <w:tc>
          <w:tcPr>
            <w:tcW w:w="5947" w:type="dxa"/>
          </w:tcPr>
          <w:p w14:paraId="1DBD3FC6">
            <w:pPr>
              <w:spacing w:line="240" w:lineRule="auto"/>
              <w:rPr>
                <w:rFonts w:ascii="Calibri" w:hAnsi="Calibri" w:eastAsia="宋体" w:cs="Calibri"/>
                <w:color w:val="000000"/>
              </w:rPr>
            </w:pPr>
            <w:r>
              <w:rPr>
                <w:rFonts w:ascii="Calibri" w:hAnsi="Calibri" w:eastAsia="宋体" w:cs="Calibri"/>
                <w:color w:val="000000"/>
              </w:rPr>
              <w:t>N/A - no allocation concealment mechanism because there was no random allocation.</w:t>
            </w:r>
          </w:p>
        </w:tc>
      </w:tr>
      <w:tr w14:paraId="2D92A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8" w:hRule="atLeast"/>
        </w:trPr>
        <w:tc>
          <w:tcPr>
            <w:tcW w:w="2547" w:type="dxa"/>
          </w:tcPr>
          <w:p w14:paraId="56A016D9">
            <w:pPr>
              <w:spacing w:line="240" w:lineRule="auto"/>
              <w:ind w:left="113"/>
              <w:rPr>
                <w:rFonts w:ascii="Calibri" w:hAnsi="Calibri" w:eastAsia="Calibri" w:cs="Calibri"/>
                <w:color w:val="000000"/>
              </w:rPr>
            </w:pPr>
            <w:r>
              <w:rPr>
                <w:rFonts w:ascii="Calibri" w:hAnsi="Calibri" w:eastAsia="Calibri" w:cs="Calibri"/>
                <w:color w:val="000000"/>
              </w:rPr>
              <w:t>Implementation</w:t>
            </w:r>
          </w:p>
        </w:tc>
        <w:tc>
          <w:tcPr>
            <w:tcW w:w="992" w:type="dxa"/>
          </w:tcPr>
          <w:p w14:paraId="56996391">
            <w:pPr>
              <w:spacing w:line="240" w:lineRule="auto"/>
              <w:jc w:val="center"/>
              <w:rPr>
                <w:rFonts w:ascii="Calibri" w:hAnsi="Calibri" w:eastAsia="Calibri" w:cs="Calibri"/>
                <w:color w:val="000000"/>
              </w:rPr>
            </w:pPr>
            <w:r>
              <w:rPr>
                <w:rFonts w:ascii="Calibri" w:hAnsi="Calibri" w:eastAsia="Calibri" w:cs="Calibri"/>
                <w:color w:val="000000"/>
              </w:rPr>
              <w:t>19</w:t>
            </w:r>
          </w:p>
        </w:tc>
        <w:tc>
          <w:tcPr>
            <w:tcW w:w="4826" w:type="dxa"/>
          </w:tcPr>
          <w:p w14:paraId="558D86A5">
            <w:pPr>
              <w:spacing w:line="240" w:lineRule="auto"/>
              <w:rPr>
                <w:rFonts w:ascii="Calibri" w:hAnsi="Calibri" w:eastAsia="Calibri" w:cs="Calibri"/>
                <w:color w:val="000000"/>
              </w:rPr>
            </w:pPr>
            <w:r>
              <w:rPr>
                <w:rFonts w:ascii="Calibri" w:hAnsi="Calibri" w:eastAsia="Calibri" w:cs="Calibri"/>
                <w:color w:val="000000"/>
              </w:rPr>
              <w:t xml:space="preserve">Whether the personnel who enrolled and those who assigned participants to the interventions had access to the random allocation sequence </w:t>
            </w:r>
          </w:p>
        </w:tc>
        <w:tc>
          <w:tcPr>
            <w:tcW w:w="5947" w:type="dxa"/>
          </w:tcPr>
          <w:p w14:paraId="31734108">
            <w:pPr>
              <w:spacing w:line="240" w:lineRule="auto"/>
              <w:rPr>
                <w:rFonts w:ascii="Calibri" w:hAnsi="Calibri" w:eastAsia="宋体" w:cs="Calibri"/>
                <w:color w:val="000000"/>
              </w:rPr>
            </w:pPr>
            <w:r>
              <w:rPr>
                <w:rFonts w:ascii="Calibri" w:hAnsi="Calibri" w:eastAsia="宋体" w:cs="Calibri"/>
                <w:color w:val="000000"/>
              </w:rPr>
              <w:t>N/A - no random allocation sequence or assignment to intervention groups.</w:t>
            </w:r>
          </w:p>
        </w:tc>
      </w:tr>
      <w:tr w14:paraId="402C4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1" w:hRule="atLeast"/>
        </w:trPr>
        <w:tc>
          <w:tcPr>
            <w:tcW w:w="2547" w:type="dxa"/>
            <w:vMerge w:val="restart"/>
          </w:tcPr>
          <w:p w14:paraId="6E5BB7FF">
            <w:pPr>
              <w:spacing w:line="240" w:lineRule="auto"/>
              <w:rPr>
                <w:rFonts w:ascii="Calibri" w:hAnsi="Calibri" w:eastAsia="Calibri" w:cs="Calibri"/>
                <w:color w:val="000000"/>
              </w:rPr>
            </w:pPr>
            <w:r>
              <w:rPr>
                <w:rFonts w:ascii="Calibri" w:hAnsi="Calibri" w:eastAsia="Calibri" w:cs="Calibri"/>
                <w:color w:val="000000"/>
              </w:rPr>
              <w:t>Blinding</w:t>
            </w:r>
          </w:p>
        </w:tc>
        <w:tc>
          <w:tcPr>
            <w:tcW w:w="992" w:type="dxa"/>
          </w:tcPr>
          <w:p w14:paraId="4FAEA27A">
            <w:pPr>
              <w:spacing w:line="240" w:lineRule="auto"/>
              <w:jc w:val="center"/>
              <w:rPr>
                <w:rFonts w:ascii="Calibri" w:hAnsi="Calibri" w:eastAsia="Calibri" w:cs="Calibri"/>
                <w:color w:val="000000"/>
              </w:rPr>
            </w:pPr>
            <w:r>
              <w:rPr>
                <w:rFonts w:ascii="Calibri" w:hAnsi="Calibri" w:eastAsia="Calibri" w:cs="Calibri"/>
                <w:color w:val="000000"/>
              </w:rPr>
              <w:t>20a</w:t>
            </w:r>
          </w:p>
        </w:tc>
        <w:tc>
          <w:tcPr>
            <w:tcW w:w="4826" w:type="dxa"/>
          </w:tcPr>
          <w:p w14:paraId="799C1170">
            <w:pPr>
              <w:spacing w:line="240" w:lineRule="auto"/>
              <w:rPr>
                <w:rFonts w:ascii="Calibri" w:hAnsi="Calibri" w:eastAsia="Calibri" w:cs="Calibri"/>
                <w:color w:val="000000"/>
              </w:rPr>
            </w:pPr>
            <w:r>
              <w:rPr>
                <w:rFonts w:ascii="Calibri" w:hAnsi="Calibri" w:eastAsia="Calibri" w:cs="Calibri"/>
                <w:color w:val="000000"/>
              </w:rPr>
              <w:t xml:space="preserve">Who was blinded after assignment to interventions (e.g., participants, care providers, outcome assessors, data analysts) </w:t>
            </w:r>
          </w:p>
        </w:tc>
        <w:tc>
          <w:tcPr>
            <w:tcW w:w="5947" w:type="dxa"/>
          </w:tcPr>
          <w:p w14:paraId="7355DDD6">
            <w:pPr>
              <w:spacing w:line="240" w:lineRule="auto"/>
              <w:rPr>
                <w:rFonts w:ascii="Calibri" w:hAnsi="Calibri" w:eastAsia="宋体" w:cs="Calibri"/>
                <w:color w:val="000000"/>
              </w:rPr>
            </w:pPr>
            <w:r>
              <w:rPr>
                <w:rFonts w:ascii="Calibri" w:hAnsi="Calibri" w:eastAsia="宋体" w:cs="Calibri"/>
                <w:color w:val="000000"/>
              </w:rPr>
              <w:t>N/A - open-label single-arm device study; no parallel groups or post-assignment blinding.</w:t>
            </w:r>
          </w:p>
        </w:tc>
      </w:tr>
      <w:tr w14:paraId="556A8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4" w:hRule="atLeast"/>
        </w:trPr>
        <w:tc>
          <w:tcPr>
            <w:tcW w:w="2547" w:type="dxa"/>
            <w:vMerge w:val="continue"/>
          </w:tcPr>
          <w:p w14:paraId="7DB2E9CD">
            <w:pPr>
              <w:widowControl w:val="0"/>
              <w:spacing w:line="276" w:lineRule="auto"/>
              <w:rPr>
                <w:rFonts w:ascii="Calibri" w:hAnsi="Calibri" w:eastAsia="Calibri" w:cs="Calibri"/>
                <w:color w:val="000000"/>
              </w:rPr>
            </w:pPr>
          </w:p>
        </w:tc>
        <w:tc>
          <w:tcPr>
            <w:tcW w:w="992" w:type="dxa"/>
          </w:tcPr>
          <w:p w14:paraId="53C04B9E">
            <w:pPr>
              <w:spacing w:line="240" w:lineRule="auto"/>
              <w:jc w:val="center"/>
              <w:rPr>
                <w:rFonts w:ascii="Calibri" w:hAnsi="Calibri" w:eastAsia="Calibri" w:cs="Calibri"/>
                <w:color w:val="000000"/>
              </w:rPr>
            </w:pPr>
            <w:r>
              <w:rPr>
                <w:rFonts w:ascii="Calibri" w:hAnsi="Calibri" w:eastAsia="Calibri" w:cs="Calibri"/>
                <w:color w:val="000000"/>
              </w:rPr>
              <w:t>20b</w:t>
            </w:r>
          </w:p>
        </w:tc>
        <w:tc>
          <w:tcPr>
            <w:tcW w:w="4826" w:type="dxa"/>
          </w:tcPr>
          <w:p w14:paraId="1321C6D7">
            <w:pPr>
              <w:spacing w:line="240" w:lineRule="auto"/>
              <w:rPr>
                <w:rFonts w:ascii="Calibri" w:hAnsi="Calibri" w:eastAsia="Calibri" w:cs="Calibri"/>
                <w:color w:val="000000"/>
              </w:rPr>
            </w:pPr>
            <w:r>
              <w:rPr>
                <w:rFonts w:ascii="Calibri" w:hAnsi="Calibri" w:eastAsia="Calibri" w:cs="Calibri"/>
                <w:color w:val="000000"/>
              </w:rPr>
              <w:t>If blinded, how blinding was achieved and description of the similarity of interventions</w:t>
            </w:r>
          </w:p>
        </w:tc>
        <w:tc>
          <w:tcPr>
            <w:tcW w:w="5947" w:type="dxa"/>
          </w:tcPr>
          <w:p w14:paraId="11D5E2CD">
            <w:pPr>
              <w:spacing w:line="240" w:lineRule="auto"/>
              <w:rPr>
                <w:rFonts w:ascii="Calibri" w:hAnsi="Calibri" w:eastAsia="宋体" w:cs="Calibri"/>
                <w:color w:val="000000"/>
              </w:rPr>
            </w:pPr>
            <w:r>
              <w:rPr>
                <w:rFonts w:ascii="Calibri" w:hAnsi="Calibri" w:eastAsia="宋体" w:cs="Calibri"/>
                <w:color w:val="000000"/>
              </w:rPr>
              <w:t>N/A - no comparator intervention and no blinding.</w:t>
            </w:r>
          </w:p>
        </w:tc>
      </w:tr>
      <w:tr w14:paraId="02261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restart"/>
          </w:tcPr>
          <w:p w14:paraId="735F4469">
            <w:pPr>
              <w:spacing w:line="240" w:lineRule="auto"/>
              <w:rPr>
                <w:rFonts w:ascii="Calibri" w:hAnsi="Calibri" w:eastAsia="Calibri" w:cs="Calibri"/>
                <w:color w:val="000000"/>
              </w:rPr>
            </w:pPr>
            <w:r>
              <w:rPr>
                <w:rFonts w:ascii="Calibri" w:hAnsi="Calibri" w:eastAsia="Calibri" w:cs="Calibri"/>
                <w:color w:val="000000"/>
              </w:rPr>
              <w:t>Statistical methods</w:t>
            </w:r>
          </w:p>
        </w:tc>
        <w:tc>
          <w:tcPr>
            <w:tcW w:w="992" w:type="dxa"/>
          </w:tcPr>
          <w:p w14:paraId="28D06C74">
            <w:pPr>
              <w:spacing w:line="240" w:lineRule="auto"/>
              <w:jc w:val="center"/>
              <w:rPr>
                <w:rFonts w:ascii="Calibri" w:hAnsi="Calibri" w:eastAsia="Calibri" w:cs="Calibri"/>
                <w:color w:val="000000"/>
              </w:rPr>
            </w:pPr>
            <w:r>
              <w:rPr>
                <w:rFonts w:ascii="Calibri" w:hAnsi="Calibri" w:eastAsia="Calibri" w:cs="Calibri"/>
                <w:color w:val="000000"/>
              </w:rPr>
              <w:t>21a</w:t>
            </w:r>
          </w:p>
        </w:tc>
        <w:tc>
          <w:tcPr>
            <w:tcW w:w="4826" w:type="dxa"/>
          </w:tcPr>
          <w:p w14:paraId="5EDD5ECD">
            <w:pPr>
              <w:spacing w:line="240" w:lineRule="auto"/>
              <w:rPr>
                <w:rFonts w:ascii="Calibri" w:hAnsi="Calibri" w:eastAsia="Calibri" w:cs="Calibri"/>
                <w:color w:val="000000"/>
              </w:rPr>
            </w:pPr>
            <w:r>
              <w:rPr>
                <w:rFonts w:ascii="Calibri" w:hAnsi="Calibri" w:eastAsia="Calibri" w:cs="Calibri"/>
                <w:color w:val="000000"/>
              </w:rPr>
              <w:t>Statistical methods used to compare groups for primary and secondary outcomes, including harms</w:t>
            </w:r>
          </w:p>
        </w:tc>
        <w:tc>
          <w:tcPr>
            <w:tcW w:w="5947" w:type="dxa"/>
          </w:tcPr>
          <w:p w14:paraId="6D8AD54E">
            <w:pPr>
              <w:spacing w:line="240" w:lineRule="auto"/>
              <w:rPr>
                <w:rFonts w:ascii="Calibri" w:hAnsi="Calibri" w:eastAsia="宋体" w:cs="Calibri"/>
                <w:color w:val="000000"/>
              </w:rPr>
            </w:pPr>
            <w:r>
              <w:rPr>
                <w:rFonts w:ascii="Calibri" w:hAnsi="Calibri" w:eastAsia="宋体" w:cs="Calibri"/>
                <w:color w:val="000000"/>
              </w:rPr>
              <w:t>Statistical analysis reports descriptive statistics, Shapiro-Wilk testing, one-sided exact binomial test for primary endpoint, Clopper-Pearson 95% CI, and paired Wilcoxon test for QRS duration; no randomized group comparisons (p. 11).</w:t>
            </w:r>
          </w:p>
        </w:tc>
      </w:tr>
      <w:tr w14:paraId="5D579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09F46774">
            <w:pPr>
              <w:widowControl w:val="0"/>
              <w:spacing w:line="276" w:lineRule="auto"/>
              <w:rPr>
                <w:rFonts w:ascii="Calibri" w:hAnsi="Calibri" w:eastAsia="Calibri" w:cs="Calibri"/>
                <w:color w:val="000000"/>
              </w:rPr>
            </w:pPr>
          </w:p>
        </w:tc>
        <w:tc>
          <w:tcPr>
            <w:tcW w:w="992" w:type="dxa"/>
          </w:tcPr>
          <w:p w14:paraId="00317383">
            <w:pPr>
              <w:spacing w:line="240" w:lineRule="auto"/>
              <w:jc w:val="center"/>
              <w:rPr>
                <w:rFonts w:ascii="Calibri" w:hAnsi="Calibri" w:eastAsia="Calibri" w:cs="Calibri"/>
                <w:color w:val="000000"/>
              </w:rPr>
            </w:pPr>
            <w:r>
              <w:rPr>
                <w:rFonts w:ascii="Calibri" w:hAnsi="Calibri" w:eastAsia="Calibri" w:cs="Calibri"/>
                <w:color w:val="000000"/>
              </w:rPr>
              <w:t>21b</w:t>
            </w:r>
          </w:p>
        </w:tc>
        <w:tc>
          <w:tcPr>
            <w:tcW w:w="4826" w:type="dxa"/>
          </w:tcPr>
          <w:p w14:paraId="04290CB3">
            <w:pPr>
              <w:spacing w:line="240" w:lineRule="auto"/>
              <w:rPr>
                <w:rFonts w:ascii="Calibri" w:hAnsi="Calibri" w:eastAsia="Calibri" w:cs="Calibri"/>
                <w:color w:val="000000"/>
              </w:rPr>
            </w:pPr>
            <w:r>
              <w:rPr>
                <w:rFonts w:ascii="Calibri" w:hAnsi="Calibri" w:eastAsia="Calibri" w:cs="Calibri"/>
                <w:color w:val="000000"/>
              </w:rPr>
              <w:t>Definition of who is included in each analysis (e.g., all randomised participants), and in which group</w:t>
            </w:r>
          </w:p>
        </w:tc>
        <w:tc>
          <w:tcPr>
            <w:tcW w:w="5947" w:type="dxa"/>
          </w:tcPr>
          <w:p w14:paraId="35D8E861">
            <w:pPr>
              <w:spacing w:line="240" w:lineRule="auto"/>
              <w:rPr>
                <w:rFonts w:ascii="Calibri" w:hAnsi="Calibri" w:eastAsia="宋体" w:cs="Calibri"/>
                <w:color w:val="000000"/>
              </w:rPr>
            </w:pPr>
            <w:r>
              <w:rPr>
                <w:rFonts w:ascii="Calibri" w:hAnsi="Calibri" w:eastAsia="宋体" w:cs="Calibri"/>
                <w:color w:val="000000"/>
              </w:rPr>
              <w:t>Full cohort analysis is implied; all 97 participants completed coronary venography and perioperative assessments; single-arm design had no group assignment (p. 11; Results pp. 12-15).</w:t>
            </w:r>
          </w:p>
        </w:tc>
      </w:tr>
      <w:tr w14:paraId="0D125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048CA98B">
            <w:pPr>
              <w:widowControl w:val="0"/>
              <w:spacing w:line="276" w:lineRule="auto"/>
              <w:rPr>
                <w:rFonts w:ascii="Calibri" w:hAnsi="Calibri" w:eastAsia="Calibri" w:cs="Calibri"/>
                <w:color w:val="000000"/>
              </w:rPr>
            </w:pPr>
          </w:p>
        </w:tc>
        <w:tc>
          <w:tcPr>
            <w:tcW w:w="992" w:type="dxa"/>
          </w:tcPr>
          <w:p w14:paraId="2350E329">
            <w:pPr>
              <w:spacing w:line="240" w:lineRule="auto"/>
              <w:jc w:val="center"/>
              <w:rPr>
                <w:rFonts w:ascii="Calibri" w:hAnsi="Calibri" w:eastAsia="Calibri" w:cs="Calibri"/>
                <w:color w:val="000000"/>
              </w:rPr>
            </w:pPr>
            <w:r>
              <w:rPr>
                <w:rFonts w:ascii="Calibri" w:hAnsi="Calibri" w:eastAsia="Calibri" w:cs="Calibri"/>
                <w:color w:val="000000"/>
              </w:rPr>
              <w:t>21c</w:t>
            </w:r>
          </w:p>
        </w:tc>
        <w:tc>
          <w:tcPr>
            <w:tcW w:w="4826" w:type="dxa"/>
          </w:tcPr>
          <w:p w14:paraId="71274F11">
            <w:pPr>
              <w:spacing w:line="240" w:lineRule="auto"/>
              <w:rPr>
                <w:rFonts w:ascii="Calibri" w:hAnsi="Calibri" w:eastAsia="Calibri" w:cs="Calibri"/>
                <w:color w:val="000000"/>
              </w:rPr>
            </w:pPr>
            <w:r>
              <w:rPr>
                <w:rFonts w:ascii="Calibri" w:hAnsi="Calibri" w:eastAsia="Calibri" w:cs="Calibri"/>
                <w:color w:val="000000"/>
              </w:rPr>
              <w:t>How missing data were handled in the analysis</w:t>
            </w:r>
          </w:p>
        </w:tc>
        <w:tc>
          <w:tcPr>
            <w:tcW w:w="5947" w:type="dxa"/>
          </w:tcPr>
          <w:p w14:paraId="0C1141B4">
            <w:pPr>
              <w:spacing w:line="240" w:lineRule="auto"/>
              <w:rPr>
                <w:rFonts w:ascii="Calibri" w:hAnsi="Calibri" w:eastAsia="宋体" w:cs="Calibri"/>
                <w:color w:val="000000"/>
              </w:rPr>
            </w:pPr>
            <w:r>
              <w:rPr>
                <w:rFonts w:ascii="Calibri" w:hAnsi="Calibri" w:eastAsia="宋体" w:cs="Calibri"/>
                <w:color w:val="000000"/>
              </w:rPr>
              <w:t>NR - no formal missing-data handling method is described. Manuscript reports all 97 participants completed perioperative assessments (pp. 12-15).</w:t>
            </w:r>
          </w:p>
        </w:tc>
      </w:tr>
      <w:tr w14:paraId="0EB5D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7" w:hRule="atLeast"/>
        </w:trPr>
        <w:tc>
          <w:tcPr>
            <w:tcW w:w="2547" w:type="dxa"/>
            <w:vMerge w:val="continue"/>
          </w:tcPr>
          <w:p w14:paraId="14157F64">
            <w:pPr>
              <w:widowControl w:val="0"/>
              <w:spacing w:line="276" w:lineRule="auto"/>
              <w:rPr>
                <w:rFonts w:ascii="Calibri" w:hAnsi="Calibri" w:eastAsia="Calibri" w:cs="Calibri"/>
                <w:color w:val="000000"/>
              </w:rPr>
            </w:pPr>
          </w:p>
        </w:tc>
        <w:tc>
          <w:tcPr>
            <w:tcW w:w="992" w:type="dxa"/>
          </w:tcPr>
          <w:p w14:paraId="17C4CA91">
            <w:pPr>
              <w:spacing w:line="240" w:lineRule="auto"/>
              <w:jc w:val="center"/>
              <w:rPr>
                <w:rFonts w:ascii="Calibri" w:hAnsi="Calibri" w:eastAsia="Calibri" w:cs="Calibri"/>
                <w:color w:val="000000"/>
              </w:rPr>
            </w:pPr>
            <w:r>
              <w:rPr>
                <w:rFonts w:ascii="Calibri" w:hAnsi="Calibri" w:eastAsia="Calibri" w:cs="Calibri"/>
                <w:color w:val="000000"/>
              </w:rPr>
              <w:t>21d</w:t>
            </w:r>
          </w:p>
        </w:tc>
        <w:tc>
          <w:tcPr>
            <w:tcW w:w="4826" w:type="dxa"/>
          </w:tcPr>
          <w:p w14:paraId="739BC8BB">
            <w:pPr>
              <w:spacing w:line="240" w:lineRule="auto"/>
              <w:rPr>
                <w:rFonts w:ascii="Calibri" w:hAnsi="Calibri" w:eastAsia="Calibri" w:cs="Calibri"/>
                <w:color w:val="000000"/>
              </w:rPr>
            </w:pPr>
            <w:r>
              <w:rPr>
                <w:rFonts w:ascii="Calibri" w:hAnsi="Calibri" w:eastAsia="Calibri" w:cs="Calibri"/>
                <w:color w:val="000000"/>
              </w:rPr>
              <w:t>Methods for any additional analyses (e.g., subgroup and sensitivity analyses), distinguishing prespecified from post-hoc</w:t>
            </w:r>
          </w:p>
        </w:tc>
        <w:tc>
          <w:tcPr>
            <w:tcW w:w="5947" w:type="dxa"/>
          </w:tcPr>
          <w:p w14:paraId="3A70A6A5">
            <w:pPr>
              <w:spacing w:line="240" w:lineRule="auto"/>
              <w:rPr>
                <w:rFonts w:ascii="Calibri" w:hAnsi="Calibri" w:eastAsia="宋体" w:cs="Calibri"/>
                <w:color w:val="000000"/>
              </w:rPr>
            </w:pPr>
            <w:r>
              <w:rPr>
                <w:rFonts w:ascii="Calibri" w:hAnsi="Calibri" w:eastAsia="宋体" w:cs="Calibri"/>
                <w:color w:val="000000"/>
              </w:rPr>
              <w:t>TVR subgroup analyses were not performed because only two patients had prior TVR; paired pre/post QRS analysis was reported (p. 11; p. 15).</w:t>
            </w:r>
          </w:p>
        </w:tc>
      </w:tr>
      <w:tr w14:paraId="36BAB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8365" w:type="dxa"/>
            <w:gridSpan w:val="3"/>
            <w:shd w:val="clear" w:color="auto" w:fill="BDD7EE"/>
            <w:vAlign w:val="bottom"/>
          </w:tcPr>
          <w:p w14:paraId="707BA028">
            <w:pPr>
              <w:spacing w:line="240" w:lineRule="auto"/>
              <w:rPr>
                <w:rFonts w:ascii="Calibri" w:hAnsi="Calibri" w:eastAsia="Calibri" w:cs="Calibri"/>
                <w:b/>
                <w:color w:val="000000"/>
              </w:rPr>
            </w:pPr>
            <w:r>
              <w:rPr>
                <w:rFonts w:ascii="Calibri" w:hAnsi="Calibri" w:eastAsia="Calibri" w:cs="Calibri"/>
                <w:b/>
                <w:color w:val="000000"/>
              </w:rPr>
              <w:t>Results</w:t>
            </w:r>
          </w:p>
        </w:tc>
        <w:tc>
          <w:tcPr>
            <w:tcW w:w="5947" w:type="dxa"/>
            <w:shd w:val="clear" w:color="auto" w:fill="C6D9F0" w:themeFill="text2" w:themeFillTint="33"/>
          </w:tcPr>
          <w:p w14:paraId="51BC0FE6">
            <w:pPr>
              <w:spacing w:line="240" w:lineRule="auto"/>
              <w:rPr>
                <w:rFonts w:ascii="Calibri" w:hAnsi="Calibri" w:eastAsia="宋体" w:cs="Calibri"/>
                <w:color w:val="000000"/>
              </w:rPr>
            </w:pPr>
          </w:p>
        </w:tc>
      </w:tr>
      <w:tr w14:paraId="5E362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09" w:hRule="atLeast"/>
        </w:trPr>
        <w:tc>
          <w:tcPr>
            <w:tcW w:w="2547" w:type="dxa"/>
            <w:vMerge w:val="restart"/>
          </w:tcPr>
          <w:p w14:paraId="350A7401">
            <w:pPr>
              <w:spacing w:line="240" w:lineRule="auto"/>
              <w:rPr>
                <w:rFonts w:ascii="Calibri" w:hAnsi="Calibri" w:eastAsia="Calibri" w:cs="Calibri"/>
                <w:color w:val="000000"/>
              </w:rPr>
            </w:pPr>
            <w:r>
              <w:rPr>
                <w:rFonts w:ascii="Calibri" w:hAnsi="Calibri" w:eastAsia="Calibri" w:cs="Calibri"/>
                <w:color w:val="000000"/>
              </w:rPr>
              <w:t>Participant flow, including flow diagram</w:t>
            </w:r>
          </w:p>
        </w:tc>
        <w:tc>
          <w:tcPr>
            <w:tcW w:w="992" w:type="dxa"/>
          </w:tcPr>
          <w:p w14:paraId="6D111703">
            <w:pPr>
              <w:spacing w:line="240" w:lineRule="auto"/>
              <w:jc w:val="center"/>
              <w:rPr>
                <w:rFonts w:ascii="Calibri" w:hAnsi="Calibri" w:eastAsia="Calibri" w:cs="Calibri"/>
                <w:color w:val="000000"/>
              </w:rPr>
            </w:pPr>
            <w:r>
              <w:rPr>
                <w:rFonts w:ascii="Calibri" w:hAnsi="Calibri" w:eastAsia="Calibri" w:cs="Calibri"/>
                <w:color w:val="000000"/>
              </w:rPr>
              <w:t>22a</w:t>
            </w:r>
          </w:p>
        </w:tc>
        <w:tc>
          <w:tcPr>
            <w:tcW w:w="4826" w:type="dxa"/>
          </w:tcPr>
          <w:p w14:paraId="43ACC753">
            <w:pPr>
              <w:spacing w:line="240" w:lineRule="auto"/>
              <w:rPr>
                <w:rFonts w:ascii="Calibri" w:hAnsi="Calibri" w:eastAsia="Calibri" w:cs="Calibri"/>
                <w:color w:val="000000"/>
              </w:rPr>
            </w:pPr>
            <w:r>
              <w:rPr>
                <w:rFonts w:ascii="Calibri" w:hAnsi="Calibri" w:eastAsia="Calibri" w:cs="Calibri"/>
                <w:color w:val="000000"/>
              </w:rPr>
              <w:t>For each group, the numbers of participants who were randomly assigned, received intended intervention, and were analysed for the primary outcome</w:t>
            </w:r>
          </w:p>
        </w:tc>
        <w:tc>
          <w:tcPr>
            <w:tcW w:w="5947" w:type="dxa"/>
          </w:tcPr>
          <w:p w14:paraId="56679118">
            <w:pPr>
              <w:spacing w:line="240" w:lineRule="auto"/>
              <w:rPr>
                <w:rFonts w:ascii="Calibri" w:hAnsi="Calibri" w:eastAsia="宋体" w:cs="Calibri"/>
                <w:color w:val="000000"/>
              </w:rPr>
            </w:pPr>
            <w:r>
              <w:rPr>
                <w:rFonts w:ascii="Calibri" w:hAnsi="Calibri" w:eastAsia="宋体" w:cs="Calibri"/>
                <w:color w:val="000000"/>
              </w:rPr>
              <w:t>Ninety-seven participants were enrolled; all completed coronary venography and perioperative assessments; Figure 3 provides participant flow. Randomly assigned groups are not applicable (pp. 12-15; p. 34).</w:t>
            </w:r>
          </w:p>
        </w:tc>
      </w:tr>
      <w:tr w14:paraId="14C0C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89" w:hRule="atLeast"/>
        </w:trPr>
        <w:tc>
          <w:tcPr>
            <w:tcW w:w="2547" w:type="dxa"/>
            <w:vMerge w:val="continue"/>
          </w:tcPr>
          <w:p w14:paraId="5F5C8BFD">
            <w:pPr>
              <w:widowControl w:val="0"/>
              <w:spacing w:line="276" w:lineRule="auto"/>
              <w:rPr>
                <w:rFonts w:ascii="Calibri" w:hAnsi="Calibri" w:eastAsia="Calibri" w:cs="Calibri"/>
                <w:color w:val="000000"/>
              </w:rPr>
            </w:pPr>
          </w:p>
        </w:tc>
        <w:tc>
          <w:tcPr>
            <w:tcW w:w="992" w:type="dxa"/>
          </w:tcPr>
          <w:p w14:paraId="7C734A04">
            <w:pPr>
              <w:spacing w:line="240" w:lineRule="auto"/>
              <w:jc w:val="center"/>
              <w:rPr>
                <w:rFonts w:ascii="Calibri" w:hAnsi="Calibri" w:eastAsia="Calibri" w:cs="Calibri"/>
                <w:color w:val="000000"/>
              </w:rPr>
            </w:pPr>
            <w:r>
              <w:rPr>
                <w:rFonts w:ascii="Calibri" w:hAnsi="Calibri" w:eastAsia="Calibri" w:cs="Calibri"/>
                <w:color w:val="000000"/>
              </w:rPr>
              <w:t>22b</w:t>
            </w:r>
          </w:p>
        </w:tc>
        <w:tc>
          <w:tcPr>
            <w:tcW w:w="4826" w:type="dxa"/>
          </w:tcPr>
          <w:p w14:paraId="6DEB64E0">
            <w:pPr>
              <w:spacing w:line="240" w:lineRule="auto"/>
              <w:rPr>
                <w:rFonts w:ascii="Calibri" w:hAnsi="Calibri" w:eastAsia="Calibri" w:cs="Calibri"/>
                <w:color w:val="000000"/>
              </w:rPr>
            </w:pPr>
            <w:r>
              <w:rPr>
                <w:rFonts w:ascii="Calibri" w:hAnsi="Calibri" w:eastAsia="Calibri" w:cs="Calibri"/>
                <w:color w:val="000000"/>
              </w:rPr>
              <w:t>For each group, losses and exclusions after randomization, together with reasons</w:t>
            </w:r>
          </w:p>
        </w:tc>
        <w:tc>
          <w:tcPr>
            <w:tcW w:w="5947" w:type="dxa"/>
          </w:tcPr>
          <w:p w14:paraId="7A89D517">
            <w:pPr>
              <w:spacing w:line="240" w:lineRule="auto"/>
              <w:rPr>
                <w:rFonts w:ascii="Calibri" w:hAnsi="Calibri" w:eastAsia="宋体" w:cs="Calibri"/>
                <w:color w:val="000000"/>
              </w:rPr>
            </w:pPr>
            <w:r>
              <w:rPr>
                <w:rFonts w:ascii="Calibri" w:hAnsi="Calibri" w:eastAsia="宋体" w:cs="Calibri"/>
                <w:color w:val="000000"/>
              </w:rPr>
              <w:t xml:space="preserve">No loss to follow-up or study withdrawal is reported; one LV lead implantation failure was due to a small, tortuous target vessel. </w:t>
            </w:r>
            <w:bookmarkStart w:id="0" w:name="_GoBack"/>
            <w:r>
              <w:rPr>
                <w:rFonts w:ascii="Calibri" w:hAnsi="Calibri" w:eastAsia="宋体" w:cs="Calibri"/>
                <w:color w:val="000000"/>
              </w:rPr>
              <w:t>Randomization</w:t>
            </w:r>
            <w:bookmarkEnd w:id="0"/>
            <w:r>
              <w:rPr>
                <w:rFonts w:ascii="Calibri" w:hAnsi="Calibri" w:eastAsia="宋体" w:cs="Calibri"/>
                <w:color w:val="000000"/>
              </w:rPr>
              <w:t>-related exclusions are not applicable (pp. 13-15).</w:t>
            </w:r>
          </w:p>
        </w:tc>
      </w:tr>
      <w:tr w14:paraId="6CE8A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1" w:hRule="atLeast"/>
        </w:trPr>
        <w:tc>
          <w:tcPr>
            <w:tcW w:w="2547" w:type="dxa"/>
            <w:vMerge w:val="restart"/>
          </w:tcPr>
          <w:p w14:paraId="4383F214">
            <w:pPr>
              <w:spacing w:line="240" w:lineRule="auto"/>
              <w:rPr>
                <w:rFonts w:ascii="Calibri" w:hAnsi="Calibri" w:eastAsia="Calibri" w:cs="Calibri"/>
                <w:color w:val="000000"/>
              </w:rPr>
            </w:pPr>
            <w:r>
              <w:rPr>
                <w:rFonts w:ascii="Calibri" w:hAnsi="Calibri" w:eastAsia="Calibri" w:cs="Calibri"/>
                <w:color w:val="000000"/>
              </w:rPr>
              <w:t>Recruitment</w:t>
            </w:r>
          </w:p>
        </w:tc>
        <w:tc>
          <w:tcPr>
            <w:tcW w:w="992" w:type="dxa"/>
          </w:tcPr>
          <w:p w14:paraId="37EAB4A5">
            <w:pPr>
              <w:spacing w:line="240" w:lineRule="auto"/>
              <w:jc w:val="center"/>
              <w:rPr>
                <w:rFonts w:ascii="Calibri" w:hAnsi="Calibri" w:eastAsia="Calibri" w:cs="Calibri"/>
                <w:color w:val="000000"/>
              </w:rPr>
            </w:pPr>
            <w:r>
              <w:rPr>
                <w:rFonts w:ascii="Calibri" w:hAnsi="Calibri" w:eastAsia="Calibri" w:cs="Calibri"/>
                <w:color w:val="000000"/>
              </w:rPr>
              <w:t>23a</w:t>
            </w:r>
          </w:p>
        </w:tc>
        <w:tc>
          <w:tcPr>
            <w:tcW w:w="4826" w:type="dxa"/>
          </w:tcPr>
          <w:p w14:paraId="4220ED71">
            <w:pPr>
              <w:spacing w:line="240" w:lineRule="auto"/>
              <w:rPr>
                <w:rFonts w:ascii="Calibri" w:hAnsi="Calibri" w:eastAsia="Calibri" w:cs="Calibri"/>
                <w:color w:val="000000"/>
              </w:rPr>
            </w:pPr>
            <w:r>
              <w:rPr>
                <w:rFonts w:ascii="Calibri" w:hAnsi="Calibri" w:eastAsia="Calibri" w:cs="Calibri"/>
                <w:color w:val="000000"/>
              </w:rPr>
              <w:t>Dates defining the periods of recruitment and follow-up for outcomes of benefits and harms</w:t>
            </w:r>
          </w:p>
        </w:tc>
        <w:tc>
          <w:tcPr>
            <w:tcW w:w="5947" w:type="dxa"/>
          </w:tcPr>
          <w:p w14:paraId="0441D72E">
            <w:pPr>
              <w:spacing w:line="240" w:lineRule="auto"/>
              <w:rPr>
                <w:rFonts w:ascii="Calibri" w:hAnsi="Calibri" w:eastAsia="宋体" w:cs="Calibri"/>
                <w:color w:val="000000"/>
              </w:rPr>
            </w:pPr>
            <w:r>
              <w:rPr>
                <w:rFonts w:ascii="Calibri" w:hAnsi="Calibri" w:eastAsia="宋体" w:cs="Calibri"/>
                <w:color w:val="000000"/>
              </w:rPr>
              <w:t>Recruitment from October 28, 2024, to July 10, 2025; follow-up to discharge or postoperative day 7 (p. 7; pp. 10-11).</w:t>
            </w:r>
          </w:p>
        </w:tc>
      </w:tr>
      <w:tr w14:paraId="6F466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tcPr>
          <w:p w14:paraId="351B1687">
            <w:pPr>
              <w:widowControl w:val="0"/>
              <w:spacing w:line="276" w:lineRule="auto"/>
              <w:rPr>
                <w:rFonts w:ascii="Calibri" w:hAnsi="Calibri" w:eastAsia="Calibri" w:cs="Calibri"/>
                <w:color w:val="000000"/>
              </w:rPr>
            </w:pPr>
          </w:p>
        </w:tc>
        <w:tc>
          <w:tcPr>
            <w:tcW w:w="992" w:type="dxa"/>
          </w:tcPr>
          <w:p w14:paraId="6B3BF835">
            <w:pPr>
              <w:spacing w:line="240" w:lineRule="auto"/>
              <w:jc w:val="center"/>
              <w:rPr>
                <w:rFonts w:ascii="Calibri" w:hAnsi="Calibri" w:eastAsia="Calibri" w:cs="Calibri"/>
                <w:color w:val="000000"/>
              </w:rPr>
            </w:pPr>
            <w:r>
              <w:rPr>
                <w:rFonts w:ascii="Calibri" w:hAnsi="Calibri" w:eastAsia="Calibri" w:cs="Calibri"/>
                <w:color w:val="000000"/>
              </w:rPr>
              <w:t>23b</w:t>
            </w:r>
          </w:p>
        </w:tc>
        <w:tc>
          <w:tcPr>
            <w:tcW w:w="4826" w:type="dxa"/>
          </w:tcPr>
          <w:p w14:paraId="76ADE7CF">
            <w:pPr>
              <w:spacing w:line="240" w:lineRule="auto"/>
              <w:rPr>
                <w:rFonts w:ascii="Calibri" w:hAnsi="Calibri" w:eastAsia="Calibri" w:cs="Calibri"/>
                <w:color w:val="000000"/>
              </w:rPr>
            </w:pPr>
            <w:r>
              <w:rPr>
                <w:rFonts w:ascii="Calibri" w:hAnsi="Calibri" w:eastAsia="Calibri" w:cs="Calibri"/>
                <w:color w:val="000000"/>
              </w:rPr>
              <w:t>If relevant, why the trial ended or was stopped</w:t>
            </w:r>
          </w:p>
        </w:tc>
        <w:tc>
          <w:tcPr>
            <w:tcW w:w="5947" w:type="dxa"/>
          </w:tcPr>
          <w:p w14:paraId="08A2F966">
            <w:pPr>
              <w:spacing w:line="240" w:lineRule="auto"/>
              <w:rPr>
                <w:rFonts w:ascii="Calibri" w:hAnsi="Calibri" w:eastAsia="宋体" w:cs="Calibri"/>
                <w:color w:val="000000"/>
              </w:rPr>
            </w:pPr>
            <w:r>
              <w:rPr>
                <w:rFonts w:ascii="Calibri" w:hAnsi="Calibri" w:eastAsia="宋体" w:cs="Calibri"/>
                <w:color w:val="000000"/>
              </w:rPr>
              <w:t>Final sample size met the prespecified requirement; no early stopping is reported (p. 12).</w:t>
            </w:r>
          </w:p>
        </w:tc>
      </w:tr>
      <w:tr w14:paraId="4F929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41" w:hRule="atLeast"/>
        </w:trPr>
        <w:tc>
          <w:tcPr>
            <w:tcW w:w="2547" w:type="dxa"/>
            <w:vMerge w:val="restart"/>
          </w:tcPr>
          <w:p w14:paraId="7A1CDB7E">
            <w:pPr>
              <w:spacing w:line="240" w:lineRule="auto"/>
              <w:rPr>
                <w:rFonts w:ascii="Calibri" w:hAnsi="Calibri" w:eastAsia="Calibri" w:cs="Calibri"/>
                <w:color w:val="000000"/>
              </w:rPr>
            </w:pPr>
            <w:r>
              <w:rPr>
                <w:rFonts w:ascii="Calibri" w:hAnsi="Calibri" w:eastAsia="Calibri" w:cs="Calibri"/>
                <w:color w:val="000000"/>
              </w:rPr>
              <w:t>Intervention and comparator delivery</w:t>
            </w:r>
          </w:p>
        </w:tc>
        <w:tc>
          <w:tcPr>
            <w:tcW w:w="992" w:type="dxa"/>
          </w:tcPr>
          <w:p w14:paraId="401D67FC">
            <w:pPr>
              <w:spacing w:line="240" w:lineRule="auto"/>
              <w:jc w:val="center"/>
              <w:rPr>
                <w:rFonts w:ascii="Calibri" w:hAnsi="Calibri" w:eastAsia="Calibri" w:cs="Calibri"/>
                <w:color w:val="000000"/>
              </w:rPr>
            </w:pPr>
            <w:r>
              <w:rPr>
                <w:rFonts w:ascii="Calibri" w:hAnsi="Calibri" w:eastAsia="Calibri" w:cs="Calibri"/>
                <w:color w:val="000000"/>
              </w:rPr>
              <w:t>24a</w:t>
            </w:r>
          </w:p>
        </w:tc>
        <w:tc>
          <w:tcPr>
            <w:tcW w:w="4826" w:type="dxa"/>
          </w:tcPr>
          <w:p w14:paraId="432B0816">
            <w:pPr>
              <w:spacing w:line="240" w:lineRule="auto"/>
              <w:rPr>
                <w:rFonts w:ascii="Calibri" w:hAnsi="Calibri" w:eastAsia="Calibri" w:cs="Calibri"/>
                <w:color w:val="000000"/>
              </w:rPr>
            </w:pPr>
            <w:r>
              <w:rPr>
                <w:rFonts w:ascii="Calibri" w:hAnsi="Calibri" w:eastAsia="Calibri" w:cs="Calibri"/>
                <w:color w:val="000000"/>
              </w:rPr>
              <w:t xml:space="preserve">Intervention and comparator as they were actually administered (e.g., where appropriate, who delivered the intervention/comparator, how participants adhered, whether they were delivered as intended [fidelity]) </w:t>
            </w:r>
          </w:p>
        </w:tc>
        <w:tc>
          <w:tcPr>
            <w:tcW w:w="5947" w:type="dxa"/>
          </w:tcPr>
          <w:p w14:paraId="64E21027">
            <w:pPr>
              <w:spacing w:line="240" w:lineRule="auto"/>
              <w:rPr>
                <w:rFonts w:ascii="Calibri" w:hAnsi="Calibri" w:eastAsia="宋体" w:cs="Calibri"/>
                <w:color w:val="000000"/>
              </w:rPr>
            </w:pPr>
            <w:r>
              <w:rPr>
                <w:rFonts w:ascii="Calibri" w:hAnsi="Calibri" w:eastAsia="宋体" w:cs="Calibri"/>
                <w:color w:val="000000"/>
              </w:rPr>
              <w:t>Device use and procedural workflow are described; results report successful catheter advancement, balloon occlusion, venography, and LV lead implantation outcomes. No comparator arm (pp. 9-15).</w:t>
            </w:r>
          </w:p>
        </w:tc>
      </w:tr>
      <w:tr w14:paraId="044FB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vMerge w:val="continue"/>
          </w:tcPr>
          <w:p w14:paraId="44F97CB9">
            <w:pPr>
              <w:widowControl w:val="0"/>
              <w:spacing w:line="276" w:lineRule="auto"/>
              <w:rPr>
                <w:rFonts w:ascii="Calibri" w:hAnsi="Calibri" w:eastAsia="Calibri" w:cs="Calibri"/>
                <w:color w:val="000000"/>
              </w:rPr>
            </w:pPr>
          </w:p>
        </w:tc>
        <w:tc>
          <w:tcPr>
            <w:tcW w:w="992" w:type="dxa"/>
          </w:tcPr>
          <w:p w14:paraId="32329F0C">
            <w:pPr>
              <w:spacing w:line="240" w:lineRule="auto"/>
              <w:jc w:val="center"/>
              <w:rPr>
                <w:rFonts w:ascii="Calibri" w:hAnsi="Calibri" w:eastAsia="Calibri" w:cs="Calibri"/>
                <w:color w:val="000000"/>
              </w:rPr>
            </w:pPr>
            <w:r>
              <w:rPr>
                <w:rFonts w:ascii="Calibri" w:hAnsi="Calibri" w:eastAsia="Calibri" w:cs="Calibri"/>
                <w:color w:val="000000"/>
              </w:rPr>
              <w:t>24b</w:t>
            </w:r>
          </w:p>
        </w:tc>
        <w:tc>
          <w:tcPr>
            <w:tcW w:w="4826" w:type="dxa"/>
          </w:tcPr>
          <w:p w14:paraId="5B0C6108">
            <w:pPr>
              <w:spacing w:line="240" w:lineRule="auto"/>
              <w:rPr>
                <w:rFonts w:ascii="Calibri" w:hAnsi="Calibri" w:eastAsia="Calibri" w:cs="Calibri"/>
                <w:color w:val="000000"/>
              </w:rPr>
            </w:pPr>
            <w:r>
              <w:rPr>
                <w:rFonts w:ascii="Calibri" w:hAnsi="Calibri" w:eastAsia="Calibri" w:cs="Calibri"/>
                <w:color w:val="000000"/>
              </w:rPr>
              <w:t>Concomitant care received during the trial for each group</w:t>
            </w:r>
          </w:p>
        </w:tc>
        <w:tc>
          <w:tcPr>
            <w:tcW w:w="5947" w:type="dxa"/>
          </w:tcPr>
          <w:p w14:paraId="04F3494D">
            <w:pPr>
              <w:spacing w:line="240" w:lineRule="auto"/>
              <w:rPr>
                <w:rFonts w:ascii="Calibri" w:hAnsi="Calibri" w:eastAsia="宋体" w:cs="Calibri"/>
                <w:color w:val="000000"/>
              </w:rPr>
            </w:pPr>
            <w:r>
              <w:rPr>
                <w:rFonts w:ascii="Calibri" w:hAnsi="Calibri" w:eastAsia="宋体" w:cs="Calibri"/>
                <w:color w:val="000000"/>
              </w:rPr>
              <w:t>Perioperative concomitant medications were recorded during follow-up; no between-group comparison because this was single-arm (pp. 10-11).</w:t>
            </w:r>
          </w:p>
        </w:tc>
      </w:tr>
      <w:tr w14:paraId="76F82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tcPr>
          <w:p w14:paraId="0125FB80">
            <w:pPr>
              <w:spacing w:line="240" w:lineRule="auto"/>
              <w:rPr>
                <w:rFonts w:ascii="Calibri" w:hAnsi="Calibri" w:eastAsia="Calibri" w:cs="Calibri"/>
                <w:color w:val="000000"/>
              </w:rPr>
            </w:pPr>
            <w:r>
              <w:rPr>
                <w:rFonts w:ascii="Calibri" w:hAnsi="Calibri" w:eastAsia="Calibri" w:cs="Calibri"/>
                <w:color w:val="000000"/>
              </w:rPr>
              <w:t>Baseline data</w:t>
            </w:r>
          </w:p>
        </w:tc>
        <w:tc>
          <w:tcPr>
            <w:tcW w:w="992" w:type="dxa"/>
          </w:tcPr>
          <w:p w14:paraId="292E031E">
            <w:pPr>
              <w:spacing w:line="240" w:lineRule="auto"/>
              <w:jc w:val="center"/>
              <w:rPr>
                <w:rFonts w:ascii="Calibri" w:hAnsi="Calibri" w:eastAsia="Calibri" w:cs="Calibri"/>
                <w:color w:val="000000"/>
              </w:rPr>
            </w:pPr>
            <w:r>
              <w:rPr>
                <w:rFonts w:ascii="Calibri" w:hAnsi="Calibri" w:eastAsia="Calibri" w:cs="Calibri"/>
                <w:color w:val="000000"/>
              </w:rPr>
              <w:t>25</w:t>
            </w:r>
          </w:p>
        </w:tc>
        <w:tc>
          <w:tcPr>
            <w:tcW w:w="4826" w:type="dxa"/>
          </w:tcPr>
          <w:p w14:paraId="653A506B">
            <w:pPr>
              <w:spacing w:line="240" w:lineRule="auto"/>
              <w:rPr>
                <w:rFonts w:ascii="Calibri" w:hAnsi="Calibri" w:eastAsia="Calibri" w:cs="Calibri"/>
                <w:color w:val="000000"/>
              </w:rPr>
            </w:pPr>
            <w:r>
              <w:rPr>
                <w:rFonts w:ascii="Calibri" w:hAnsi="Calibri" w:eastAsia="Calibri" w:cs="Calibri"/>
                <w:color w:val="000000"/>
              </w:rPr>
              <w:t>A table showing baseline demographic and clinical characteristics for each group</w:t>
            </w:r>
          </w:p>
        </w:tc>
        <w:tc>
          <w:tcPr>
            <w:tcW w:w="5947" w:type="dxa"/>
          </w:tcPr>
          <w:p w14:paraId="092BF8E5">
            <w:pPr>
              <w:spacing w:line="240" w:lineRule="auto"/>
              <w:rPr>
                <w:rFonts w:ascii="Calibri" w:hAnsi="Calibri" w:eastAsia="宋体" w:cs="Calibri"/>
                <w:color w:val="000000"/>
              </w:rPr>
            </w:pPr>
            <w:r>
              <w:rPr>
                <w:rFonts w:ascii="Calibri" w:hAnsi="Calibri" w:eastAsia="宋体" w:cs="Calibri"/>
                <w:color w:val="000000"/>
              </w:rPr>
              <w:t>Baseline demographic, comorbidity, etiology, ECG, and echocardiographic characteristics are reported for the overall cohort (pp. 12-13; Table 1 pp. 32-33).</w:t>
            </w:r>
          </w:p>
        </w:tc>
      </w:tr>
      <w:tr w14:paraId="1E627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29002BD2">
            <w:pPr>
              <w:spacing w:line="240" w:lineRule="auto"/>
              <w:rPr>
                <w:rFonts w:ascii="Calibri" w:hAnsi="Calibri" w:eastAsia="Calibri" w:cs="Calibri"/>
                <w:color w:val="000000"/>
              </w:rPr>
            </w:pPr>
            <w:r>
              <w:rPr>
                <w:rFonts w:ascii="Calibri" w:hAnsi="Calibri" w:eastAsia="Calibri" w:cs="Calibri"/>
                <w:color w:val="000000"/>
              </w:rPr>
              <w:t xml:space="preserve">Numbers analysed, </w:t>
            </w:r>
          </w:p>
          <w:p w14:paraId="069DCD04">
            <w:pPr>
              <w:spacing w:line="240" w:lineRule="auto"/>
              <w:rPr>
                <w:rFonts w:ascii="Calibri" w:hAnsi="Calibri" w:eastAsia="Calibri" w:cs="Calibri"/>
                <w:color w:val="000000"/>
              </w:rPr>
            </w:pPr>
            <w:r>
              <w:rPr>
                <w:rFonts w:ascii="Calibri" w:hAnsi="Calibri" w:eastAsia="Calibri" w:cs="Calibri"/>
                <w:color w:val="000000"/>
              </w:rPr>
              <w:t>outcomes and estimation</w:t>
            </w:r>
          </w:p>
        </w:tc>
        <w:tc>
          <w:tcPr>
            <w:tcW w:w="992" w:type="dxa"/>
          </w:tcPr>
          <w:p w14:paraId="6ECECEFE">
            <w:pPr>
              <w:spacing w:line="240" w:lineRule="auto"/>
              <w:jc w:val="center"/>
              <w:rPr>
                <w:rFonts w:ascii="Calibri" w:hAnsi="Calibri" w:eastAsia="Calibri" w:cs="Calibri"/>
                <w:color w:val="000000"/>
              </w:rPr>
            </w:pPr>
            <w:r>
              <w:rPr>
                <w:rFonts w:ascii="Calibri" w:hAnsi="Calibri" w:eastAsia="Calibri" w:cs="Calibri"/>
                <w:color w:val="000000"/>
              </w:rPr>
              <w:t>26</w:t>
            </w:r>
          </w:p>
        </w:tc>
        <w:tc>
          <w:tcPr>
            <w:tcW w:w="4826" w:type="dxa"/>
          </w:tcPr>
          <w:p w14:paraId="0EE7DD7D">
            <w:pPr>
              <w:spacing w:line="240" w:lineRule="auto"/>
              <w:rPr>
                <w:rFonts w:ascii="Calibri" w:hAnsi="Calibri" w:eastAsia="Calibri" w:cs="Calibri"/>
                <w:color w:val="000000"/>
              </w:rPr>
            </w:pPr>
            <w:r>
              <w:rPr>
                <w:rFonts w:ascii="Calibri" w:hAnsi="Calibri" w:eastAsia="Calibri" w:cs="Calibri"/>
                <w:color w:val="000000"/>
              </w:rPr>
              <w:t xml:space="preserve">For each primary and secondary outcome, by group: </w:t>
            </w:r>
          </w:p>
          <w:p w14:paraId="7028B795">
            <w:pPr>
              <w:numPr>
                <w:ilvl w:val="0"/>
                <w:numId w:val="1"/>
              </w:numPr>
              <w:spacing w:line="240" w:lineRule="auto"/>
              <w:rPr>
                <w:rFonts w:ascii="Calibri" w:hAnsi="Calibri" w:cs="Calibri"/>
                <w:color w:val="000000"/>
              </w:rPr>
            </w:pPr>
            <w:r>
              <w:rPr>
                <w:rFonts w:ascii="Calibri" w:hAnsi="Calibri" w:eastAsia="Calibri" w:cs="Calibri"/>
                <w:color w:val="000000"/>
              </w:rPr>
              <w:t xml:space="preserve">the number of participants included in the analysis </w:t>
            </w:r>
          </w:p>
          <w:p w14:paraId="6517D1A7">
            <w:pPr>
              <w:numPr>
                <w:ilvl w:val="0"/>
                <w:numId w:val="1"/>
              </w:numPr>
              <w:spacing w:line="240" w:lineRule="auto"/>
              <w:rPr>
                <w:rFonts w:ascii="Calibri" w:hAnsi="Calibri" w:cs="Calibri"/>
                <w:color w:val="000000"/>
              </w:rPr>
            </w:pPr>
            <w:r>
              <w:rPr>
                <w:rFonts w:ascii="Calibri" w:hAnsi="Calibri" w:eastAsia="Calibri" w:cs="Calibri"/>
                <w:color w:val="000000"/>
              </w:rPr>
              <w:t>the number of participants with available data at the outcome time point</w:t>
            </w:r>
          </w:p>
          <w:p w14:paraId="5DD2DDB1">
            <w:pPr>
              <w:numPr>
                <w:ilvl w:val="0"/>
                <w:numId w:val="1"/>
              </w:numPr>
              <w:spacing w:line="240" w:lineRule="auto"/>
              <w:rPr>
                <w:rFonts w:ascii="Calibri" w:hAnsi="Calibri" w:cs="Calibri"/>
                <w:color w:val="000000"/>
              </w:rPr>
            </w:pPr>
            <w:r>
              <w:rPr>
                <w:rFonts w:ascii="Calibri" w:hAnsi="Calibri" w:eastAsia="Calibri" w:cs="Calibri"/>
                <w:color w:val="000000"/>
              </w:rPr>
              <w:t xml:space="preserve">result for each group, and the estimated effect size and its precision (such as 95% confidence interval) </w:t>
            </w:r>
          </w:p>
          <w:p w14:paraId="7D8FA9F6">
            <w:pPr>
              <w:numPr>
                <w:ilvl w:val="0"/>
                <w:numId w:val="1"/>
              </w:numPr>
              <w:spacing w:after="160" w:line="240" w:lineRule="auto"/>
              <w:rPr>
                <w:rFonts w:ascii="Calibri" w:hAnsi="Calibri" w:cs="Calibri"/>
                <w:color w:val="000000"/>
              </w:rPr>
            </w:pPr>
            <w:r>
              <w:rPr>
                <w:rFonts w:ascii="Calibri" w:hAnsi="Calibri" w:eastAsia="Calibri" w:cs="Calibri"/>
                <w:color w:val="000000"/>
              </w:rPr>
              <w:t xml:space="preserve">for binary outcomes, presentation of both absolute and relative effect size </w:t>
            </w:r>
          </w:p>
        </w:tc>
        <w:tc>
          <w:tcPr>
            <w:tcW w:w="5947" w:type="dxa"/>
          </w:tcPr>
          <w:p w14:paraId="0B783A55">
            <w:pPr>
              <w:spacing w:line="240" w:lineRule="auto"/>
              <w:rPr>
                <w:rFonts w:ascii="Calibri" w:hAnsi="Calibri" w:eastAsia="宋体" w:cs="Calibri"/>
                <w:color w:val="000000"/>
              </w:rPr>
            </w:pPr>
            <w:r>
              <w:rPr>
                <w:rFonts w:ascii="Calibri" w:hAnsi="Calibri" w:eastAsia="宋体" w:cs="Calibri"/>
              </w:rPr>
              <w:t>Device success 97/97 (100%; 95% CI 96.27%-100.00%, P&lt;0.001 vs 93% target); secondary outcomes reported in Table 2. Relative between-group effects are not applicable (pp. 13-15; Table 2 p. 14).</w:t>
            </w:r>
          </w:p>
        </w:tc>
      </w:tr>
      <w:tr w14:paraId="53FDD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4" w:hRule="atLeast"/>
        </w:trPr>
        <w:tc>
          <w:tcPr>
            <w:tcW w:w="2547" w:type="dxa"/>
          </w:tcPr>
          <w:p w14:paraId="4315FB68">
            <w:pPr>
              <w:spacing w:line="240" w:lineRule="auto"/>
              <w:rPr>
                <w:rFonts w:ascii="Calibri" w:hAnsi="Calibri" w:eastAsia="Calibri" w:cs="Calibri"/>
                <w:color w:val="000000"/>
              </w:rPr>
            </w:pPr>
            <w:r>
              <w:rPr>
                <w:rFonts w:ascii="Calibri" w:hAnsi="Calibri" w:eastAsia="Calibri" w:cs="Calibri"/>
                <w:color w:val="000000"/>
              </w:rPr>
              <w:t>Harms</w:t>
            </w:r>
          </w:p>
        </w:tc>
        <w:tc>
          <w:tcPr>
            <w:tcW w:w="992" w:type="dxa"/>
          </w:tcPr>
          <w:p w14:paraId="3D5A8C0A">
            <w:pPr>
              <w:spacing w:line="240" w:lineRule="auto"/>
              <w:jc w:val="center"/>
              <w:rPr>
                <w:rFonts w:ascii="Calibri" w:hAnsi="Calibri" w:eastAsia="Calibri" w:cs="Calibri"/>
                <w:color w:val="000000"/>
              </w:rPr>
            </w:pPr>
            <w:r>
              <w:rPr>
                <w:rFonts w:ascii="Calibri" w:hAnsi="Calibri" w:eastAsia="Calibri" w:cs="Calibri"/>
                <w:color w:val="000000"/>
              </w:rPr>
              <w:t>27</w:t>
            </w:r>
          </w:p>
        </w:tc>
        <w:tc>
          <w:tcPr>
            <w:tcW w:w="4826" w:type="dxa"/>
          </w:tcPr>
          <w:p w14:paraId="55BB2B81">
            <w:pPr>
              <w:spacing w:line="240" w:lineRule="auto"/>
              <w:rPr>
                <w:rFonts w:ascii="Calibri" w:hAnsi="Calibri" w:eastAsia="Calibri" w:cs="Calibri"/>
                <w:color w:val="000000"/>
              </w:rPr>
            </w:pPr>
            <w:r>
              <w:rPr>
                <w:rFonts w:ascii="Calibri" w:hAnsi="Calibri" w:eastAsia="Calibri" w:cs="Calibri"/>
                <w:color w:val="000000"/>
              </w:rPr>
              <w:t xml:space="preserve">All harms or unintended events in each group </w:t>
            </w:r>
          </w:p>
        </w:tc>
        <w:tc>
          <w:tcPr>
            <w:tcW w:w="5947" w:type="dxa"/>
          </w:tcPr>
          <w:p w14:paraId="0880E5D5">
            <w:pPr>
              <w:spacing w:line="240" w:lineRule="auto"/>
              <w:rPr>
                <w:rFonts w:ascii="Calibri" w:hAnsi="Calibri" w:eastAsia="宋体" w:cs="Calibri"/>
                <w:color w:val="000000"/>
              </w:rPr>
            </w:pPr>
            <w:r>
              <w:rPr>
                <w:rFonts w:ascii="Calibri" w:hAnsi="Calibri" w:eastAsia="宋体" w:cs="Calibri"/>
                <w:color w:val="000000"/>
              </w:rPr>
              <w:t>Three mild adverse events (3.09%): puncture-site hematoma, contrast reaction, and vasovagal reflex; no serious adverse events and no device deficiencies (pp. 14-15; Table 2 p. 14).</w:t>
            </w:r>
          </w:p>
        </w:tc>
      </w:tr>
      <w:tr w14:paraId="46271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4CB123FF">
            <w:pPr>
              <w:spacing w:line="240" w:lineRule="auto"/>
              <w:rPr>
                <w:rFonts w:ascii="Calibri" w:hAnsi="Calibri" w:eastAsia="Calibri" w:cs="Calibri"/>
                <w:color w:val="000000"/>
              </w:rPr>
            </w:pPr>
            <w:r>
              <w:rPr>
                <w:rFonts w:ascii="Calibri" w:hAnsi="Calibri" w:eastAsia="Calibri" w:cs="Calibri"/>
                <w:color w:val="000000"/>
              </w:rPr>
              <w:t>Ancillary analyses</w:t>
            </w:r>
          </w:p>
        </w:tc>
        <w:tc>
          <w:tcPr>
            <w:tcW w:w="992" w:type="dxa"/>
          </w:tcPr>
          <w:p w14:paraId="42BEC168">
            <w:pPr>
              <w:spacing w:line="240" w:lineRule="auto"/>
              <w:jc w:val="center"/>
              <w:rPr>
                <w:rFonts w:ascii="Calibri" w:hAnsi="Calibri" w:eastAsia="Calibri" w:cs="Calibri"/>
                <w:color w:val="000000"/>
              </w:rPr>
            </w:pPr>
            <w:r>
              <w:rPr>
                <w:rFonts w:ascii="Calibri" w:hAnsi="Calibri" w:eastAsia="Calibri" w:cs="Calibri"/>
                <w:color w:val="000000"/>
              </w:rPr>
              <w:t>28</w:t>
            </w:r>
          </w:p>
        </w:tc>
        <w:tc>
          <w:tcPr>
            <w:tcW w:w="4826" w:type="dxa"/>
          </w:tcPr>
          <w:p w14:paraId="2B0E8F78">
            <w:pPr>
              <w:spacing w:line="240" w:lineRule="auto"/>
              <w:rPr>
                <w:rFonts w:ascii="Calibri" w:hAnsi="Calibri" w:eastAsia="Calibri" w:cs="Calibri"/>
                <w:color w:val="000000"/>
              </w:rPr>
            </w:pPr>
            <w:r>
              <w:rPr>
                <w:rFonts w:ascii="Calibri" w:hAnsi="Calibri" w:eastAsia="Calibri" w:cs="Calibri"/>
                <w:color w:val="000000"/>
              </w:rPr>
              <w:t>Any other analyses performed, including subgroup and sensitivity analyses, distinguishing pre-specified from post-hoc</w:t>
            </w:r>
          </w:p>
        </w:tc>
        <w:tc>
          <w:tcPr>
            <w:tcW w:w="5947" w:type="dxa"/>
          </w:tcPr>
          <w:p w14:paraId="68A2BC84">
            <w:pPr>
              <w:spacing w:line="240" w:lineRule="auto"/>
              <w:rPr>
                <w:rFonts w:ascii="Calibri" w:hAnsi="Calibri" w:eastAsia="宋体" w:cs="Calibri"/>
                <w:color w:val="000000"/>
              </w:rPr>
            </w:pPr>
            <w:r>
              <w:rPr>
                <w:rFonts w:ascii="Calibri" w:hAnsi="Calibri" w:eastAsia="宋体" w:cs="Calibri"/>
                <w:color w:val="000000"/>
              </w:rPr>
              <w:t>Paired pre/post QRS analysis reported; TVR subgroup analysis not performed due to insufficient cases (p. 11; p. 15).</w:t>
            </w:r>
          </w:p>
        </w:tc>
      </w:tr>
      <w:tr w14:paraId="1B58D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8365" w:type="dxa"/>
            <w:gridSpan w:val="3"/>
            <w:shd w:val="clear" w:color="auto" w:fill="BDD7EE"/>
          </w:tcPr>
          <w:p w14:paraId="63B31A69">
            <w:pPr>
              <w:spacing w:line="240" w:lineRule="auto"/>
              <w:rPr>
                <w:rFonts w:ascii="Calibri" w:hAnsi="Calibri" w:eastAsia="Calibri" w:cs="Calibri"/>
                <w:b/>
                <w:color w:val="000000"/>
              </w:rPr>
            </w:pPr>
            <w:r>
              <w:rPr>
                <w:rFonts w:ascii="Calibri" w:hAnsi="Calibri" w:eastAsia="Calibri" w:cs="Calibri"/>
                <w:b/>
                <w:color w:val="000000"/>
              </w:rPr>
              <w:t>Discussion</w:t>
            </w:r>
          </w:p>
        </w:tc>
        <w:tc>
          <w:tcPr>
            <w:tcW w:w="5947" w:type="dxa"/>
            <w:shd w:val="clear" w:color="auto" w:fill="C6D9F0" w:themeFill="text2" w:themeFillTint="33"/>
          </w:tcPr>
          <w:p w14:paraId="69090D87">
            <w:pPr>
              <w:spacing w:line="240" w:lineRule="auto"/>
              <w:rPr>
                <w:rFonts w:ascii="Calibri" w:hAnsi="Calibri" w:eastAsia="宋体" w:cs="Calibri"/>
                <w:color w:val="000000"/>
              </w:rPr>
            </w:pPr>
          </w:p>
        </w:tc>
      </w:tr>
      <w:tr w14:paraId="4E1D1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3A2F79A5">
            <w:pPr>
              <w:spacing w:line="240" w:lineRule="auto"/>
              <w:rPr>
                <w:rFonts w:ascii="Calibri" w:hAnsi="Calibri" w:eastAsia="Calibri" w:cs="Calibri"/>
                <w:color w:val="000000"/>
              </w:rPr>
            </w:pPr>
            <w:r>
              <w:rPr>
                <w:rFonts w:ascii="Calibri" w:hAnsi="Calibri" w:eastAsia="Calibri" w:cs="Calibri"/>
                <w:color w:val="000000"/>
              </w:rPr>
              <w:t>Interpretation</w:t>
            </w:r>
          </w:p>
        </w:tc>
        <w:tc>
          <w:tcPr>
            <w:tcW w:w="992" w:type="dxa"/>
          </w:tcPr>
          <w:p w14:paraId="4A5A7287">
            <w:pPr>
              <w:spacing w:line="240" w:lineRule="auto"/>
              <w:jc w:val="center"/>
              <w:rPr>
                <w:rFonts w:ascii="Calibri" w:hAnsi="Calibri" w:eastAsia="Calibri" w:cs="Calibri"/>
                <w:color w:val="000000"/>
              </w:rPr>
            </w:pPr>
            <w:r>
              <w:rPr>
                <w:rFonts w:ascii="Calibri" w:hAnsi="Calibri" w:eastAsia="Calibri" w:cs="Calibri"/>
                <w:color w:val="000000"/>
              </w:rPr>
              <w:t>29</w:t>
            </w:r>
          </w:p>
        </w:tc>
        <w:tc>
          <w:tcPr>
            <w:tcW w:w="4826" w:type="dxa"/>
          </w:tcPr>
          <w:p w14:paraId="0AE878BE">
            <w:pPr>
              <w:spacing w:line="240" w:lineRule="auto"/>
              <w:rPr>
                <w:rFonts w:ascii="Calibri" w:hAnsi="Calibri" w:eastAsia="Calibri" w:cs="Calibri"/>
                <w:color w:val="000000"/>
              </w:rPr>
            </w:pPr>
            <w:r>
              <w:rPr>
                <w:rFonts w:ascii="Calibri" w:hAnsi="Calibri" w:eastAsia="Calibri" w:cs="Calibri"/>
                <w:color w:val="000000"/>
              </w:rPr>
              <w:t>Interpretation consistent with results, balancing benefits and harms, and considering other relevant evidence</w:t>
            </w:r>
          </w:p>
        </w:tc>
        <w:tc>
          <w:tcPr>
            <w:tcW w:w="5947" w:type="dxa"/>
          </w:tcPr>
          <w:p w14:paraId="136CC062">
            <w:pPr>
              <w:spacing w:line="240" w:lineRule="auto"/>
              <w:rPr>
                <w:rFonts w:ascii="Calibri" w:hAnsi="Calibri" w:eastAsia="宋体" w:cs="Calibri"/>
                <w:color w:val="000000"/>
              </w:rPr>
            </w:pPr>
            <w:r>
              <w:rPr>
                <w:rFonts w:ascii="Calibri" w:hAnsi="Calibri" w:eastAsia="宋体" w:cs="Calibri"/>
                <w:color w:val="000000"/>
              </w:rPr>
              <w:t>Discussion interprets findings as multicenter feasibility and short-term safety evidence, not proof of superiority, and balances benefits, harms, and need for future trials (pp. 16-22).</w:t>
            </w:r>
          </w:p>
        </w:tc>
      </w:tr>
      <w:tr w14:paraId="1624F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4DAC9563">
            <w:pPr>
              <w:spacing w:line="240" w:lineRule="auto"/>
              <w:rPr>
                <w:rFonts w:ascii="Calibri" w:hAnsi="Calibri" w:eastAsia="Calibri" w:cs="Calibri"/>
                <w:color w:val="000000"/>
              </w:rPr>
            </w:pPr>
            <w:r>
              <w:rPr>
                <w:rFonts w:ascii="Calibri" w:hAnsi="Calibri" w:eastAsia="Calibri" w:cs="Calibri"/>
                <w:color w:val="000000"/>
              </w:rPr>
              <w:t>Limitations</w:t>
            </w:r>
          </w:p>
        </w:tc>
        <w:tc>
          <w:tcPr>
            <w:tcW w:w="992" w:type="dxa"/>
          </w:tcPr>
          <w:p w14:paraId="70EBD6F2">
            <w:pPr>
              <w:spacing w:line="240" w:lineRule="auto"/>
              <w:jc w:val="center"/>
              <w:rPr>
                <w:rFonts w:ascii="Calibri" w:hAnsi="Calibri" w:eastAsia="Calibri" w:cs="Calibri"/>
                <w:color w:val="000000"/>
              </w:rPr>
            </w:pPr>
            <w:r>
              <w:rPr>
                <w:rFonts w:ascii="Calibri" w:hAnsi="Calibri" w:eastAsia="Calibri" w:cs="Calibri"/>
                <w:color w:val="000000"/>
              </w:rPr>
              <w:t>30</w:t>
            </w:r>
          </w:p>
        </w:tc>
        <w:tc>
          <w:tcPr>
            <w:tcW w:w="4826" w:type="dxa"/>
          </w:tcPr>
          <w:p w14:paraId="22A1F5E8">
            <w:pPr>
              <w:spacing w:line="240" w:lineRule="auto"/>
              <w:rPr>
                <w:rFonts w:ascii="Calibri" w:hAnsi="Calibri" w:eastAsia="Calibri" w:cs="Calibri"/>
                <w:color w:val="000000"/>
              </w:rPr>
            </w:pPr>
            <w:r>
              <w:rPr>
                <w:rFonts w:ascii="Calibri" w:hAnsi="Calibri" w:eastAsia="Calibri" w:cs="Calibri"/>
                <w:color w:val="000000"/>
              </w:rPr>
              <w:t>Trial limitations, addressing sources of potential bias, imprecision, generalizability, and, if relevant, multiplicity of analyses</w:t>
            </w:r>
          </w:p>
        </w:tc>
        <w:tc>
          <w:tcPr>
            <w:tcW w:w="5947" w:type="dxa"/>
          </w:tcPr>
          <w:p w14:paraId="3A637FA7">
            <w:pPr>
              <w:spacing w:line="240" w:lineRule="auto"/>
              <w:rPr>
                <w:rFonts w:ascii="Calibri" w:hAnsi="Calibri" w:eastAsia="宋体" w:cs="Calibri"/>
                <w:color w:val="000000"/>
              </w:rPr>
            </w:pPr>
            <w:r>
              <w:rPr>
                <w:rFonts w:ascii="Calibri" w:hAnsi="Calibri" w:eastAsia="宋体" w:cs="Calibri"/>
                <w:color w:val="000000"/>
              </w:rPr>
              <w:t>Limitations include single-arm design without randomized control group, limited sample size, experienced-center enrolment, short-term follow-up, and only two TVR cases (pp. 21-22).</w:t>
            </w:r>
          </w:p>
        </w:tc>
      </w:tr>
    </w:tbl>
    <w:p w14:paraId="2221A523">
      <w:pPr>
        <w:spacing w:line="240" w:lineRule="auto"/>
        <w:rPr>
          <w:rFonts w:ascii="Calibri" w:hAnsi="Calibri" w:cs="Calibri"/>
          <w:b/>
        </w:rPr>
      </w:pPr>
    </w:p>
    <w:p w14:paraId="7FC8FA0A">
      <w:pPr>
        <w:pStyle w:val="39"/>
        <w:tabs>
          <w:tab w:val="left" w:pos="4830"/>
        </w:tabs>
        <w:spacing w:line="240" w:lineRule="auto"/>
        <w:rPr>
          <w:rFonts w:ascii="Calibri" w:hAnsi="Calibri" w:cs="Calibri"/>
          <w:szCs w:val="24"/>
          <w:lang w:val="en-US"/>
        </w:rPr>
      </w:pPr>
      <w:r>
        <w:rPr>
          <w:rFonts w:ascii="Calibri" w:hAnsi="Calibri" w:cs="Calibri"/>
          <w:szCs w:val="24"/>
          <w:lang w:val="en-US"/>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20"/>
          <w:rFonts w:ascii="Calibri" w:hAnsi="Calibri" w:cs="Calibri"/>
          <w:color w:val="0070C0"/>
          <w:szCs w:val="24"/>
          <w:lang w:val="en-US"/>
        </w:rPr>
        <w:t>www.consort-spirit.org</w:t>
      </w:r>
      <w:r>
        <w:rPr>
          <w:rStyle w:val="20"/>
          <w:rFonts w:ascii="Calibri" w:hAnsi="Calibri" w:cs="Calibri"/>
          <w:color w:val="0070C0"/>
          <w:szCs w:val="24"/>
          <w:lang w:val="en-US"/>
        </w:rPr>
        <w:fldChar w:fldCharType="end"/>
      </w:r>
      <w:r>
        <w:rPr>
          <w:rFonts w:ascii="Calibri" w:hAnsi="Calibri" w:cs="Calibri"/>
          <w:color w:val="0070C0"/>
          <w:szCs w:val="24"/>
          <w:lang w:val="en-US"/>
        </w:rPr>
        <w:t>.</w:t>
      </w:r>
    </w:p>
    <w:p w14:paraId="5C2D5907">
      <w:pPr>
        <w:spacing w:line="240" w:lineRule="auto"/>
        <w:rPr>
          <w:rFonts w:ascii="Calibri" w:hAnsi="Calibri" w:cs="Calibri"/>
          <w:b/>
        </w:rPr>
      </w:pPr>
    </w:p>
    <w:p w14:paraId="52BD4413">
      <w:pPr>
        <w:pStyle w:val="39"/>
        <w:tabs>
          <w:tab w:val="left" w:pos="4830"/>
        </w:tabs>
        <w:spacing w:line="240" w:lineRule="auto"/>
        <w:rPr>
          <w:rFonts w:ascii="Calibri" w:hAnsi="Calibri" w:cs="Calibri"/>
          <w:szCs w:val="24"/>
          <w:lang w:val="en-US"/>
        </w:rPr>
      </w:pPr>
      <w:r>
        <w:rPr>
          <w:rFonts w:ascii="Calibri" w:hAnsi="Calibri" w:cs="Calibri"/>
          <w:szCs w:val="24"/>
          <w:lang w:val="en-US"/>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0"/>
          <w:rFonts w:ascii="Calibri" w:hAnsi="Calibri" w:cs="Calibri"/>
          <w:color w:val="0070C0"/>
          <w:szCs w:val="24"/>
          <w:lang w:val="en-US"/>
        </w:rPr>
        <w:t>https://dx.doi.org/10.1136/bmj-2024-081123</w:t>
      </w:r>
      <w:r>
        <w:rPr>
          <w:rStyle w:val="20"/>
          <w:rFonts w:ascii="Calibri" w:hAnsi="Calibri" w:cs="Calibri"/>
          <w:color w:val="0070C0"/>
          <w:szCs w:val="24"/>
          <w:lang w:val="en-US"/>
        </w:rPr>
        <w:fldChar w:fldCharType="end"/>
      </w:r>
      <w:r>
        <w:rPr>
          <w:rFonts w:ascii="Calibri" w:hAnsi="Calibri" w:cs="Calibri"/>
          <w:color w:val="0070C0"/>
          <w:szCs w:val="24"/>
          <w:lang w:val="en-US"/>
        </w:rPr>
        <w:t xml:space="preserve">. </w:t>
      </w:r>
    </w:p>
    <w:p w14:paraId="41E96146">
      <w:pPr>
        <w:pStyle w:val="39"/>
        <w:tabs>
          <w:tab w:val="left" w:pos="4830"/>
        </w:tabs>
        <w:spacing w:line="240" w:lineRule="auto"/>
        <w:rPr>
          <w:rFonts w:ascii="Calibri" w:hAnsi="Calibri" w:cs="Calibri"/>
          <w:szCs w:val="24"/>
          <w:lang w:val="en-US"/>
        </w:rPr>
      </w:pPr>
      <w:r>
        <w:rPr>
          <w:rFonts w:ascii="Calibri" w:hAnsi="Calibri" w:cs="Calibri"/>
          <w:szCs w:val="24"/>
          <w:lang w:val="en-US"/>
        </w:rPr>
        <w:br w:type="textWrapping"/>
      </w:r>
      <w:r>
        <w:rPr>
          <w:rFonts w:ascii="Calibri" w:hAnsi="Calibri" w:cs="Calibri"/>
          <w:szCs w:val="24"/>
          <w:lang w:val="en-US"/>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0"/>
          <w:rFonts w:ascii="Calibri" w:hAnsi="Calibri" w:cs="Calibri"/>
          <w:color w:val="0070C0"/>
          <w:szCs w:val="24"/>
          <w:lang w:val="en-US"/>
        </w:rPr>
        <w:t>https://creativecommons.org/licenses/by/4.0/</w:t>
      </w:r>
      <w:r>
        <w:rPr>
          <w:rStyle w:val="20"/>
          <w:rFonts w:ascii="Calibri" w:hAnsi="Calibri" w:cs="Calibri"/>
          <w:color w:val="0070C0"/>
          <w:szCs w:val="24"/>
          <w:lang w:val="en-US"/>
        </w:rPr>
        <w:fldChar w:fldCharType="end"/>
      </w:r>
      <w:r>
        <w:rPr>
          <w:rFonts w:ascii="Calibri" w:hAnsi="Calibri" w:cs="Calibri"/>
          <w:szCs w:val="24"/>
          <w:lang w:val="en-US"/>
        </w:rPr>
        <w:t>), which permits unrestricted use, distribution, and reproduction in any medium, provided the original work is properly cited.</w:t>
      </w:r>
    </w:p>
    <w:sectPr>
      <w:headerReference r:id="rId5" w:type="default"/>
      <w:footerReference r:id="rId6"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Noto Sans Symbols">
    <w:altName w:val="Calibri"/>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sdtPr>
    <w:sdtContent>
      <w:p w14:paraId="1DB13EB0">
        <w:pPr>
          <w:pStyle w:val="10"/>
          <w:jc w:val="right"/>
        </w:pPr>
        <w:r>
          <w:fldChar w:fldCharType="begin"/>
        </w:r>
        <w:r>
          <w:instrText xml:space="preserve"> PAGE   \* MERGEFORMAT </w:instrText>
        </w:r>
        <w:r>
          <w:fldChar w:fldCharType="separate"/>
        </w:r>
        <w:r>
          <w:t>2</w:t>
        </w:r>
        <w:r>
          <w:fldChar w:fldCharType="end"/>
        </w:r>
      </w:p>
    </w:sdtContent>
  </w:sdt>
  <w:p w14:paraId="33BEB990">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A8394">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trackRevisions w:val="1"/>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162AC"/>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1882"/>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5DE4"/>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0362"/>
    <w:rsid w:val="006A1C20"/>
    <w:rsid w:val="006A61B0"/>
    <w:rsid w:val="006B2754"/>
    <w:rsid w:val="006B32F4"/>
    <w:rsid w:val="006B65AB"/>
    <w:rsid w:val="006B7240"/>
    <w:rsid w:val="006C1C06"/>
    <w:rsid w:val="006C2F2F"/>
    <w:rsid w:val="006C3BCB"/>
    <w:rsid w:val="006D6C49"/>
    <w:rsid w:val="006E1587"/>
    <w:rsid w:val="006E173A"/>
    <w:rsid w:val="006E3253"/>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47524"/>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65A0D"/>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48F2"/>
    <w:rsid w:val="00AB5E55"/>
    <w:rsid w:val="00AB7D52"/>
    <w:rsid w:val="00AC74D3"/>
    <w:rsid w:val="00AD280D"/>
    <w:rsid w:val="00AD2A89"/>
    <w:rsid w:val="00AD3307"/>
    <w:rsid w:val="00AE0758"/>
    <w:rsid w:val="00AE1FCF"/>
    <w:rsid w:val="00AE463A"/>
    <w:rsid w:val="00AF45C9"/>
    <w:rsid w:val="00AF65BF"/>
    <w:rsid w:val="00B043FA"/>
    <w:rsid w:val="00B053F2"/>
    <w:rsid w:val="00B13D4B"/>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1DBA"/>
    <w:rsid w:val="00BB61FF"/>
    <w:rsid w:val="00BC1738"/>
    <w:rsid w:val="00BC3998"/>
    <w:rsid w:val="00BC456C"/>
    <w:rsid w:val="00BD6FD2"/>
    <w:rsid w:val="00BF0810"/>
    <w:rsid w:val="00BF3C2F"/>
    <w:rsid w:val="00BF5D9C"/>
    <w:rsid w:val="00C02C79"/>
    <w:rsid w:val="00C04311"/>
    <w:rsid w:val="00C04B37"/>
    <w:rsid w:val="00C073E4"/>
    <w:rsid w:val="00C145E8"/>
    <w:rsid w:val="00C15C22"/>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27D10"/>
    <w:rsid w:val="00D33C32"/>
    <w:rsid w:val="00D33F4A"/>
    <w:rsid w:val="00D350E7"/>
    <w:rsid w:val="00D40B6B"/>
    <w:rsid w:val="00D41FA4"/>
    <w:rsid w:val="00D424B1"/>
    <w:rsid w:val="00D52875"/>
    <w:rsid w:val="00D5635D"/>
    <w:rsid w:val="00D63FD4"/>
    <w:rsid w:val="00D71D20"/>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588"/>
    <w:rsid w:val="00E30B96"/>
    <w:rsid w:val="00E36C98"/>
    <w:rsid w:val="00E3757F"/>
    <w:rsid w:val="00E438C7"/>
    <w:rsid w:val="00E45D1F"/>
    <w:rsid w:val="00E51A72"/>
    <w:rsid w:val="00E53075"/>
    <w:rsid w:val="00E53377"/>
    <w:rsid w:val="00E549E6"/>
    <w:rsid w:val="00E55C5C"/>
    <w:rsid w:val="00E7185E"/>
    <w:rsid w:val="00E73FFA"/>
    <w:rsid w:val="00E74A41"/>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6F5"/>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23A12F43"/>
    <w:rsid w:val="329E4208"/>
    <w:rsid w:val="371E075E"/>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eastAsia="Times New Roman" w:cs="Times New Roman"/>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5"/>
    <w:unhideWhenUsed/>
    <w:qFormat/>
    <w:uiPriority w:val="99"/>
    <w:pPr>
      <w:spacing w:line="240" w:lineRule="auto"/>
    </w:pPr>
    <w:rPr>
      <w:sz w:val="20"/>
      <w:szCs w:val="20"/>
    </w:rPr>
  </w:style>
  <w:style w:type="paragraph" w:styleId="9">
    <w:name w:val="Balloon Text"/>
    <w:basedOn w:val="1"/>
    <w:link w:val="33"/>
    <w:semiHidden/>
    <w:unhideWhenUsed/>
    <w:uiPriority w:val="99"/>
    <w:pPr>
      <w:spacing w:line="240" w:lineRule="auto"/>
    </w:pPr>
    <w:rPr>
      <w:rFonts w:ascii="Segoe UI" w:hAnsi="Segoe UI" w:cs="Segoe UI"/>
      <w:sz w:val="18"/>
      <w:szCs w:val="18"/>
    </w:rPr>
  </w:style>
  <w:style w:type="paragraph" w:styleId="10">
    <w:name w:val="footer"/>
    <w:basedOn w:val="1"/>
    <w:link w:val="36"/>
    <w:unhideWhenUsed/>
    <w:uiPriority w:val="99"/>
    <w:pPr>
      <w:tabs>
        <w:tab w:val="center" w:pos="4513"/>
        <w:tab w:val="right" w:pos="9026"/>
      </w:tabs>
      <w:spacing w:line="240" w:lineRule="auto"/>
    </w:pPr>
  </w:style>
  <w:style w:type="paragraph" w:styleId="11">
    <w:name w:val="header"/>
    <w:basedOn w:val="1"/>
    <w:link w:val="35"/>
    <w:unhideWhenUsed/>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6"/>
    <w:semiHidden/>
    <w:unhideWhenUsed/>
    <w:uiPriority w:val="99"/>
    <w:rPr>
      <w:b/>
      <w:bCs/>
    </w:rPr>
  </w:style>
  <w:style w:type="table" w:styleId="17">
    <w:name w:val="Table Grid"/>
    <w:basedOn w:val="16"/>
    <w:qFormat/>
    <w:uiPriority w:val="39"/>
    <w:rPr>
      <w:rFonts w:asciiTheme="minorHAnsi" w:hAnsiTheme="minorHAnsi" w:eastAsiaTheme="minorHAnsi" w:cstheme="minorBidi"/>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qFormat/>
    <w:uiPriority w:val="99"/>
    <w:rPr>
      <w:color w:val="800080" w:themeColor="followedHyperlink"/>
      <w:u w:val="single"/>
      <w14:textFill>
        <w14:solidFill>
          <w14:schemeClr w14:val="folHlink"/>
        </w14:solidFill>
      </w14:textFill>
    </w:rPr>
  </w:style>
  <w:style w:type="character" w:styleId="20">
    <w:name w:val="Hyperlink"/>
    <w:qFormat/>
    <w:uiPriority w:val="0"/>
    <w:rPr>
      <w:color w:val="CC0000"/>
      <w:u w:val="single"/>
    </w:rPr>
  </w:style>
  <w:style w:type="character" w:styleId="21">
    <w:name w:val="annotation reference"/>
    <w:basedOn w:val="18"/>
    <w:unhideWhenUsed/>
    <w:qFormat/>
    <w:uiPriority w:val="99"/>
    <w:rPr>
      <w:sz w:val="16"/>
      <w:szCs w:val="16"/>
    </w:rPr>
  </w:style>
  <w:style w:type="table" w:customStyle="1" w:styleId="22">
    <w:name w:val="_Style 11"/>
    <w:basedOn w:val="16"/>
    <w:qFormat/>
    <w:uiPriority w:val="0"/>
  </w:style>
  <w:style w:type="table" w:customStyle="1" w:styleId="23">
    <w:name w:val="_Style 12"/>
    <w:basedOn w:val="16"/>
    <w:uiPriority w:val="0"/>
    <w:tblPr>
      <w:tblCellMar>
        <w:left w:w="115" w:type="dxa"/>
        <w:right w:w="115" w:type="dxa"/>
      </w:tblCellMar>
    </w:tblPr>
  </w:style>
  <w:style w:type="table" w:customStyle="1" w:styleId="24">
    <w:name w:val="_Style 13"/>
    <w:basedOn w:val="16"/>
    <w:qFormat/>
    <w:uiPriority w:val="0"/>
    <w:tblPr>
      <w:tblCellMar>
        <w:left w:w="115" w:type="dxa"/>
        <w:right w:w="115" w:type="dxa"/>
      </w:tblCellMar>
    </w:tblPr>
  </w:style>
  <w:style w:type="character" w:customStyle="1" w:styleId="25">
    <w:name w:val="Comment Text Char"/>
    <w:basedOn w:val="18"/>
    <w:link w:val="8"/>
    <w:uiPriority w:val="99"/>
    <w:rPr>
      <w:sz w:val="20"/>
      <w:szCs w:val="20"/>
    </w:rPr>
  </w:style>
  <w:style w:type="character" w:customStyle="1" w:styleId="26">
    <w:name w:val="Comment Subject Char"/>
    <w:basedOn w:val="25"/>
    <w:link w:val="15"/>
    <w:semiHidden/>
    <w:uiPriority w:val="99"/>
    <w:rPr>
      <w:b/>
      <w:bCs/>
      <w:sz w:val="20"/>
      <w:szCs w:val="20"/>
    </w:rPr>
  </w:style>
  <w:style w:type="paragraph" w:customStyle="1" w:styleId="27">
    <w:name w:val="EndNote Bibliography Title"/>
    <w:basedOn w:val="1"/>
    <w:link w:val="28"/>
    <w:qFormat/>
    <w:uiPriority w:val="0"/>
    <w:pPr>
      <w:jc w:val="center"/>
    </w:pPr>
    <w:rPr>
      <w:lang w:val="en-GB"/>
    </w:rPr>
  </w:style>
  <w:style w:type="character" w:customStyle="1" w:styleId="28">
    <w:name w:val="EndNote Bibliography Title Char"/>
    <w:basedOn w:val="18"/>
    <w:link w:val="27"/>
    <w:uiPriority w:val="0"/>
    <w:rPr>
      <w:lang w:val="en-GB"/>
    </w:rPr>
  </w:style>
  <w:style w:type="paragraph" w:customStyle="1" w:styleId="29">
    <w:name w:val="EndNote Bibliography"/>
    <w:basedOn w:val="1"/>
    <w:link w:val="30"/>
    <w:uiPriority w:val="0"/>
    <w:pPr>
      <w:spacing w:line="240" w:lineRule="auto"/>
    </w:pPr>
    <w:rPr>
      <w:lang w:val="en-GB"/>
    </w:rPr>
  </w:style>
  <w:style w:type="character" w:customStyle="1" w:styleId="30">
    <w:name w:val="EndNote Bibliography Char"/>
    <w:basedOn w:val="18"/>
    <w:link w:val="29"/>
    <w:qFormat/>
    <w:uiPriority w:val="0"/>
    <w:rPr>
      <w:lang w:val="en-GB"/>
    </w:rPr>
  </w:style>
  <w:style w:type="character" w:customStyle="1" w:styleId="31">
    <w:name w:val="Unresolved Mention1"/>
    <w:basedOn w:val="18"/>
    <w:semiHidden/>
    <w:unhideWhenUsed/>
    <w:qFormat/>
    <w:uiPriority w:val="99"/>
    <w:rPr>
      <w:color w:val="605E5C"/>
      <w:shd w:val="clear" w:color="auto" w:fill="E1DFDD"/>
    </w:rPr>
  </w:style>
  <w:style w:type="character" w:customStyle="1" w:styleId="32">
    <w:name w:val="cf01"/>
    <w:basedOn w:val="18"/>
    <w:qFormat/>
    <w:uiPriority w:val="0"/>
    <w:rPr>
      <w:rFonts w:hint="default" w:ascii="Segoe UI" w:hAnsi="Segoe UI" w:cs="Segoe UI"/>
      <w:sz w:val="18"/>
      <w:szCs w:val="18"/>
    </w:rPr>
  </w:style>
  <w:style w:type="character" w:customStyle="1" w:styleId="33">
    <w:name w:val="Balloon Text Char"/>
    <w:basedOn w:val="18"/>
    <w:link w:val="9"/>
    <w:semiHidden/>
    <w:qFormat/>
    <w:uiPriority w:val="99"/>
    <w:rPr>
      <w:rFonts w:ascii="Segoe UI" w:hAnsi="Segoe UI" w:cs="Segoe UI"/>
      <w:sz w:val="18"/>
      <w:szCs w:val="18"/>
    </w:rPr>
  </w:style>
  <w:style w:type="paragraph" w:styleId="34">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5">
    <w:name w:val="Header Char"/>
    <w:basedOn w:val="18"/>
    <w:link w:val="11"/>
    <w:qFormat/>
    <w:uiPriority w:val="99"/>
  </w:style>
  <w:style w:type="character" w:customStyle="1" w:styleId="36">
    <w:name w:val="Footer Char"/>
    <w:basedOn w:val="18"/>
    <w:link w:val="10"/>
    <w:qFormat/>
    <w:uiPriority w:val="99"/>
  </w:style>
  <w:style w:type="paragraph" w:customStyle="1" w:styleId="37">
    <w:name w:val="Revision1"/>
    <w:hidden/>
    <w:semiHidden/>
    <w:uiPriority w:val="99"/>
    <w:rPr>
      <w:rFonts w:ascii="Times New Roman" w:hAnsi="Times New Roman" w:eastAsia="Times New Roman" w:cs="Times New Roman"/>
      <w:color w:val="333333"/>
      <w:sz w:val="24"/>
      <w:szCs w:val="24"/>
      <w:lang w:val="en-US" w:eastAsia="en-GB" w:bidi="ar-SA"/>
    </w:rPr>
  </w:style>
  <w:style w:type="character" w:customStyle="1" w:styleId="38">
    <w:name w:val="apple-converted-space"/>
    <w:basedOn w:val="18"/>
    <w:qFormat/>
    <w:uiPriority w:val="0"/>
  </w:style>
  <w:style w:type="paragraph" w:customStyle="1" w:styleId="39">
    <w:name w:val="TableNote"/>
    <w:basedOn w:val="1"/>
    <w:qFormat/>
    <w:uiPriority w:val="0"/>
    <w:pPr>
      <w:spacing w:line="300" w:lineRule="exact"/>
    </w:pPr>
    <w:rPr>
      <w:color w:val="auto"/>
      <w:szCs w:val="20"/>
      <w:lang w:val="en-GB" w:eastAsia="en-US"/>
    </w:rPr>
  </w:style>
  <w:style w:type="paragraph" w:customStyle="1" w:styleId="40">
    <w:name w:val="Revision"/>
    <w:hidden/>
    <w:unhideWhenUsed/>
    <w:uiPriority w:val="99"/>
    <w:rPr>
      <w:rFonts w:ascii="Times New Roman" w:hAnsi="Times New Roman" w:eastAsia="Times New Roman" w:cs="Times New Roman"/>
      <w:color w:val="333333"/>
      <w:sz w:val="24"/>
      <w:szCs w:val="24"/>
      <w:lang w:val="en-US" w:eastAsia="en-GB"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datastoreItem>
</file>

<file path=docProps/app.xml><?xml version="1.0" encoding="utf-8"?>
<Properties xmlns="http://schemas.openxmlformats.org/officeDocument/2006/extended-properties" xmlns:vt="http://schemas.openxmlformats.org/officeDocument/2006/docPropsVTypes">
  <Template>Normal.dotm</Template>
  <Pages>7</Pages>
  <Words>358</Words>
  <Characters>2157</Characters>
  <Lines>94</Lines>
  <Paragraphs>26</Paragraphs>
  <TotalTime>17</TotalTime>
  <ScaleCrop>false</ScaleCrop>
  <LinksUpToDate>false</LinksUpToDate>
  <CharactersWithSpaces>2480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2024-10-08T14:14:00Z</dcterms:created>
  <dc:creator>Sally Hopewell</dc:creator>
  <cp:lastModifiedBy>张晶垚</cp:lastModifiedBy>
  <cp:lastPrinted>2024-03-26T08:52:00Z</cp:lastPrinted>
  <dcterms:modified xsi:type="dcterms:W3CDTF">2026-09-15T14:15:00Z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bf28368d-46dc-46cc-94dc-bdd949a1cd3c</vt:lpwstr>
  </property>
  <property fmtid="{D5CDD505-2E9C-101B-9397-08002B2CF9AE}" pid="3" name="ICV">
    <vt:lpwstr>709E98DA96964BC6AD2889917AB853FA_13</vt:lpwstr>
  </property>
  <property fmtid="{D5CDD505-2E9C-101B-9397-08002B2CF9AE}" pid="4" name="KSOProductBuildVer">
    <vt:lpwstr>2052-12.1.0.28505</vt:lpwstr>
  </property>
  <property fmtid="{D5CDD505-2E9C-101B-9397-08002B2CF9AE}" pid="5" name="KSOTemplateDocerSaveRecord">
    <vt:lpwstr>eyJoZGlkIjoiZWZkNzcxNTE3ZjE2MjJhYWFkZDY3NjQ2YmNmMjAwNTEiLCJ1c2VySWQiOiIzMDMxNzgxMDYifQ==</vt:lpwstr>
  </property>
</Properties>
</file>