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8E2AA" w14:textId="77777777" w:rsidR="00D0597A" w:rsidRDefault="00000000" w:rsidP="00D0597A">
      <w:pPr>
        <w:spacing w:after="600"/>
        <w:rPr>
          <w:rFonts w:ascii="Arial" w:hAnsi="Arial" w:cs="Arial"/>
          <w:b/>
          <w:color w:val="000000" w:themeColor="text1"/>
          <w:sz w:val="40"/>
          <w:szCs w:val="40"/>
        </w:rPr>
      </w:pPr>
      <w:r>
        <w:rPr>
          <w:rFonts w:ascii="Arial" w:hAnsi="Arial" w:cs="Arial"/>
          <w:b/>
          <w:color w:val="000000" w:themeColor="text1"/>
          <w:sz w:val="40"/>
          <w:szCs w:val="40"/>
        </w:rPr>
        <w:t>Supplementary Information</w:t>
      </w:r>
    </w:p>
    <w:p w14:paraId="43D26270" w14:textId="77777777" w:rsidR="006B15B1" w:rsidRDefault="006B15B1" w:rsidP="006B15B1">
      <w:pPr>
        <w:spacing w:line="276" w:lineRule="auto"/>
        <w:rPr>
          <w:rFonts w:ascii="Arial" w:hAnsi="Arial" w:cs="Arial"/>
          <w:b/>
          <w:bCs/>
          <w:sz w:val="24"/>
        </w:rPr>
      </w:pPr>
      <w:r w:rsidRPr="009142A2">
        <w:rPr>
          <w:rFonts w:ascii="Arial" w:hAnsi="Arial" w:cs="Arial"/>
          <w:b/>
          <w:bCs/>
          <w:sz w:val="24"/>
        </w:rPr>
        <w:t>Microglial HIF</w:t>
      </w:r>
      <w:r w:rsidRPr="009142A2">
        <w:rPr>
          <w:rFonts w:ascii="Cambria Math" w:hAnsi="Cambria Math" w:cs="Cambria Math"/>
          <w:b/>
          <w:bCs/>
          <w:sz w:val="24"/>
        </w:rPr>
        <w:t>‑</w:t>
      </w:r>
      <w:r w:rsidRPr="009142A2">
        <w:rPr>
          <w:rFonts w:ascii="Arial" w:hAnsi="Arial" w:cs="Arial"/>
          <w:b/>
          <w:bCs/>
          <w:sz w:val="24"/>
        </w:rPr>
        <w:t>1α</w:t>
      </w:r>
      <w:r w:rsidRPr="009142A2">
        <w:rPr>
          <w:rFonts w:ascii="Cambria Math" w:hAnsi="Cambria Math" w:cs="Cambria Math"/>
          <w:b/>
          <w:bCs/>
          <w:sz w:val="24"/>
        </w:rPr>
        <w:t>‑</w:t>
      </w:r>
      <w:r w:rsidRPr="009142A2">
        <w:rPr>
          <w:rFonts w:ascii="Arial" w:hAnsi="Arial" w:cs="Arial"/>
          <w:b/>
          <w:bCs/>
          <w:sz w:val="24"/>
        </w:rPr>
        <w:t>Driven Lactate Reprogramming Disrupts Cancer Metabolism and Redox Homeostasis in Glioma via TTF</w:t>
      </w:r>
    </w:p>
    <w:p w14:paraId="197F5E98" w14:textId="1F2811F0" w:rsidR="003B1C81" w:rsidRPr="001149F1" w:rsidRDefault="003B1C81" w:rsidP="003B1C81">
      <w:pPr>
        <w:spacing w:line="276" w:lineRule="auto"/>
        <w:rPr>
          <w:rFonts w:ascii="Arial" w:hAnsi="Arial" w:cs="Arial"/>
          <w:b/>
          <w:bCs/>
          <w:sz w:val="24"/>
        </w:rPr>
      </w:pPr>
    </w:p>
    <w:p w14:paraId="4FD78074" w14:textId="679F6EAD" w:rsidR="0056232F" w:rsidRPr="003B1C81" w:rsidRDefault="0056232F" w:rsidP="003B1C81">
      <w:pPr>
        <w:widowControl/>
        <w:jc w:val="center"/>
        <w:rPr>
          <w:rFonts w:ascii="Arial" w:hAnsi="Arial" w:cs="Arial"/>
          <w:highlight w:val="red"/>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1E4417" w14:paraId="46BE023F" w14:textId="77777777" w:rsidTr="00DA6202">
        <w:tc>
          <w:tcPr>
            <w:tcW w:w="9736" w:type="dxa"/>
          </w:tcPr>
          <w:p w14:paraId="79658576" w14:textId="6A490065" w:rsidR="001E4417" w:rsidRDefault="008D4D5B" w:rsidP="006A3818">
            <w:pPr>
              <w:rPr>
                <w:rFonts w:ascii="Arial" w:hAnsi="Arial" w:cs="Arial"/>
                <w:highlight w:val="red"/>
              </w:rPr>
            </w:pPr>
            <w:r>
              <w:rPr>
                <w:rFonts w:ascii="Arial" w:hAnsi="Arial" w:cs="Arial"/>
                <w:noProof/>
                <w14:ligatures w14:val="none"/>
              </w:rPr>
              <w:drawing>
                <wp:inline distT="0" distB="0" distL="0" distR="0" wp14:anchorId="0DA115A3" wp14:editId="25AC9394">
                  <wp:extent cx="5400000" cy="5022184"/>
                  <wp:effectExtent l="0" t="0" r="0" b="0"/>
                  <wp:docPr id="1386150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50559"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00" cy="5022184"/>
                          </a:xfrm>
                          <a:prstGeom prst="rect">
                            <a:avLst/>
                          </a:prstGeom>
                        </pic:spPr>
                      </pic:pic>
                    </a:graphicData>
                  </a:graphic>
                </wp:inline>
              </w:drawing>
            </w:r>
          </w:p>
        </w:tc>
      </w:tr>
      <w:tr w:rsidR="001E4417" w14:paraId="0FE77C44" w14:textId="77777777" w:rsidTr="00DA6202">
        <w:tc>
          <w:tcPr>
            <w:tcW w:w="9736" w:type="dxa"/>
          </w:tcPr>
          <w:p w14:paraId="3B437972" w14:textId="2696D259" w:rsidR="0056232F" w:rsidRPr="0056232F" w:rsidRDefault="0056232F" w:rsidP="006A3818">
            <w:pPr>
              <w:rPr>
                <w:rFonts w:ascii="Arial" w:hAnsi="Arial" w:cs="Arial"/>
                <w:b/>
                <w:bCs/>
              </w:rPr>
            </w:pPr>
            <w:r w:rsidRPr="0056232F">
              <w:rPr>
                <w:rFonts w:ascii="Arial" w:hAnsi="Arial" w:cs="Arial"/>
                <w:b/>
                <w:bCs/>
              </w:rPr>
              <w:t>Figure S1. Establishment and characterization of patient-derived glioblastoma organoids.</w:t>
            </w:r>
          </w:p>
          <w:p w14:paraId="0268F765" w14:textId="28FE34FC" w:rsidR="001E4417" w:rsidRPr="0056232F" w:rsidRDefault="0056232F" w:rsidP="006A3818">
            <w:pPr>
              <w:rPr>
                <w:rFonts w:ascii="Arial" w:hAnsi="Arial" w:cs="Arial"/>
                <w:highlight w:val="red"/>
              </w:rPr>
            </w:pPr>
            <w:r w:rsidRPr="0056232F">
              <w:rPr>
                <w:rFonts w:ascii="Arial" w:hAnsi="Arial" w:cs="Arial"/>
                <w:b/>
                <w:bCs/>
              </w:rPr>
              <w:t>(A)</w:t>
            </w:r>
            <w:r w:rsidRPr="0056232F">
              <w:rPr>
                <w:rFonts w:ascii="Arial" w:hAnsi="Arial" w:cs="Arial"/>
              </w:rPr>
              <w:t xml:space="preserve"> Representative bright-field images showing the establishment and three-dimensional morphology of patient-derived glioblastoma organoids (GBOs).</w:t>
            </w:r>
            <w:r w:rsidRPr="0056232F">
              <w:rPr>
                <w:rFonts w:ascii="Arial" w:hAnsi="Arial" w:cs="Arial"/>
              </w:rPr>
              <w:br/>
            </w:r>
            <w:r w:rsidRPr="0056232F">
              <w:rPr>
                <w:rFonts w:ascii="Arial" w:hAnsi="Arial" w:cs="Arial"/>
                <w:b/>
                <w:bCs/>
              </w:rPr>
              <w:t>(B)</w:t>
            </w:r>
            <w:r w:rsidRPr="0056232F">
              <w:rPr>
                <w:rFonts w:ascii="Arial" w:hAnsi="Arial" w:cs="Arial"/>
              </w:rPr>
              <w:t xml:space="preserve"> Representative H&amp;E staining of a parental glioblastoma specimen and the corresponding GBO showing preservation of major histological features.</w:t>
            </w:r>
            <w:r w:rsidRPr="0056232F">
              <w:rPr>
                <w:rFonts w:ascii="Arial" w:hAnsi="Arial" w:cs="Arial"/>
              </w:rPr>
              <w:br/>
            </w:r>
            <w:r w:rsidRPr="0056232F">
              <w:rPr>
                <w:rFonts w:ascii="Arial" w:hAnsi="Arial" w:cs="Arial"/>
                <w:b/>
                <w:bCs/>
              </w:rPr>
              <w:t>(C)</w:t>
            </w:r>
            <w:r w:rsidRPr="0056232F">
              <w:rPr>
                <w:rFonts w:ascii="Arial" w:hAnsi="Arial" w:cs="Arial"/>
              </w:rPr>
              <w:t xml:space="preserve"> Comparison of somatic alterations between the parental tumor and matched GBO. The mutation profiles show substantial conservation of genomic alterations during GBO establishment.</w:t>
            </w:r>
            <w:r w:rsidRPr="0056232F">
              <w:rPr>
                <w:rFonts w:ascii="Arial" w:hAnsi="Arial" w:cs="Arial"/>
              </w:rPr>
              <w:br/>
            </w:r>
            <w:r w:rsidRPr="0056232F">
              <w:rPr>
                <w:rFonts w:ascii="Arial" w:hAnsi="Arial" w:cs="Arial"/>
                <w:b/>
                <w:bCs/>
              </w:rPr>
              <w:t>(D)</w:t>
            </w:r>
            <w:r w:rsidRPr="0056232F">
              <w:rPr>
                <w:rFonts w:ascii="Arial" w:hAnsi="Arial" w:cs="Arial"/>
              </w:rPr>
              <w:t xml:space="preserve"> Representative immunofluorescence images of GBOs stained for IBA1 and KI67, NOTCH1 and SOX2, or Nestin, with DAPI counterstaining of nuclei. The staining demonstrates the presence of proliferating tumor cells, glioma-associated phenotypes, and retained IBA1</w:t>
            </w:r>
            <w:r w:rsidRPr="0056232F">
              <w:rPr>
                <w:rFonts w:ascii="Cambria Math" w:hAnsi="Cambria Math" w:cs="Cambria Math"/>
              </w:rPr>
              <w:t>⁺</w:t>
            </w:r>
            <w:r w:rsidRPr="0056232F">
              <w:rPr>
                <w:rFonts w:ascii="Arial" w:hAnsi="Arial" w:cs="Arial"/>
              </w:rPr>
              <w:t xml:space="preserve"> myeloid cells within the </w:t>
            </w:r>
            <w:r w:rsidRPr="0056232F">
              <w:rPr>
                <w:rFonts w:ascii="Arial" w:hAnsi="Arial" w:cs="Arial"/>
              </w:rPr>
              <w:lastRenderedPageBreak/>
              <w:t>GBOs.</w:t>
            </w:r>
          </w:p>
        </w:tc>
      </w:tr>
    </w:tbl>
    <w:p w14:paraId="6AAFFB14" w14:textId="77777777" w:rsidR="001E4417" w:rsidRDefault="001E4417">
      <w:pPr>
        <w:spacing w:before="120" w:after="120" w:line="312" w:lineRule="auto"/>
        <w:rPr>
          <w:rFonts w:ascii="Arial" w:hAnsi="Arial" w:cs="Arial"/>
          <w:highlight w:val="red"/>
        </w:rPr>
      </w:pPr>
    </w:p>
    <w:p w14:paraId="3E20B447" w14:textId="77777777" w:rsidR="00EF4B5E" w:rsidRDefault="00EF4B5E">
      <w:pPr>
        <w:widowControl/>
        <w:jc w:val="left"/>
        <w:rPr>
          <w:rFonts w:ascii="Arial" w:hAnsi="Arial" w:cs="Arial"/>
          <w:highlight w:val="red"/>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50582F" w14:paraId="1B3BAD1B" w14:textId="77777777" w:rsidTr="00A850EF">
        <w:tc>
          <w:tcPr>
            <w:tcW w:w="9736" w:type="dxa"/>
          </w:tcPr>
          <w:p w14:paraId="0B035E0C" w14:textId="69B1CA0D" w:rsidR="0050582F" w:rsidRDefault="0056232F" w:rsidP="006A3818">
            <w:pPr>
              <w:rPr>
                <w:rFonts w:ascii="Arial" w:hAnsi="Arial" w:cs="Arial"/>
                <w:highlight w:val="red"/>
              </w:rPr>
            </w:pPr>
            <w:r>
              <w:rPr>
                <w:rFonts w:ascii="Arial" w:hAnsi="Arial" w:cs="Arial"/>
                <w:noProof/>
                <w14:ligatures w14:val="none"/>
              </w:rPr>
              <w:drawing>
                <wp:inline distT="0" distB="0" distL="0" distR="0" wp14:anchorId="64A13CCC" wp14:editId="6E71FABA">
                  <wp:extent cx="5400000" cy="7632362"/>
                  <wp:effectExtent l="0" t="0" r="0" b="635"/>
                  <wp:docPr id="10329842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984236" name="图片 103298423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00" cy="7632362"/>
                          </a:xfrm>
                          <a:prstGeom prst="rect">
                            <a:avLst/>
                          </a:prstGeom>
                        </pic:spPr>
                      </pic:pic>
                    </a:graphicData>
                  </a:graphic>
                </wp:inline>
              </w:drawing>
            </w:r>
          </w:p>
        </w:tc>
      </w:tr>
      <w:tr w:rsidR="0050582F" w14:paraId="14716747" w14:textId="77777777" w:rsidTr="00A850EF">
        <w:tc>
          <w:tcPr>
            <w:tcW w:w="9736" w:type="dxa"/>
          </w:tcPr>
          <w:p w14:paraId="6BFCCF24" w14:textId="04571841" w:rsidR="0056232F" w:rsidRPr="0056232F" w:rsidRDefault="0056232F" w:rsidP="0056232F">
            <w:pPr>
              <w:rPr>
                <w:rFonts w:ascii="Arial" w:hAnsi="Arial" w:cs="Arial"/>
                <w:b/>
                <w:bCs/>
                <w:sz w:val="20"/>
                <w:szCs w:val="20"/>
              </w:rPr>
            </w:pPr>
            <w:r w:rsidRPr="0056232F">
              <w:rPr>
                <w:rFonts w:ascii="Arial" w:hAnsi="Arial" w:cs="Arial"/>
                <w:b/>
                <w:bCs/>
                <w:sz w:val="20"/>
                <w:szCs w:val="20"/>
              </w:rPr>
              <w:t>Figure S</w:t>
            </w:r>
            <w:r>
              <w:rPr>
                <w:rFonts w:ascii="Arial" w:hAnsi="Arial" w:cs="Arial" w:hint="eastAsia"/>
                <w:b/>
                <w:bCs/>
                <w:sz w:val="20"/>
                <w:szCs w:val="20"/>
              </w:rPr>
              <w:t>2</w:t>
            </w:r>
            <w:r w:rsidRPr="0056232F">
              <w:rPr>
                <w:rFonts w:ascii="Arial" w:hAnsi="Arial" w:cs="Arial"/>
                <w:b/>
                <w:bCs/>
                <w:sz w:val="20"/>
                <w:szCs w:val="20"/>
              </w:rPr>
              <w:t>. Supporting characterization of TTFields-induced microglial phenotypic and functional remodeling.</w:t>
            </w:r>
          </w:p>
          <w:p w14:paraId="6630B0D7" w14:textId="77777777" w:rsidR="0056232F" w:rsidRDefault="0056232F" w:rsidP="0056232F">
            <w:pPr>
              <w:rPr>
                <w:rFonts w:ascii="Arial" w:hAnsi="Arial" w:cs="Arial"/>
                <w:sz w:val="20"/>
                <w:szCs w:val="20"/>
              </w:rPr>
            </w:pPr>
            <w:r w:rsidRPr="0056232F">
              <w:rPr>
                <w:rFonts w:ascii="Arial" w:hAnsi="Arial" w:cs="Arial"/>
                <w:b/>
                <w:bCs/>
                <w:sz w:val="20"/>
                <w:szCs w:val="20"/>
              </w:rPr>
              <w:t xml:space="preserve">(A) </w:t>
            </w:r>
            <w:r w:rsidRPr="0056232F">
              <w:rPr>
                <w:rFonts w:ascii="Arial" w:hAnsi="Arial" w:cs="Arial"/>
                <w:sz w:val="20"/>
                <w:szCs w:val="20"/>
              </w:rPr>
              <w:t xml:space="preserve">Representative flow-cytometry gating strategy showing the unstained control, the CD11b-positive population in mixed glial cultures, and the purity of isolated primary microglia. </w:t>
            </w:r>
          </w:p>
          <w:p w14:paraId="3D456D8E" w14:textId="77777777" w:rsidR="0056232F" w:rsidRDefault="0056232F" w:rsidP="0056232F">
            <w:pPr>
              <w:rPr>
                <w:rFonts w:ascii="Arial" w:hAnsi="Arial" w:cs="Arial"/>
                <w:sz w:val="20"/>
                <w:szCs w:val="20"/>
              </w:rPr>
            </w:pPr>
            <w:r w:rsidRPr="0056232F">
              <w:rPr>
                <w:rFonts w:ascii="Arial" w:hAnsi="Arial" w:cs="Arial"/>
                <w:b/>
                <w:bCs/>
                <w:sz w:val="20"/>
                <w:szCs w:val="20"/>
              </w:rPr>
              <w:lastRenderedPageBreak/>
              <w:t xml:space="preserve">(B) </w:t>
            </w:r>
            <w:r w:rsidRPr="0056232F">
              <w:rPr>
                <w:rFonts w:ascii="Arial" w:hAnsi="Arial" w:cs="Arial"/>
                <w:sz w:val="20"/>
                <w:szCs w:val="20"/>
              </w:rPr>
              <w:t>Relative cell counts of control and TTFields-treated microglia, showing no significant treatment-associated reduction in cell number.</w:t>
            </w:r>
          </w:p>
          <w:p w14:paraId="20F3461E" w14:textId="0AC9DA3B" w:rsidR="0056232F" w:rsidRDefault="0056232F" w:rsidP="0056232F">
            <w:pPr>
              <w:rPr>
                <w:rFonts w:ascii="Arial" w:hAnsi="Arial" w:cs="Arial"/>
                <w:sz w:val="20"/>
                <w:szCs w:val="20"/>
              </w:rPr>
            </w:pPr>
            <w:r w:rsidRPr="0056232F">
              <w:rPr>
                <w:rFonts w:ascii="Arial" w:hAnsi="Arial" w:cs="Arial"/>
                <w:b/>
                <w:bCs/>
                <w:sz w:val="20"/>
                <w:szCs w:val="20"/>
              </w:rPr>
              <w:t>(C and D)</w:t>
            </w:r>
            <w:r w:rsidRPr="0056232F">
              <w:rPr>
                <w:rFonts w:ascii="Arial" w:hAnsi="Arial" w:cs="Arial"/>
                <w:sz w:val="20"/>
                <w:szCs w:val="20"/>
              </w:rPr>
              <w:t xml:space="preserve"> Representative low- and high-magnification bright-field images of BV2 cells (C) and primary mouse microglia (pMG; D) under control and TTFields conditions. Red arrows indicate cells exhibiting TTFields-associated morphological changes. </w:t>
            </w:r>
          </w:p>
          <w:p w14:paraId="504DBE93" w14:textId="77777777" w:rsidR="0056232F" w:rsidRDefault="0056232F" w:rsidP="0056232F">
            <w:pPr>
              <w:rPr>
                <w:rFonts w:ascii="Arial" w:hAnsi="Arial" w:cs="Arial"/>
                <w:sz w:val="20"/>
                <w:szCs w:val="20"/>
              </w:rPr>
            </w:pPr>
            <w:r w:rsidRPr="0056232F">
              <w:rPr>
                <w:rFonts w:ascii="Arial" w:hAnsi="Arial" w:cs="Arial"/>
                <w:b/>
                <w:bCs/>
                <w:sz w:val="20"/>
                <w:szCs w:val="20"/>
              </w:rPr>
              <w:t>(E)</w:t>
            </w:r>
            <w:r w:rsidRPr="0056232F">
              <w:rPr>
                <w:rFonts w:ascii="Arial" w:hAnsi="Arial" w:cs="Arial"/>
                <w:sz w:val="20"/>
                <w:szCs w:val="20"/>
              </w:rPr>
              <w:t xml:space="preserve"> Relative expression of </w:t>
            </w:r>
            <w:r w:rsidRPr="0056232F">
              <w:rPr>
                <w:rFonts w:ascii="Arial" w:hAnsi="Arial" w:cs="Arial"/>
                <w:i/>
                <w:iCs/>
                <w:sz w:val="20"/>
                <w:szCs w:val="20"/>
              </w:rPr>
              <w:t>Tnf</w:t>
            </w:r>
            <w:r w:rsidRPr="0056232F">
              <w:rPr>
                <w:rFonts w:ascii="Arial" w:hAnsi="Arial" w:cs="Arial"/>
                <w:sz w:val="20"/>
                <w:szCs w:val="20"/>
              </w:rPr>
              <w:t xml:space="preserve"> and </w:t>
            </w:r>
            <w:r w:rsidRPr="0056232F">
              <w:rPr>
                <w:rFonts w:ascii="Arial" w:hAnsi="Arial" w:cs="Arial"/>
                <w:i/>
                <w:iCs/>
                <w:sz w:val="20"/>
                <w:szCs w:val="20"/>
              </w:rPr>
              <w:t>Il6</w:t>
            </w:r>
            <w:r w:rsidRPr="0056232F">
              <w:rPr>
                <w:rFonts w:ascii="Arial" w:hAnsi="Arial" w:cs="Arial"/>
                <w:sz w:val="20"/>
                <w:szCs w:val="20"/>
              </w:rPr>
              <w:t xml:space="preserve"> in pMG and BV2 cells following TTFields exposure, as determined by qRT–PCR. </w:t>
            </w:r>
          </w:p>
          <w:p w14:paraId="04306D11" w14:textId="77777777" w:rsidR="0056232F" w:rsidRDefault="0056232F" w:rsidP="0056232F">
            <w:pPr>
              <w:rPr>
                <w:rFonts w:ascii="Arial" w:hAnsi="Arial" w:cs="Arial"/>
                <w:sz w:val="20"/>
                <w:szCs w:val="20"/>
              </w:rPr>
            </w:pPr>
            <w:r w:rsidRPr="0056232F">
              <w:rPr>
                <w:rFonts w:ascii="Arial" w:hAnsi="Arial" w:cs="Arial"/>
                <w:b/>
                <w:bCs/>
                <w:sz w:val="20"/>
                <w:szCs w:val="20"/>
              </w:rPr>
              <w:t xml:space="preserve">(F) </w:t>
            </w:r>
            <w:r w:rsidRPr="0056232F">
              <w:rPr>
                <w:rFonts w:ascii="Arial" w:hAnsi="Arial" w:cs="Arial"/>
                <w:sz w:val="20"/>
                <w:szCs w:val="20"/>
              </w:rPr>
              <w:t xml:space="preserve">Expression of </w:t>
            </w:r>
            <w:r w:rsidRPr="0056232F">
              <w:rPr>
                <w:rFonts w:ascii="Arial" w:hAnsi="Arial" w:cs="Arial"/>
                <w:i/>
                <w:iCs/>
                <w:sz w:val="20"/>
                <w:szCs w:val="20"/>
              </w:rPr>
              <w:t>Il1b</w:t>
            </w:r>
            <w:r w:rsidRPr="0056232F">
              <w:rPr>
                <w:rFonts w:ascii="Arial" w:hAnsi="Arial" w:cs="Arial"/>
                <w:sz w:val="20"/>
                <w:szCs w:val="20"/>
              </w:rPr>
              <w:t xml:space="preserve">, </w:t>
            </w:r>
            <w:r w:rsidRPr="0056232F">
              <w:rPr>
                <w:rFonts w:ascii="Arial" w:hAnsi="Arial" w:cs="Arial"/>
                <w:i/>
                <w:iCs/>
                <w:sz w:val="20"/>
                <w:szCs w:val="20"/>
              </w:rPr>
              <w:t>Cd86</w:t>
            </w:r>
            <w:r w:rsidRPr="0056232F">
              <w:rPr>
                <w:rFonts w:ascii="Arial" w:hAnsi="Arial" w:cs="Arial"/>
                <w:sz w:val="20"/>
                <w:szCs w:val="20"/>
              </w:rPr>
              <w:t xml:space="preserve">, </w:t>
            </w:r>
            <w:r w:rsidRPr="0056232F">
              <w:rPr>
                <w:rFonts w:ascii="Arial" w:hAnsi="Arial" w:cs="Arial"/>
                <w:i/>
                <w:iCs/>
                <w:sz w:val="20"/>
                <w:szCs w:val="20"/>
              </w:rPr>
              <w:t>Tnf</w:t>
            </w:r>
            <w:r w:rsidRPr="0056232F">
              <w:rPr>
                <w:rFonts w:ascii="Arial" w:hAnsi="Arial" w:cs="Arial"/>
                <w:sz w:val="20"/>
                <w:szCs w:val="20"/>
              </w:rPr>
              <w:t xml:space="preserve">, </w:t>
            </w:r>
            <w:r w:rsidRPr="0056232F">
              <w:rPr>
                <w:rFonts w:ascii="Arial" w:hAnsi="Arial" w:cs="Arial"/>
                <w:i/>
                <w:iCs/>
                <w:sz w:val="20"/>
                <w:szCs w:val="20"/>
              </w:rPr>
              <w:t>Il6</w:t>
            </w:r>
            <w:r w:rsidRPr="0056232F">
              <w:rPr>
                <w:rFonts w:ascii="Arial" w:hAnsi="Arial" w:cs="Arial"/>
                <w:sz w:val="20"/>
                <w:szCs w:val="20"/>
              </w:rPr>
              <w:t xml:space="preserve">, and </w:t>
            </w:r>
            <w:r w:rsidRPr="0056232F">
              <w:rPr>
                <w:rFonts w:ascii="Arial" w:hAnsi="Arial" w:cs="Arial"/>
                <w:i/>
                <w:iCs/>
                <w:sz w:val="20"/>
                <w:szCs w:val="20"/>
              </w:rPr>
              <w:t>Nos2</w:t>
            </w:r>
            <w:r w:rsidRPr="0056232F">
              <w:rPr>
                <w:rFonts w:ascii="Arial" w:hAnsi="Arial" w:cs="Arial"/>
                <w:sz w:val="20"/>
                <w:szCs w:val="20"/>
              </w:rPr>
              <w:t xml:space="preserve"> in BV2 cells under control, LPS, and TTFields conditions. LPS treatment was included as an inflammatory reference condition.</w:t>
            </w:r>
          </w:p>
          <w:p w14:paraId="1138A5FB" w14:textId="77777777" w:rsidR="0056232F" w:rsidRDefault="0056232F" w:rsidP="0056232F">
            <w:pPr>
              <w:rPr>
                <w:rFonts w:ascii="Arial" w:hAnsi="Arial" w:cs="Arial"/>
                <w:sz w:val="20"/>
                <w:szCs w:val="20"/>
              </w:rPr>
            </w:pPr>
            <w:r w:rsidRPr="0056232F">
              <w:rPr>
                <w:rFonts w:ascii="Arial" w:hAnsi="Arial" w:cs="Arial"/>
                <w:b/>
                <w:bCs/>
                <w:sz w:val="20"/>
                <w:szCs w:val="20"/>
              </w:rPr>
              <w:t xml:space="preserve">(G and H) </w:t>
            </w:r>
            <w:r w:rsidRPr="0056232F">
              <w:rPr>
                <w:rFonts w:ascii="Arial" w:hAnsi="Arial" w:cs="Arial"/>
                <w:sz w:val="20"/>
                <w:szCs w:val="20"/>
              </w:rPr>
              <w:t xml:space="preserve">Representative flow-cytometry histograms and paired quantification of normalized MFI for total surface MHC-I expression in BV2 cells (G) and pMG (H). Blue and red curves indicate control and TTFields-treated cells, respectively. </w:t>
            </w:r>
          </w:p>
          <w:p w14:paraId="5CA38300" w14:textId="73DA1A87" w:rsidR="0056232F" w:rsidRPr="0056232F" w:rsidRDefault="0056232F" w:rsidP="0056232F">
            <w:pPr>
              <w:rPr>
                <w:rFonts w:ascii="Arial" w:hAnsi="Arial" w:cs="Arial"/>
                <w:sz w:val="20"/>
                <w:szCs w:val="20"/>
              </w:rPr>
            </w:pPr>
            <w:r w:rsidRPr="0056232F">
              <w:rPr>
                <w:rFonts w:ascii="Arial" w:hAnsi="Arial" w:cs="Arial"/>
                <w:b/>
                <w:bCs/>
                <w:sz w:val="20"/>
                <w:szCs w:val="20"/>
              </w:rPr>
              <w:t xml:space="preserve">(I) </w:t>
            </w:r>
            <w:r w:rsidRPr="0056232F">
              <w:rPr>
                <w:rFonts w:ascii="Arial" w:hAnsi="Arial" w:cs="Arial"/>
                <w:sz w:val="20"/>
                <w:szCs w:val="20"/>
              </w:rPr>
              <w:t>Representative fluorescence images of bead uptake by BV2 cells under control and TTFields conditions. Nuclei and fluorescent beads are shown in blue and green, respectively, and bead uptake was quantified relative to the control group.</w:t>
            </w:r>
          </w:p>
          <w:p w14:paraId="07E578A3" w14:textId="77777777" w:rsidR="0056232F" w:rsidRPr="0056232F" w:rsidRDefault="0056232F" w:rsidP="0056232F">
            <w:pPr>
              <w:rPr>
                <w:rFonts w:ascii="Arial" w:hAnsi="Arial" w:cs="Arial"/>
                <w:sz w:val="20"/>
                <w:szCs w:val="20"/>
              </w:rPr>
            </w:pPr>
            <w:r w:rsidRPr="0056232F">
              <w:rPr>
                <w:rFonts w:ascii="Arial" w:hAnsi="Arial" w:cs="Arial"/>
                <w:sz w:val="20"/>
                <w:szCs w:val="20"/>
              </w:rPr>
              <w:t>Data are presented as mean ± SEM. Individual points represent independent biological replicates; microscopy measurements were averaged across multiple fields within each experiment before statistical analysis. Two-group unpaired comparisons were analyzed using two-tailed unpaired Student’s t-tests, paired flow-cytometry measurements using two-tailed paired Student’s t-tests, and three-group comparisons using one-way ANOVA followed by Dunnett’s multiple-comparisons test. Exact P values are shown in the figure; ns, not significant. Scale bars are indicated in the corresponding images.</w:t>
            </w:r>
          </w:p>
          <w:p w14:paraId="6F330C72" w14:textId="764C6648" w:rsidR="0050582F" w:rsidRDefault="0050582F" w:rsidP="004B57D9">
            <w:pPr>
              <w:rPr>
                <w:rFonts w:ascii="Arial" w:hAnsi="Arial" w:cs="Arial"/>
                <w:highlight w:val="red"/>
              </w:rPr>
            </w:pPr>
          </w:p>
        </w:tc>
      </w:tr>
    </w:tbl>
    <w:p w14:paraId="1CDF4A52" w14:textId="77777777" w:rsidR="00EF4B5E" w:rsidRDefault="00EF4B5E">
      <w:pPr>
        <w:widowControl/>
        <w:jc w:val="left"/>
        <w:rPr>
          <w:rFonts w:ascii="Arial" w:hAnsi="Arial" w:cs="Arial"/>
          <w:highlight w:val="red"/>
        </w:rPr>
      </w:pPr>
    </w:p>
    <w:p w14:paraId="0EAB7E26" w14:textId="77777777" w:rsidR="00EF4B5E" w:rsidRDefault="00EF4B5E">
      <w:pPr>
        <w:widowControl/>
        <w:jc w:val="left"/>
        <w:rPr>
          <w:rFonts w:ascii="Arial" w:hAnsi="Arial" w:cs="Arial"/>
          <w:highlight w:val="red"/>
        </w:rPr>
      </w:pPr>
    </w:p>
    <w:p w14:paraId="330C4DBF" w14:textId="77777777" w:rsidR="00EF4B5E" w:rsidRDefault="00EF4B5E">
      <w:pPr>
        <w:widowControl/>
        <w:jc w:val="left"/>
        <w:rPr>
          <w:rFonts w:ascii="Arial" w:hAnsi="Arial" w:cs="Arial"/>
          <w:highlight w:val="red"/>
        </w:rPr>
      </w:pPr>
    </w:p>
    <w:p w14:paraId="3DCA438E" w14:textId="77777777" w:rsidR="00EF4B5E" w:rsidRDefault="00EF4B5E">
      <w:pPr>
        <w:widowControl/>
        <w:jc w:val="left"/>
        <w:rPr>
          <w:rFonts w:ascii="Arial" w:hAnsi="Arial" w:cs="Arial"/>
          <w:highlight w:val="red"/>
        </w:rPr>
      </w:pPr>
    </w:p>
    <w:p w14:paraId="457E0DF4" w14:textId="77777777" w:rsidR="00EF4B5E" w:rsidRDefault="00EF4B5E">
      <w:pPr>
        <w:widowControl/>
        <w:jc w:val="left"/>
        <w:rPr>
          <w:rFonts w:ascii="Arial" w:hAnsi="Arial" w:cs="Arial"/>
          <w:highlight w:val="red"/>
        </w:rPr>
      </w:pPr>
    </w:p>
    <w:p w14:paraId="11337E17" w14:textId="77777777" w:rsidR="00EF4B5E" w:rsidRDefault="00EF4B5E">
      <w:pPr>
        <w:widowControl/>
        <w:jc w:val="left"/>
        <w:rPr>
          <w:rFonts w:ascii="Arial" w:hAnsi="Arial" w:cs="Arial"/>
          <w:highlight w:val="red"/>
        </w:rPr>
      </w:pPr>
    </w:p>
    <w:p w14:paraId="7FB664C7" w14:textId="77777777" w:rsidR="00EF4B5E" w:rsidRDefault="00EF4B5E">
      <w:pPr>
        <w:widowControl/>
        <w:jc w:val="left"/>
        <w:rPr>
          <w:rFonts w:ascii="Arial" w:hAnsi="Arial" w:cs="Arial"/>
          <w:highlight w:val="red"/>
        </w:rPr>
      </w:pPr>
    </w:p>
    <w:p w14:paraId="3697B170" w14:textId="77777777" w:rsidR="00EF4B5E" w:rsidRDefault="00EF4B5E">
      <w:pPr>
        <w:widowControl/>
        <w:jc w:val="left"/>
        <w:rPr>
          <w:rFonts w:ascii="Arial" w:hAnsi="Arial" w:cs="Arial"/>
          <w:highlight w:val="red"/>
        </w:rPr>
      </w:pPr>
    </w:p>
    <w:p w14:paraId="3277E435" w14:textId="77777777" w:rsidR="00EF4B5E" w:rsidRDefault="00EF4B5E">
      <w:pPr>
        <w:widowControl/>
        <w:jc w:val="left"/>
        <w:rPr>
          <w:rFonts w:ascii="Arial" w:hAnsi="Arial" w:cs="Arial"/>
          <w:highlight w:val="red"/>
        </w:rPr>
      </w:pPr>
    </w:p>
    <w:p w14:paraId="08FE573E" w14:textId="77777777" w:rsidR="001E4417" w:rsidRDefault="001E4417">
      <w:pPr>
        <w:widowControl/>
        <w:jc w:val="left"/>
        <w:rPr>
          <w:rFonts w:ascii="Arial" w:hAnsi="Arial" w:cs="Arial"/>
          <w:highlight w:val="red"/>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1E4417" w14:paraId="19530B30" w14:textId="77777777" w:rsidTr="00E5740C">
        <w:tc>
          <w:tcPr>
            <w:tcW w:w="9736" w:type="dxa"/>
          </w:tcPr>
          <w:p w14:paraId="674D3E11" w14:textId="6E28F6E1" w:rsidR="001E4417" w:rsidRDefault="0056232F" w:rsidP="00520BC1">
            <w:pPr>
              <w:rPr>
                <w:rFonts w:ascii="Arial" w:hAnsi="Arial" w:cs="Arial"/>
                <w:highlight w:val="red"/>
              </w:rPr>
            </w:pPr>
            <w:r>
              <w:rPr>
                <w:rFonts w:ascii="Arial" w:hAnsi="Arial" w:cs="Arial"/>
                <w:noProof/>
                <w14:ligatures w14:val="none"/>
              </w:rPr>
              <w:lastRenderedPageBreak/>
              <w:drawing>
                <wp:inline distT="0" distB="0" distL="0" distR="0" wp14:anchorId="3493F56C" wp14:editId="7E29EA90">
                  <wp:extent cx="5399405" cy="5642919"/>
                  <wp:effectExtent l="0" t="0" r="0" b="0"/>
                  <wp:docPr id="7422932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293279" name="图片 742293279"/>
                          <pic:cNvPicPr/>
                        </pic:nvPicPr>
                        <pic:blipFill rotWithShape="1">
                          <a:blip r:embed="rId9" cstate="print">
                            <a:extLst>
                              <a:ext uri="{28A0092B-C50C-407E-A947-70E740481C1C}">
                                <a14:useLocalDpi xmlns:a14="http://schemas.microsoft.com/office/drawing/2010/main" val="0"/>
                              </a:ext>
                            </a:extLst>
                          </a:blip>
                          <a:srcRect b="26058"/>
                          <a:stretch/>
                        </pic:blipFill>
                        <pic:spPr bwMode="auto">
                          <a:xfrm>
                            <a:off x="0" y="0"/>
                            <a:ext cx="5400000" cy="5643541"/>
                          </a:xfrm>
                          <a:prstGeom prst="rect">
                            <a:avLst/>
                          </a:prstGeom>
                          <a:ln>
                            <a:noFill/>
                          </a:ln>
                          <a:extLst>
                            <a:ext uri="{53640926-AAD7-44D8-BBD7-CCE9431645EC}">
                              <a14:shadowObscured xmlns:a14="http://schemas.microsoft.com/office/drawing/2010/main"/>
                            </a:ext>
                          </a:extLst>
                        </pic:spPr>
                      </pic:pic>
                    </a:graphicData>
                  </a:graphic>
                </wp:inline>
              </w:drawing>
            </w:r>
          </w:p>
        </w:tc>
      </w:tr>
      <w:tr w:rsidR="001E4417" w14:paraId="18163867" w14:textId="77777777" w:rsidTr="00E5740C">
        <w:tc>
          <w:tcPr>
            <w:tcW w:w="9736" w:type="dxa"/>
          </w:tcPr>
          <w:p w14:paraId="19D4F526" w14:textId="68FCD789" w:rsidR="0056232F" w:rsidRPr="0056232F" w:rsidRDefault="0056232F" w:rsidP="0056232F">
            <w:pPr>
              <w:rPr>
                <w:rFonts w:ascii="Arial" w:hAnsi="Arial" w:cs="Arial"/>
                <w:b/>
                <w:bCs/>
                <w:sz w:val="20"/>
                <w:szCs w:val="20"/>
              </w:rPr>
            </w:pPr>
            <w:r w:rsidRPr="0056232F">
              <w:rPr>
                <w:rFonts w:ascii="Arial" w:hAnsi="Arial" w:cs="Arial"/>
                <w:b/>
                <w:bCs/>
                <w:sz w:val="20"/>
                <w:szCs w:val="20"/>
              </w:rPr>
              <w:t>Figure S</w:t>
            </w:r>
            <w:r>
              <w:rPr>
                <w:rFonts w:ascii="Arial" w:hAnsi="Arial" w:cs="Arial" w:hint="eastAsia"/>
                <w:b/>
                <w:bCs/>
                <w:sz w:val="20"/>
                <w:szCs w:val="20"/>
              </w:rPr>
              <w:t>3</w:t>
            </w:r>
            <w:r w:rsidRPr="0056232F">
              <w:rPr>
                <w:rFonts w:ascii="Arial" w:hAnsi="Arial" w:cs="Arial"/>
                <w:b/>
                <w:bCs/>
                <w:sz w:val="20"/>
                <w:szCs w:val="20"/>
              </w:rPr>
              <w:t>. Extended transcriptomic characterization of TTFields-treated BV2 cells and primary microglia.</w:t>
            </w:r>
          </w:p>
          <w:p w14:paraId="6ED5C83A" w14:textId="77777777" w:rsidR="0056232F" w:rsidRDefault="0056232F" w:rsidP="0056232F">
            <w:pPr>
              <w:rPr>
                <w:rFonts w:ascii="Arial" w:hAnsi="Arial" w:cs="Arial"/>
                <w:sz w:val="20"/>
                <w:szCs w:val="20"/>
              </w:rPr>
            </w:pPr>
            <w:r w:rsidRPr="0056232F">
              <w:rPr>
                <w:rFonts w:ascii="Arial" w:hAnsi="Arial" w:cs="Arial"/>
                <w:b/>
                <w:bCs/>
                <w:sz w:val="20"/>
                <w:szCs w:val="20"/>
              </w:rPr>
              <w:t xml:space="preserve">(A) </w:t>
            </w:r>
            <w:r w:rsidRPr="0056232F">
              <w:rPr>
                <w:rFonts w:ascii="Arial" w:hAnsi="Arial" w:cs="Arial"/>
                <w:sz w:val="20"/>
                <w:szCs w:val="20"/>
              </w:rPr>
              <w:t xml:space="preserve">Principal-component analysis of RNA-sequencing samples based on log2-transformed counts per million [log2(CPM + 0.5)] for BV2 cells and primary mouse microglia. Circles and triangles indicate control and TTFields-treated samples, respectively; open symbols denote samples from the indicated sequencing batch. The percentages of variance explained by the first two principal components are shown on the axes. </w:t>
            </w:r>
          </w:p>
          <w:p w14:paraId="3A901D52" w14:textId="77777777" w:rsidR="0056232F" w:rsidRDefault="0056232F" w:rsidP="0056232F">
            <w:pPr>
              <w:rPr>
                <w:rFonts w:ascii="Arial" w:hAnsi="Arial" w:cs="Arial"/>
                <w:sz w:val="20"/>
                <w:szCs w:val="20"/>
              </w:rPr>
            </w:pPr>
            <w:r w:rsidRPr="0056232F">
              <w:rPr>
                <w:rFonts w:ascii="Arial" w:hAnsi="Arial" w:cs="Arial"/>
                <w:b/>
                <w:bCs/>
                <w:sz w:val="20"/>
                <w:szCs w:val="20"/>
              </w:rPr>
              <w:t>(B)</w:t>
            </w:r>
            <w:r w:rsidRPr="0056232F">
              <w:rPr>
                <w:rFonts w:ascii="Arial" w:hAnsi="Arial" w:cs="Arial"/>
                <w:sz w:val="20"/>
                <w:szCs w:val="20"/>
              </w:rPr>
              <w:t xml:space="preserve"> KEGG pathways negatively enriched in TTFields-treated BV2 cells. </w:t>
            </w:r>
          </w:p>
          <w:p w14:paraId="31A9926E" w14:textId="77777777" w:rsidR="0056232F" w:rsidRDefault="0056232F" w:rsidP="0056232F">
            <w:pPr>
              <w:rPr>
                <w:rFonts w:ascii="Arial" w:hAnsi="Arial" w:cs="Arial"/>
                <w:sz w:val="20"/>
                <w:szCs w:val="20"/>
              </w:rPr>
            </w:pPr>
            <w:r w:rsidRPr="0056232F">
              <w:rPr>
                <w:rFonts w:ascii="Arial" w:hAnsi="Arial" w:cs="Arial"/>
                <w:b/>
                <w:bCs/>
                <w:sz w:val="20"/>
                <w:szCs w:val="20"/>
              </w:rPr>
              <w:t>(C)</w:t>
            </w:r>
            <w:r w:rsidRPr="0056232F">
              <w:rPr>
                <w:rFonts w:ascii="Arial" w:hAnsi="Arial" w:cs="Arial"/>
                <w:sz w:val="20"/>
                <w:szCs w:val="20"/>
              </w:rPr>
              <w:t xml:space="preserve"> Gene Ontology biological processes negatively enriched in TTFields-treated BV2 cells. </w:t>
            </w:r>
          </w:p>
          <w:p w14:paraId="69B00C0D" w14:textId="77777777" w:rsidR="0056232F" w:rsidRDefault="0056232F" w:rsidP="0056232F">
            <w:pPr>
              <w:rPr>
                <w:rFonts w:ascii="Arial" w:hAnsi="Arial" w:cs="Arial"/>
                <w:sz w:val="20"/>
                <w:szCs w:val="20"/>
              </w:rPr>
            </w:pPr>
            <w:r w:rsidRPr="0056232F">
              <w:rPr>
                <w:rFonts w:ascii="Arial" w:hAnsi="Arial" w:cs="Arial"/>
                <w:b/>
                <w:bCs/>
                <w:sz w:val="20"/>
                <w:szCs w:val="20"/>
              </w:rPr>
              <w:t xml:space="preserve">(D) </w:t>
            </w:r>
            <w:r w:rsidRPr="0056232F">
              <w:rPr>
                <w:rFonts w:ascii="Arial" w:hAnsi="Arial" w:cs="Arial"/>
                <w:sz w:val="20"/>
                <w:szCs w:val="20"/>
              </w:rPr>
              <w:t>Gene Ontology biological processes positively enriched in TTFields-treated BV2 cells.</w:t>
            </w:r>
          </w:p>
          <w:p w14:paraId="157F8E6D" w14:textId="77777777" w:rsidR="0056232F" w:rsidRDefault="0056232F" w:rsidP="0056232F">
            <w:pPr>
              <w:rPr>
                <w:rFonts w:ascii="Arial" w:hAnsi="Arial" w:cs="Arial"/>
                <w:sz w:val="20"/>
                <w:szCs w:val="20"/>
              </w:rPr>
            </w:pPr>
            <w:r w:rsidRPr="0056232F">
              <w:rPr>
                <w:rFonts w:ascii="Arial" w:hAnsi="Arial" w:cs="Arial"/>
                <w:b/>
                <w:bCs/>
                <w:sz w:val="20"/>
                <w:szCs w:val="20"/>
              </w:rPr>
              <w:t xml:space="preserve">(E) </w:t>
            </w:r>
            <w:r w:rsidRPr="0056232F">
              <w:rPr>
                <w:rFonts w:ascii="Arial" w:hAnsi="Arial" w:cs="Arial"/>
                <w:sz w:val="20"/>
                <w:szCs w:val="20"/>
              </w:rPr>
              <w:t>KEGG pathways negatively enriched in TTFields-treated primary microglia. For panels B–E, normalized enrichment scores were calculated by gene-set enrichment analysis; dot size represents gene-set size, and color represents −log10(FDR).</w:t>
            </w:r>
          </w:p>
          <w:p w14:paraId="19CD7D4A" w14:textId="6CBDEBD1" w:rsidR="0056232F" w:rsidRPr="0056232F" w:rsidRDefault="0056232F" w:rsidP="0056232F">
            <w:pPr>
              <w:rPr>
                <w:rFonts w:ascii="Arial" w:hAnsi="Arial" w:cs="Arial"/>
                <w:sz w:val="20"/>
                <w:szCs w:val="20"/>
              </w:rPr>
            </w:pPr>
            <w:r w:rsidRPr="0056232F">
              <w:rPr>
                <w:rFonts w:ascii="Arial" w:hAnsi="Arial" w:cs="Arial"/>
                <w:b/>
                <w:bCs/>
                <w:sz w:val="20"/>
                <w:szCs w:val="20"/>
              </w:rPr>
              <w:t xml:space="preserve">(F) </w:t>
            </w:r>
            <w:r w:rsidRPr="0056232F">
              <w:rPr>
                <w:rFonts w:ascii="Arial" w:hAnsi="Arial" w:cs="Arial"/>
                <w:sz w:val="20"/>
                <w:szCs w:val="20"/>
              </w:rPr>
              <w:t>Gene Ontology over-representation analysis of genes upregulated by TTFields in primary microglia. Dot size represents gene count, and color represents −log10(FDR).</w:t>
            </w:r>
          </w:p>
          <w:p w14:paraId="7B4C3920" w14:textId="77777777" w:rsidR="0056232F" w:rsidRPr="0056232F" w:rsidRDefault="0056232F" w:rsidP="0056232F">
            <w:pPr>
              <w:rPr>
                <w:rFonts w:ascii="Arial" w:hAnsi="Arial" w:cs="Arial"/>
                <w:sz w:val="20"/>
                <w:szCs w:val="20"/>
              </w:rPr>
            </w:pPr>
            <w:r w:rsidRPr="0056232F">
              <w:rPr>
                <w:rFonts w:ascii="Arial" w:hAnsi="Arial" w:cs="Arial"/>
                <w:sz w:val="20"/>
                <w:szCs w:val="20"/>
              </w:rPr>
              <w:t xml:space="preserve">Enrichment significance was assessed using Benjamini–Hochberg-adjusted FDR values. Positive and </w:t>
            </w:r>
            <w:r w:rsidRPr="0056232F">
              <w:rPr>
                <w:rFonts w:ascii="Arial" w:hAnsi="Arial" w:cs="Arial"/>
                <w:sz w:val="20"/>
                <w:szCs w:val="20"/>
              </w:rPr>
              <w:lastRenderedPageBreak/>
              <w:t>negative normalized enrichment scores indicate enrichment toward the TTFields and control ends of the ranked gene list, respectively.</w:t>
            </w:r>
          </w:p>
          <w:p w14:paraId="72ADFED5" w14:textId="02C9FBFE" w:rsidR="001E4417" w:rsidRPr="0056232F" w:rsidRDefault="001E4417" w:rsidP="00520BC1">
            <w:pPr>
              <w:rPr>
                <w:rFonts w:ascii="Arial" w:hAnsi="Arial" w:cs="Arial"/>
                <w:highlight w:val="red"/>
              </w:rPr>
            </w:pPr>
          </w:p>
        </w:tc>
      </w:tr>
    </w:tbl>
    <w:p w14:paraId="2C590DE6" w14:textId="77777777" w:rsidR="001E4417" w:rsidRDefault="001E4417">
      <w:pPr>
        <w:spacing w:before="120" w:after="120" w:line="312" w:lineRule="auto"/>
        <w:rPr>
          <w:rFonts w:ascii="Arial" w:hAnsi="Arial" w:cs="Arial"/>
          <w:highlight w:val="red"/>
        </w:rPr>
      </w:pPr>
    </w:p>
    <w:p w14:paraId="4B3E55E5" w14:textId="77777777" w:rsidR="001E4417" w:rsidRDefault="001E4417">
      <w:pPr>
        <w:spacing w:before="120" w:after="120" w:line="312" w:lineRule="auto"/>
        <w:rPr>
          <w:rFonts w:ascii="Arial" w:hAnsi="Arial" w:cs="Arial"/>
          <w:highlight w:val="red"/>
        </w:rPr>
      </w:pPr>
    </w:p>
    <w:p w14:paraId="47C311B5" w14:textId="77777777" w:rsidR="001E4417" w:rsidRDefault="001E4417" w:rsidP="00EF4B5E">
      <w:pPr>
        <w:rPr>
          <w:rFonts w:ascii="Arial" w:hAnsi="Arial" w:cs="Arial"/>
          <w:highlight w:val="red"/>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1E4417" w14:paraId="6CBB2E35" w14:textId="77777777" w:rsidTr="00EF4B5E">
        <w:tc>
          <w:tcPr>
            <w:tcW w:w="9736" w:type="dxa"/>
          </w:tcPr>
          <w:p w14:paraId="05DC3A74" w14:textId="77777777" w:rsidR="001E4417" w:rsidRDefault="00000000" w:rsidP="000F4F2C">
            <w:pPr>
              <w:jc w:val="center"/>
              <w:rPr>
                <w:rFonts w:ascii="Arial" w:hAnsi="Arial" w:cs="Arial"/>
                <w:highlight w:val="red"/>
              </w:rPr>
            </w:pPr>
            <w:r>
              <w:rPr>
                <w:rFonts w:ascii="Arial" w:hAnsi="Arial" w:cs="Arial"/>
                <w:noProof/>
                <w14:ligatures w14:val="none"/>
              </w:rPr>
              <w:lastRenderedPageBreak/>
              <w:drawing>
                <wp:inline distT="0" distB="0" distL="0" distR="0" wp14:anchorId="2A8D920D" wp14:editId="3FC18577">
                  <wp:extent cx="5400000" cy="7632606"/>
                  <wp:effectExtent l="0" t="0" r="0" b="635"/>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00" cy="7632606"/>
                          </a:xfrm>
                          <a:prstGeom prst="rect">
                            <a:avLst/>
                          </a:prstGeom>
                        </pic:spPr>
                      </pic:pic>
                    </a:graphicData>
                  </a:graphic>
                </wp:inline>
              </w:drawing>
            </w:r>
          </w:p>
        </w:tc>
      </w:tr>
      <w:tr w:rsidR="001E4417" w14:paraId="70E7A099" w14:textId="77777777" w:rsidTr="00EF4B5E">
        <w:tc>
          <w:tcPr>
            <w:tcW w:w="9736" w:type="dxa"/>
          </w:tcPr>
          <w:p w14:paraId="5192CC0F" w14:textId="626648F2" w:rsidR="0056232F" w:rsidRPr="0056232F" w:rsidRDefault="0056232F" w:rsidP="0056232F">
            <w:pPr>
              <w:spacing w:before="120"/>
              <w:rPr>
                <w:rFonts w:ascii="Arial" w:hAnsi="Arial" w:cs="Arial"/>
                <w:b/>
                <w:bCs/>
                <w:sz w:val="20"/>
                <w:szCs w:val="20"/>
              </w:rPr>
            </w:pPr>
            <w:r w:rsidRPr="0056232F">
              <w:rPr>
                <w:rFonts w:ascii="Arial" w:hAnsi="Arial" w:cs="Arial"/>
                <w:b/>
                <w:bCs/>
                <w:sz w:val="20"/>
                <w:szCs w:val="20"/>
              </w:rPr>
              <w:t>Figure S</w:t>
            </w:r>
            <w:r>
              <w:rPr>
                <w:rFonts w:ascii="Arial" w:hAnsi="Arial" w:cs="Arial" w:hint="eastAsia"/>
                <w:b/>
                <w:bCs/>
                <w:sz w:val="20"/>
                <w:szCs w:val="20"/>
              </w:rPr>
              <w:t>4</w:t>
            </w:r>
            <w:r w:rsidRPr="0056232F">
              <w:rPr>
                <w:rFonts w:ascii="Arial" w:hAnsi="Arial" w:cs="Arial"/>
                <w:b/>
                <w:bCs/>
                <w:sz w:val="20"/>
                <w:szCs w:val="20"/>
              </w:rPr>
              <w:t>. Biological-replicate distributions of cytokine changes induced by TTFields in primary microglia and GBO-derived myeloid cells.</w:t>
            </w:r>
          </w:p>
          <w:p w14:paraId="5A9D3F82" w14:textId="77777777" w:rsidR="0056232F" w:rsidRDefault="0056232F" w:rsidP="0056232F">
            <w:pPr>
              <w:spacing w:before="120"/>
              <w:rPr>
                <w:rFonts w:ascii="Arial" w:hAnsi="Arial" w:cs="Arial"/>
                <w:sz w:val="20"/>
                <w:szCs w:val="20"/>
              </w:rPr>
            </w:pPr>
            <w:r w:rsidRPr="0056232F">
              <w:rPr>
                <w:rFonts w:ascii="Arial" w:hAnsi="Arial" w:cs="Arial"/>
                <w:b/>
                <w:bCs/>
                <w:sz w:val="20"/>
                <w:szCs w:val="20"/>
              </w:rPr>
              <w:t xml:space="preserve">(A) </w:t>
            </w:r>
            <w:r w:rsidRPr="0056232F">
              <w:rPr>
                <w:rFonts w:ascii="Arial" w:hAnsi="Arial" w:cs="Arial"/>
                <w:sz w:val="20"/>
                <w:szCs w:val="20"/>
              </w:rPr>
              <w:t xml:space="preserve">Concentrations of selected cytokines in conditioned medium collected from control and TTFields-treated primary mouse microglia (pMG; n = 3 biological replicates per condition). Displayed analytes include CCL22, </w:t>
            </w:r>
            <w:r w:rsidRPr="0056232F">
              <w:rPr>
                <w:rFonts w:ascii="Arial" w:hAnsi="Arial" w:cs="Arial"/>
                <w:sz w:val="20"/>
                <w:szCs w:val="20"/>
              </w:rPr>
              <w:lastRenderedPageBreak/>
              <w:t xml:space="preserve">CCL12, CCL19, CCL7, CCL24, TNF-α, IL-1β, CCL20, CXCL12, CXCL10, CXCL11, and IL-6. </w:t>
            </w:r>
          </w:p>
          <w:p w14:paraId="07AB2E53" w14:textId="407B70A5" w:rsidR="0056232F" w:rsidRPr="0056232F" w:rsidRDefault="0056232F" w:rsidP="0056232F">
            <w:pPr>
              <w:spacing w:before="120"/>
              <w:rPr>
                <w:rFonts w:ascii="Arial" w:hAnsi="Arial" w:cs="Arial"/>
                <w:sz w:val="20"/>
                <w:szCs w:val="20"/>
              </w:rPr>
            </w:pPr>
            <w:r w:rsidRPr="0056232F">
              <w:rPr>
                <w:rFonts w:ascii="Arial" w:hAnsi="Arial" w:cs="Arial"/>
                <w:b/>
                <w:bCs/>
                <w:sz w:val="20"/>
                <w:szCs w:val="20"/>
              </w:rPr>
              <w:t xml:space="preserve">(B) </w:t>
            </w:r>
            <w:r w:rsidRPr="0056232F">
              <w:rPr>
                <w:rFonts w:ascii="Arial" w:hAnsi="Arial" w:cs="Arial"/>
                <w:sz w:val="20"/>
                <w:szCs w:val="20"/>
              </w:rPr>
              <w:t>Concentrations of selected cytokines in CD11b</w:t>
            </w:r>
            <w:r w:rsidRPr="0056232F">
              <w:rPr>
                <w:rFonts w:ascii="Cambria Math" w:hAnsi="Cambria Math" w:cs="Cambria Math"/>
                <w:sz w:val="20"/>
                <w:szCs w:val="20"/>
              </w:rPr>
              <w:t>⁺</w:t>
            </w:r>
            <w:r w:rsidRPr="0056232F">
              <w:rPr>
                <w:rFonts w:ascii="Arial" w:hAnsi="Arial" w:cs="Arial"/>
                <w:sz w:val="20"/>
                <w:szCs w:val="20"/>
              </w:rPr>
              <w:t xml:space="preserve"> myeloid samples derived from control and TTFields-treated glioblastoma organoids (GBOs; n = 4 biological replicates per condition). Displayed analytes include CCL20, IL-1β, CXCL5, CXCL8, IL-4, CCL21, CXCL12, IL-10, CSF2/GM-CSF, CXCL6, CCL1, and CCL11. Cytokine concentrations are presented as log2(concentration + 0.01). Blue and red points indicate control and TTFields-treated biological replicates, respectively, and horizontal black lines indicate group means. Filled circles represent directly measured values; open circles indicate values imputed as one-half of the lower limit of detection (LLOD/2).</w:t>
            </w:r>
          </w:p>
          <w:p w14:paraId="4D1CD595" w14:textId="77777777" w:rsidR="0056232F" w:rsidRPr="0056232F" w:rsidRDefault="0056232F" w:rsidP="0056232F">
            <w:pPr>
              <w:spacing w:before="120"/>
              <w:rPr>
                <w:rFonts w:ascii="Arial" w:hAnsi="Arial" w:cs="Arial"/>
                <w:sz w:val="20"/>
                <w:szCs w:val="20"/>
              </w:rPr>
            </w:pPr>
            <w:r w:rsidRPr="0056232F">
              <w:rPr>
                <w:rFonts w:ascii="Arial" w:hAnsi="Arial" w:cs="Arial"/>
                <w:sz w:val="20"/>
                <w:szCs w:val="20"/>
              </w:rPr>
              <w:t>Statistical comparisons were performed on log2-transformed concentrations using two-sided Welch’s t-tests followed by Benjamini–Hochberg correction across analytes.</w:t>
            </w:r>
          </w:p>
          <w:p w14:paraId="26825445" w14:textId="0E223689" w:rsidR="001E4417" w:rsidRDefault="001E4417" w:rsidP="000F4F2C">
            <w:pPr>
              <w:rPr>
                <w:rFonts w:ascii="Arial" w:hAnsi="Arial" w:cs="Arial"/>
                <w:highlight w:val="red"/>
              </w:rPr>
            </w:pPr>
          </w:p>
        </w:tc>
      </w:tr>
    </w:tbl>
    <w:p w14:paraId="49926612" w14:textId="77777777" w:rsidR="001E4417" w:rsidRDefault="001E4417" w:rsidP="00FD4782">
      <w:pPr>
        <w:rPr>
          <w:rFonts w:ascii="Arial" w:hAnsi="Arial" w:cs="Arial"/>
          <w:highlight w:val="red"/>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1E4417" w14:paraId="53743C43" w14:textId="77777777" w:rsidTr="00EF4B5E">
        <w:tc>
          <w:tcPr>
            <w:tcW w:w="9736" w:type="dxa"/>
          </w:tcPr>
          <w:p w14:paraId="35853CA4" w14:textId="7B649D45" w:rsidR="001E4417" w:rsidRDefault="0056232F" w:rsidP="00FE539D">
            <w:pPr>
              <w:rPr>
                <w:rFonts w:ascii="Arial" w:hAnsi="Arial" w:cs="Arial"/>
                <w:highlight w:val="red"/>
              </w:rPr>
            </w:pPr>
            <w:r>
              <w:rPr>
                <w:rFonts w:ascii="Arial" w:hAnsi="Arial" w:cs="Arial"/>
                <w:noProof/>
                <w14:ligatures w14:val="none"/>
              </w:rPr>
              <w:drawing>
                <wp:inline distT="0" distB="0" distL="0" distR="0" wp14:anchorId="5DF2503C" wp14:editId="31C5B349">
                  <wp:extent cx="5400000" cy="4758443"/>
                  <wp:effectExtent l="0" t="0" r="0" b="4445"/>
                  <wp:docPr id="5481510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51068" name="图片 548151068"/>
                          <pic:cNvPicPr/>
                        </pic:nvPicPr>
                        <pic:blipFill rotWithShape="1">
                          <a:blip r:embed="rId11" cstate="print">
                            <a:extLst>
                              <a:ext uri="{28A0092B-C50C-407E-A947-70E740481C1C}">
                                <a14:useLocalDpi xmlns:a14="http://schemas.microsoft.com/office/drawing/2010/main" val="0"/>
                              </a:ext>
                            </a:extLst>
                          </a:blip>
                          <a:srcRect b="37654"/>
                          <a:stretch/>
                        </pic:blipFill>
                        <pic:spPr bwMode="auto">
                          <a:xfrm>
                            <a:off x="0" y="0"/>
                            <a:ext cx="5400000" cy="4758443"/>
                          </a:xfrm>
                          <a:prstGeom prst="rect">
                            <a:avLst/>
                          </a:prstGeom>
                          <a:ln>
                            <a:noFill/>
                          </a:ln>
                          <a:extLst>
                            <a:ext uri="{53640926-AAD7-44D8-BBD7-CCE9431645EC}">
                              <a14:shadowObscured xmlns:a14="http://schemas.microsoft.com/office/drawing/2010/main"/>
                            </a:ext>
                          </a:extLst>
                        </pic:spPr>
                      </pic:pic>
                    </a:graphicData>
                  </a:graphic>
                </wp:inline>
              </w:drawing>
            </w:r>
          </w:p>
        </w:tc>
      </w:tr>
      <w:tr w:rsidR="001E4417" w14:paraId="0D049357" w14:textId="77777777" w:rsidTr="00EF4B5E">
        <w:tc>
          <w:tcPr>
            <w:tcW w:w="9736" w:type="dxa"/>
          </w:tcPr>
          <w:p w14:paraId="2259288F" w14:textId="33E6E812" w:rsidR="0056232F" w:rsidRPr="0056232F" w:rsidRDefault="0056232F" w:rsidP="0056232F">
            <w:pPr>
              <w:spacing w:before="120"/>
              <w:rPr>
                <w:rFonts w:ascii="Arial" w:hAnsi="Arial" w:cs="Arial"/>
                <w:b/>
                <w:bCs/>
                <w:sz w:val="20"/>
                <w:szCs w:val="20"/>
              </w:rPr>
            </w:pPr>
            <w:r w:rsidRPr="0056232F">
              <w:rPr>
                <w:rFonts w:ascii="Arial" w:hAnsi="Arial" w:cs="Arial"/>
                <w:b/>
                <w:bCs/>
                <w:sz w:val="20"/>
                <w:szCs w:val="20"/>
              </w:rPr>
              <w:t>Figure S5. TTFields-primed microglial conditioned medium induces ferroptosis-associated transcriptional and oxidative changes in glioma cells.</w:t>
            </w:r>
          </w:p>
          <w:p w14:paraId="5175B36D" w14:textId="516F50F8" w:rsidR="0056232F" w:rsidRPr="0056232F" w:rsidRDefault="0056232F" w:rsidP="0056232F">
            <w:pPr>
              <w:spacing w:before="120"/>
              <w:rPr>
                <w:rFonts w:ascii="Arial" w:hAnsi="Arial" w:cs="Arial"/>
                <w:sz w:val="20"/>
                <w:szCs w:val="20"/>
              </w:rPr>
            </w:pPr>
            <w:r w:rsidRPr="0056232F">
              <w:rPr>
                <w:rFonts w:ascii="Arial" w:hAnsi="Arial" w:cs="Arial"/>
                <w:b/>
                <w:bCs/>
                <w:sz w:val="20"/>
                <w:szCs w:val="20"/>
              </w:rPr>
              <w:t>(A)</w:t>
            </w:r>
            <w:r w:rsidRPr="0056232F">
              <w:rPr>
                <w:rFonts w:ascii="Arial" w:hAnsi="Arial" w:cs="Arial"/>
                <w:sz w:val="20"/>
                <w:szCs w:val="20"/>
              </w:rPr>
              <w:t xml:space="preserve"> Principal-component analysis of bulk RNA-sequencing profiles from GL261 cells cultured for 12 h with conditioned medium from control or TTFields-treated primary microglia (control pMG-CM and TTFields-pMG-CM, respectively; n=3 independent samples per group). Primary microglia were exposed to TTFields at 200 kHz and 1.4 V/cm for 40 h before conditioned-medium collection. PC1 and PC2 accounted for 43.0% and </w:t>
            </w:r>
            <w:r w:rsidRPr="0056232F">
              <w:rPr>
                <w:rFonts w:ascii="Arial" w:hAnsi="Arial" w:cs="Arial"/>
                <w:sz w:val="20"/>
                <w:szCs w:val="20"/>
              </w:rPr>
              <w:lastRenderedPageBreak/>
              <w:t>27.0% of the total variance, respectively.</w:t>
            </w:r>
            <w:r w:rsidRPr="0056232F">
              <w:rPr>
                <w:rFonts w:ascii="Arial" w:hAnsi="Arial" w:cs="Arial"/>
                <w:sz w:val="20"/>
                <w:szCs w:val="20"/>
              </w:rPr>
              <w:br/>
            </w:r>
            <w:r w:rsidRPr="0056232F">
              <w:rPr>
                <w:rFonts w:ascii="Arial" w:hAnsi="Arial" w:cs="Arial"/>
                <w:b/>
                <w:bCs/>
                <w:sz w:val="20"/>
                <w:szCs w:val="20"/>
              </w:rPr>
              <w:t xml:space="preserve">(B) </w:t>
            </w:r>
            <w:r w:rsidRPr="0056232F">
              <w:rPr>
                <w:rFonts w:ascii="Arial" w:hAnsi="Arial" w:cs="Arial"/>
                <w:sz w:val="20"/>
                <w:szCs w:val="20"/>
              </w:rPr>
              <w:t>Representative low- and high-magnification phase-contrast images of CT2A cells after 24 h exposure to control medium, cell-free medium exposed directly to TTFields, or TTFields-pMG-CM. Scale bar</w:t>
            </w:r>
            <w:r>
              <w:rPr>
                <w:rFonts w:ascii="Arial" w:hAnsi="Arial" w:cs="Arial" w:hint="eastAsia"/>
                <w:sz w:val="20"/>
                <w:szCs w:val="20"/>
              </w:rPr>
              <w:t>:10</w:t>
            </w:r>
            <w:r w:rsidRPr="0056232F">
              <w:rPr>
                <w:rFonts w:ascii="Arial" w:hAnsi="Arial" w:cs="Arial"/>
                <w:sz w:val="20"/>
                <w:szCs w:val="20"/>
              </w:rPr>
              <w:t>0μ</w:t>
            </w:r>
            <w:r>
              <w:rPr>
                <w:rFonts w:ascii="Arial" w:hAnsi="Arial" w:cs="Arial" w:hint="eastAsia"/>
                <w:sz w:val="20"/>
                <w:szCs w:val="20"/>
              </w:rPr>
              <w:t>m</w:t>
            </w:r>
            <w:r w:rsidRPr="0056232F">
              <w:rPr>
                <w:rFonts w:ascii="Arial" w:hAnsi="Arial" w:cs="Arial" w:hint="eastAsia"/>
                <w:sz w:val="20"/>
                <w:szCs w:val="20"/>
              </w:rPr>
              <w:t>.</w:t>
            </w:r>
            <w:r w:rsidRPr="0056232F">
              <w:rPr>
                <w:rFonts w:ascii="Arial" w:hAnsi="Arial" w:cs="Arial"/>
                <w:sz w:val="20"/>
                <w:szCs w:val="20"/>
              </w:rPr>
              <w:br/>
            </w:r>
            <w:r w:rsidRPr="0056232F">
              <w:rPr>
                <w:rFonts w:ascii="Arial" w:hAnsi="Arial" w:cs="Arial"/>
                <w:b/>
                <w:bCs/>
                <w:sz w:val="20"/>
                <w:szCs w:val="20"/>
              </w:rPr>
              <w:t xml:space="preserve">(C) </w:t>
            </w:r>
            <w:r w:rsidRPr="0056232F">
              <w:rPr>
                <w:rFonts w:ascii="Arial" w:hAnsi="Arial" w:cs="Arial"/>
                <w:sz w:val="20"/>
                <w:szCs w:val="20"/>
              </w:rPr>
              <w:t>Gene set enrichment analysis plots showing enrichment of ferroptosis and glutathione-metabolism programs in GL261 cells treated with TTFields-pMG-CM relative to control pMG-CM. Normalized enrichment scores and false-discovery rates are indicated.</w:t>
            </w:r>
            <w:r w:rsidRPr="0056232F">
              <w:rPr>
                <w:rFonts w:ascii="Arial" w:hAnsi="Arial" w:cs="Arial"/>
                <w:sz w:val="20"/>
                <w:szCs w:val="20"/>
              </w:rPr>
              <w:br/>
            </w:r>
            <w:r w:rsidRPr="0056232F">
              <w:rPr>
                <w:rFonts w:ascii="Arial" w:hAnsi="Arial" w:cs="Arial"/>
                <w:b/>
                <w:bCs/>
                <w:sz w:val="20"/>
                <w:szCs w:val="20"/>
              </w:rPr>
              <w:t xml:space="preserve">(D) </w:t>
            </w:r>
            <w:r w:rsidRPr="0056232F">
              <w:rPr>
                <w:rFonts w:ascii="Arial" w:hAnsi="Arial" w:cs="Arial"/>
                <w:sz w:val="20"/>
                <w:szCs w:val="20"/>
              </w:rPr>
              <w:t>Heatmap of z-scored pathway activity scores across individual GL261 RNA-sequencing samples for ferroptosis, glutathione metabolism, arachidonic acid metabolism, autophagy, apoptosis, necroptosis, and p53 signaling. Columns represent three control pMG-CM-treated samples and three TTFields-pMG-CM-treated samples.</w:t>
            </w:r>
            <w:r w:rsidRPr="0056232F">
              <w:rPr>
                <w:rFonts w:ascii="Arial" w:hAnsi="Arial" w:cs="Arial"/>
                <w:sz w:val="20"/>
                <w:szCs w:val="20"/>
              </w:rPr>
              <w:br/>
            </w:r>
            <w:r w:rsidRPr="0056232F">
              <w:rPr>
                <w:rFonts w:ascii="Arial" w:hAnsi="Arial" w:cs="Arial"/>
                <w:b/>
                <w:bCs/>
                <w:sz w:val="20"/>
                <w:szCs w:val="20"/>
              </w:rPr>
              <w:t>(E)</w:t>
            </w:r>
            <w:r w:rsidRPr="0056232F">
              <w:rPr>
                <w:rFonts w:ascii="Arial" w:hAnsi="Arial" w:cs="Arial"/>
                <w:sz w:val="20"/>
                <w:szCs w:val="20"/>
              </w:rPr>
              <w:t xml:space="preserve"> Representative flow-cytometry histograms and quantification of lipid reactive oxygen species in CT2A cells after 24 h exposure to control CM, CM from LPS-stimulated microglia (LPS-CM), TTFields-pMG-CM, or conditioned medium from TTFields-treated BV2 cells (TTFields-BV2-CM). Lipid ROS was measured using BODIPY 581/591 C11 and quantified as median fluorescence intensity normalized to the control group. Data are presented as mean ± SEM from n=3 independent experiments. Statistical significance was assessed using two-tailed unpaired Student’s t-tests for the indicated comparisons; exact P values are shown.</w:t>
            </w:r>
          </w:p>
          <w:p w14:paraId="2B714B02" w14:textId="77777777" w:rsidR="0056232F" w:rsidRPr="0056232F" w:rsidRDefault="0056232F" w:rsidP="0056232F">
            <w:pPr>
              <w:spacing w:before="120"/>
              <w:rPr>
                <w:rFonts w:ascii="Arial" w:hAnsi="Arial" w:cs="Arial"/>
                <w:sz w:val="20"/>
                <w:szCs w:val="20"/>
              </w:rPr>
            </w:pPr>
            <w:r w:rsidRPr="0056232F">
              <w:rPr>
                <w:rFonts w:ascii="Arial" w:hAnsi="Arial" w:cs="Arial"/>
                <w:sz w:val="20"/>
                <w:szCs w:val="20"/>
              </w:rPr>
              <w:t>CM, conditioned medium; FDR, false-discovery rate; GSEA, gene set enrichment analysis; LPS, lipopolysaccharide; MFI, median fluorescence intensity; NES, normalized enrichment score; pMG, primary microglia; ROS, reactive oxygen species.</w:t>
            </w:r>
          </w:p>
          <w:p w14:paraId="1E7F1991" w14:textId="2F0D0A84" w:rsidR="001E4417" w:rsidRDefault="001E4417" w:rsidP="00FE539D">
            <w:pPr>
              <w:rPr>
                <w:rFonts w:ascii="Arial" w:hAnsi="Arial" w:cs="Arial"/>
                <w:highlight w:val="red"/>
              </w:rPr>
            </w:pPr>
          </w:p>
        </w:tc>
      </w:tr>
    </w:tbl>
    <w:p w14:paraId="1A17E1F4" w14:textId="77777777" w:rsidR="001E4417" w:rsidRDefault="001E4417">
      <w:pPr>
        <w:spacing w:before="120" w:after="120" w:line="312" w:lineRule="auto"/>
        <w:rPr>
          <w:rFonts w:ascii="Arial" w:hAnsi="Arial" w:cs="Arial"/>
          <w:highlight w:val="red"/>
        </w:rPr>
      </w:pPr>
    </w:p>
    <w:p w14:paraId="2C2C8149" w14:textId="77777777" w:rsidR="001E4417" w:rsidRDefault="001E4417">
      <w:pPr>
        <w:spacing w:before="120" w:after="120" w:line="312" w:lineRule="auto"/>
        <w:rPr>
          <w:rFonts w:ascii="Arial" w:hAnsi="Arial" w:cs="Arial"/>
          <w:highlight w:val="red"/>
        </w:rPr>
      </w:pPr>
    </w:p>
    <w:p w14:paraId="1151A598" w14:textId="77777777" w:rsidR="001E4417" w:rsidRDefault="001E4417" w:rsidP="00EF4B5E">
      <w:pPr>
        <w:rPr>
          <w:rFonts w:ascii="Arial" w:hAnsi="Arial" w:cs="Arial"/>
          <w:highlight w:val="red"/>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1E4417" w14:paraId="176C574E" w14:textId="77777777" w:rsidTr="00EF4B5E">
        <w:tc>
          <w:tcPr>
            <w:tcW w:w="9736" w:type="dxa"/>
          </w:tcPr>
          <w:p w14:paraId="24A2DFB1" w14:textId="0B531A9E" w:rsidR="001E4417" w:rsidRDefault="0056232F" w:rsidP="00A77AF3">
            <w:pPr>
              <w:jc w:val="center"/>
              <w:rPr>
                <w:rFonts w:ascii="Arial" w:hAnsi="Arial" w:cs="Arial"/>
                <w:highlight w:val="red"/>
              </w:rPr>
            </w:pPr>
            <w:r>
              <w:rPr>
                <w:rFonts w:ascii="Arial" w:hAnsi="Arial" w:cs="Arial"/>
                <w:noProof/>
                <w14:ligatures w14:val="none"/>
              </w:rPr>
              <w:lastRenderedPageBreak/>
              <w:drawing>
                <wp:inline distT="0" distB="0" distL="0" distR="0" wp14:anchorId="0E30C71D" wp14:editId="7DC60BF5">
                  <wp:extent cx="6188710" cy="8747125"/>
                  <wp:effectExtent l="0" t="0" r="0" b="3175"/>
                  <wp:docPr id="10999271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27127" name="图片 109992712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88710" cy="8747125"/>
                          </a:xfrm>
                          <a:prstGeom prst="rect">
                            <a:avLst/>
                          </a:prstGeom>
                        </pic:spPr>
                      </pic:pic>
                    </a:graphicData>
                  </a:graphic>
                </wp:inline>
              </w:drawing>
            </w:r>
          </w:p>
        </w:tc>
      </w:tr>
      <w:tr w:rsidR="001E4417" w14:paraId="3ABFB196" w14:textId="77777777" w:rsidTr="00EF4B5E">
        <w:tc>
          <w:tcPr>
            <w:tcW w:w="9736" w:type="dxa"/>
          </w:tcPr>
          <w:p w14:paraId="51F02E4C" w14:textId="77777777" w:rsidR="0056232F" w:rsidRPr="0056232F" w:rsidRDefault="0056232F" w:rsidP="0056232F">
            <w:pPr>
              <w:rPr>
                <w:rFonts w:ascii="Arial" w:hAnsi="Arial" w:cs="Arial"/>
              </w:rPr>
            </w:pPr>
            <w:r w:rsidRPr="0056232F">
              <w:rPr>
                <w:rFonts w:ascii="Arial" w:hAnsi="Arial" w:cs="Arial"/>
                <w:b/>
                <w:bCs/>
              </w:rPr>
              <w:lastRenderedPageBreak/>
              <w:t>Figure S6. 4-HNE immunoreactivity in paired human glioblastoma specimens and patient-derived glioblastoma organoids before and after TTFields exposure.</w:t>
            </w:r>
          </w:p>
          <w:p w14:paraId="062CF420" w14:textId="77777777" w:rsidR="0056232F" w:rsidRPr="0056232F" w:rsidRDefault="0056232F" w:rsidP="0056232F">
            <w:pPr>
              <w:rPr>
                <w:rFonts w:ascii="Arial" w:hAnsi="Arial" w:cs="Arial"/>
              </w:rPr>
            </w:pPr>
            <w:r w:rsidRPr="0056232F">
              <w:rPr>
                <w:rFonts w:ascii="Arial" w:hAnsi="Arial" w:cs="Arial"/>
                <w:b/>
                <w:bCs/>
              </w:rPr>
              <w:t>(A)</w:t>
            </w:r>
            <w:r w:rsidRPr="0056232F">
              <w:rPr>
                <w:rFonts w:ascii="Arial" w:hAnsi="Arial" w:cs="Arial"/>
              </w:rPr>
              <w:t xml:space="preserve"> Representative immunohistochemical staining for 4-hydroxy-2-nonenal (4-HNE), a product of lipid peroxidation, in paired glioblastoma specimens obtained from seven patients before and after TTFields treatment (n=7 paired patients).</w:t>
            </w:r>
            <w:r w:rsidRPr="0056232F">
              <w:rPr>
                <w:rFonts w:ascii="Arial" w:hAnsi="Arial" w:cs="Arial"/>
              </w:rPr>
              <w:br/>
            </w:r>
            <w:r w:rsidRPr="0056232F">
              <w:rPr>
                <w:rFonts w:ascii="Arial" w:hAnsi="Arial" w:cs="Arial"/>
                <w:b/>
                <w:bCs/>
              </w:rPr>
              <w:t>(B)</w:t>
            </w:r>
            <w:r w:rsidRPr="0056232F">
              <w:rPr>
                <w:rFonts w:ascii="Arial" w:hAnsi="Arial" w:cs="Arial"/>
              </w:rPr>
              <w:t xml:space="preserve"> Representative 4-HNE immunohistochemical staining in two patient-derived glioblastoma organoid models, GBO1 and GBO2, before and after ex vivo TTFields exposure at 200 kHz and 1.4 V/cm for 40 h. Brown DAB signal indicates 4-HNE immunoreactivity, and nuclei were counterstained with hematoxylin. Scale bars are indicated in the images.</w:t>
            </w:r>
          </w:p>
          <w:p w14:paraId="059E334A" w14:textId="77777777" w:rsidR="0056232F" w:rsidRPr="0056232F" w:rsidRDefault="0056232F" w:rsidP="0056232F">
            <w:pPr>
              <w:rPr>
                <w:rFonts w:ascii="Arial" w:hAnsi="Arial" w:cs="Arial"/>
              </w:rPr>
            </w:pPr>
            <w:r w:rsidRPr="0056232F">
              <w:rPr>
                <w:rFonts w:ascii="Arial" w:hAnsi="Arial" w:cs="Arial"/>
              </w:rPr>
              <w:t>4-HNE, 4-hydroxy-2-nonenal; DAB, 3,3′-diaminobenzidine; GBO, glioblastoma organoid; TTFields, Tumor Treating Fields.</w:t>
            </w:r>
          </w:p>
          <w:p w14:paraId="40DB5E5B" w14:textId="1D409251" w:rsidR="001E4417" w:rsidRPr="0056232F" w:rsidRDefault="001E4417" w:rsidP="00A77AF3">
            <w:pPr>
              <w:rPr>
                <w:rFonts w:ascii="Arial" w:hAnsi="Arial" w:cs="Arial"/>
                <w:highlight w:val="red"/>
              </w:rPr>
            </w:pPr>
          </w:p>
        </w:tc>
      </w:tr>
    </w:tbl>
    <w:p w14:paraId="6113F455" w14:textId="77777777" w:rsidR="001E4417" w:rsidRDefault="001E4417">
      <w:pPr>
        <w:spacing w:before="120" w:after="120" w:line="312" w:lineRule="auto"/>
        <w:rPr>
          <w:rFonts w:ascii="Arial" w:hAnsi="Arial" w:cs="Arial"/>
          <w:highlight w:val="red"/>
        </w:rPr>
      </w:pPr>
    </w:p>
    <w:p w14:paraId="4274D32C" w14:textId="77777777" w:rsidR="001E4417" w:rsidRDefault="001E4417">
      <w:pPr>
        <w:widowControl/>
        <w:jc w:val="left"/>
        <w:rPr>
          <w:rFonts w:ascii="Arial" w:hAnsi="Arial" w:cs="Arial"/>
          <w:highlight w:val="red"/>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50582F" w14:paraId="3C9BDA72" w14:textId="77777777" w:rsidTr="00F82C2F">
        <w:tc>
          <w:tcPr>
            <w:tcW w:w="9736" w:type="dxa"/>
          </w:tcPr>
          <w:p w14:paraId="34D3CE3D" w14:textId="19AC59C3" w:rsidR="0050582F" w:rsidRDefault="0056232F" w:rsidP="0050582F">
            <w:pPr>
              <w:widowControl/>
              <w:jc w:val="center"/>
              <w:rPr>
                <w:rFonts w:ascii="Arial" w:hAnsi="Arial" w:cs="Arial"/>
                <w:highlight w:val="red"/>
              </w:rPr>
            </w:pPr>
            <w:r>
              <w:rPr>
                <w:rFonts w:ascii="Arial" w:hAnsi="Arial" w:cs="Arial" w:hint="eastAsia"/>
                <w:noProof/>
                <w14:ligatures w14:val="none"/>
              </w:rPr>
              <w:lastRenderedPageBreak/>
              <w:drawing>
                <wp:inline distT="0" distB="0" distL="0" distR="0" wp14:anchorId="03FC4F4B" wp14:editId="5D87D9F5">
                  <wp:extent cx="6188710" cy="6211330"/>
                  <wp:effectExtent l="0" t="0" r="0" b="0"/>
                  <wp:docPr id="14066710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71041" name="图片 1406671041"/>
                          <pic:cNvPicPr/>
                        </pic:nvPicPr>
                        <pic:blipFill rotWithShape="1">
                          <a:blip r:embed="rId13" cstate="print">
                            <a:extLst>
                              <a:ext uri="{28A0092B-C50C-407E-A947-70E740481C1C}">
                                <a14:useLocalDpi xmlns:a14="http://schemas.microsoft.com/office/drawing/2010/main" val="0"/>
                              </a:ext>
                            </a:extLst>
                          </a:blip>
                          <a:srcRect b="28990"/>
                          <a:stretch/>
                        </pic:blipFill>
                        <pic:spPr bwMode="auto">
                          <a:xfrm>
                            <a:off x="0" y="0"/>
                            <a:ext cx="6188710" cy="6211330"/>
                          </a:xfrm>
                          <a:prstGeom prst="rect">
                            <a:avLst/>
                          </a:prstGeom>
                          <a:ln>
                            <a:noFill/>
                          </a:ln>
                          <a:extLst>
                            <a:ext uri="{53640926-AAD7-44D8-BBD7-CCE9431645EC}">
                              <a14:shadowObscured xmlns:a14="http://schemas.microsoft.com/office/drawing/2010/main"/>
                            </a:ext>
                          </a:extLst>
                        </pic:spPr>
                      </pic:pic>
                    </a:graphicData>
                  </a:graphic>
                </wp:inline>
              </w:drawing>
            </w:r>
          </w:p>
        </w:tc>
      </w:tr>
      <w:tr w:rsidR="0050582F" w14:paraId="2F599379" w14:textId="77777777" w:rsidTr="00F82C2F">
        <w:tc>
          <w:tcPr>
            <w:tcW w:w="9736" w:type="dxa"/>
          </w:tcPr>
          <w:p w14:paraId="75244F68" w14:textId="19183AC3" w:rsidR="0056232F" w:rsidRPr="0056232F" w:rsidRDefault="0056232F" w:rsidP="0056232F">
            <w:pPr>
              <w:widowControl/>
              <w:jc w:val="left"/>
              <w:rPr>
                <w:rFonts w:ascii="Arial" w:hAnsi="Arial" w:cs="Arial"/>
                <w:sz w:val="20"/>
                <w:szCs w:val="20"/>
              </w:rPr>
            </w:pPr>
            <w:r w:rsidRPr="0056232F">
              <w:rPr>
                <w:rFonts w:ascii="Arial" w:hAnsi="Arial" w:cs="Arial"/>
                <w:b/>
                <w:bCs/>
                <w:sz w:val="20"/>
                <w:szCs w:val="20"/>
              </w:rPr>
              <w:t>Figure S</w:t>
            </w:r>
            <w:r>
              <w:rPr>
                <w:rFonts w:ascii="Arial" w:hAnsi="Arial" w:cs="Arial" w:hint="eastAsia"/>
                <w:b/>
                <w:bCs/>
                <w:sz w:val="20"/>
                <w:szCs w:val="20"/>
              </w:rPr>
              <w:t>7</w:t>
            </w:r>
            <w:r w:rsidRPr="0056232F">
              <w:rPr>
                <w:rFonts w:ascii="Arial" w:hAnsi="Arial" w:cs="Arial"/>
                <w:b/>
                <w:bCs/>
                <w:sz w:val="20"/>
                <w:szCs w:val="20"/>
              </w:rPr>
              <w:t>. TTFields induces a conserved glycolytic transcriptional response in microglia.</w:t>
            </w:r>
            <w:r w:rsidRPr="0056232F">
              <w:rPr>
                <w:rFonts w:ascii="Arial" w:hAnsi="Arial" w:cs="Arial"/>
                <w:b/>
                <w:bCs/>
                <w:sz w:val="20"/>
                <w:szCs w:val="20"/>
              </w:rPr>
              <w:br/>
              <w:t xml:space="preserve">(A) </w:t>
            </w:r>
            <w:r w:rsidRPr="0056232F">
              <w:rPr>
                <w:rFonts w:ascii="Arial" w:hAnsi="Arial" w:cs="Arial"/>
                <w:sz w:val="20"/>
                <w:szCs w:val="20"/>
              </w:rPr>
              <w:t xml:space="preserve">Glycolysis module scores in BV2 cells and pMG under control and TTFields-treated conditions. Individual biological replicates and group means are shown; exact </w:t>
            </w:r>
            <w:r w:rsidRPr="0056232F">
              <w:rPr>
                <w:rFonts w:ascii="Arial" w:hAnsi="Arial" w:cs="Arial"/>
                <w:i/>
                <w:iCs/>
                <w:sz w:val="20"/>
                <w:szCs w:val="20"/>
              </w:rPr>
              <w:t>P</w:t>
            </w:r>
            <w:r w:rsidRPr="0056232F">
              <w:rPr>
                <w:rFonts w:ascii="Arial" w:hAnsi="Arial" w:cs="Arial"/>
                <w:sz w:val="20"/>
                <w:szCs w:val="20"/>
              </w:rPr>
              <w:t xml:space="preserve"> values are indicated.</w:t>
            </w:r>
            <w:r w:rsidRPr="0056232F">
              <w:rPr>
                <w:rFonts w:ascii="Arial" w:hAnsi="Arial" w:cs="Arial"/>
                <w:sz w:val="20"/>
                <w:szCs w:val="20"/>
              </w:rPr>
              <w:br/>
            </w:r>
            <w:r w:rsidRPr="0056232F">
              <w:rPr>
                <w:rFonts w:ascii="Arial" w:hAnsi="Arial" w:cs="Arial"/>
                <w:b/>
                <w:bCs/>
                <w:sz w:val="20"/>
                <w:szCs w:val="20"/>
              </w:rPr>
              <w:t>(B)</w:t>
            </w:r>
            <w:r w:rsidRPr="0056232F">
              <w:rPr>
                <w:rFonts w:ascii="Arial" w:hAnsi="Arial" w:cs="Arial"/>
                <w:sz w:val="20"/>
                <w:szCs w:val="20"/>
              </w:rPr>
              <w:t xml:space="preserve"> Cross-model concordance of glycolysis-associated gene expression changes between BV2 cells and pMG following TTFields treatment. Each point represents a glycolysis-associated gene, with the log2 fold change in BV2 cells plotted against that in pMG. All 11 shared glycolytic genes displayed concordant upregulation across the two microglial models.</w:t>
            </w:r>
            <w:r w:rsidRPr="0056232F">
              <w:rPr>
                <w:rFonts w:ascii="Arial" w:hAnsi="Arial" w:cs="Arial"/>
                <w:sz w:val="20"/>
                <w:szCs w:val="20"/>
              </w:rPr>
              <w:br/>
            </w:r>
            <w:r w:rsidRPr="0056232F">
              <w:rPr>
                <w:rFonts w:ascii="Arial" w:hAnsi="Arial" w:cs="Arial"/>
                <w:b/>
                <w:bCs/>
                <w:sz w:val="20"/>
                <w:szCs w:val="20"/>
              </w:rPr>
              <w:t xml:space="preserve">(C) </w:t>
            </w:r>
            <w:r w:rsidRPr="0056232F">
              <w:rPr>
                <w:rFonts w:ascii="Arial" w:hAnsi="Arial" w:cs="Arial"/>
                <w:sz w:val="20"/>
                <w:szCs w:val="20"/>
              </w:rPr>
              <w:t>Dot plot showing metabolic pathway activity across annotated cell populations in TTFields-treated glioblastoma organoids. Glycolysis/gluconeogenesis is highlighted. Dot size and color represent the relative pathway score as indicated.</w:t>
            </w:r>
            <w:r w:rsidRPr="0056232F">
              <w:rPr>
                <w:rFonts w:ascii="Arial" w:hAnsi="Arial" w:cs="Arial"/>
                <w:sz w:val="20"/>
                <w:szCs w:val="20"/>
              </w:rPr>
              <w:br/>
            </w:r>
            <w:r w:rsidRPr="0056232F">
              <w:rPr>
                <w:rFonts w:ascii="Arial" w:hAnsi="Arial" w:cs="Arial"/>
                <w:b/>
                <w:bCs/>
                <w:sz w:val="20"/>
                <w:szCs w:val="20"/>
              </w:rPr>
              <w:t>(D)</w:t>
            </w:r>
            <w:r w:rsidRPr="0056232F">
              <w:rPr>
                <w:rFonts w:ascii="Arial" w:hAnsi="Arial" w:cs="Arial"/>
                <w:sz w:val="20"/>
                <w:szCs w:val="20"/>
              </w:rPr>
              <w:t xml:space="preserve"> qRT–PCR analysis of </w:t>
            </w:r>
            <w:r w:rsidRPr="0056232F">
              <w:rPr>
                <w:rFonts w:ascii="Arial" w:hAnsi="Arial" w:cs="Arial"/>
                <w:i/>
                <w:iCs/>
                <w:sz w:val="20"/>
                <w:szCs w:val="20"/>
              </w:rPr>
              <w:t>Hif1a</w:t>
            </w:r>
            <w:r w:rsidRPr="0056232F">
              <w:rPr>
                <w:rFonts w:ascii="Arial" w:hAnsi="Arial" w:cs="Arial"/>
                <w:sz w:val="20"/>
                <w:szCs w:val="20"/>
              </w:rPr>
              <w:t xml:space="preserve">, </w:t>
            </w:r>
            <w:r w:rsidRPr="0056232F">
              <w:rPr>
                <w:rFonts w:ascii="Arial" w:hAnsi="Arial" w:cs="Arial"/>
                <w:i/>
                <w:iCs/>
                <w:sz w:val="20"/>
                <w:szCs w:val="20"/>
              </w:rPr>
              <w:t>Pkm2</w:t>
            </w:r>
            <w:r w:rsidRPr="0056232F">
              <w:rPr>
                <w:rFonts w:ascii="Arial" w:hAnsi="Arial" w:cs="Arial"/>
                <w:sz w:val="20"/>
                <w:szCs w:val="20"/>
              </w:rPr>
              <w:t xml:space="preserve">, </w:t>
            </w:r>
            <w:r w:rsidRPr="0056232F">
              <w:rPr>
                <w:rFonts w:ascii="Arial" w:hAnsi="Arial" w:cs="Arial"/>
                <w:i/>
                <w:iCs/>
                <w:sz w:val="20"/>
                <w:szCs w:val="20"/>
              </w:rPr>
              <w:t>Hk1</w:t>
            </w:r>
            <w:r w:rsidRPr="0056232F">
              <w:rPr>
                <w:rFonts w:ascii="Arial" w:hAnsi="Arial" w:cs="Arial"/>
                <w:sz w:val="20"/>
                <w:szCs w:val="20"/>
              </w:rPr>
              <w:t xml:space="preserve">, and </w:t>
            </w:r>
            <w:r w:rsidRPr="0056232F">
              <w:rPr>
                <w:rFonts w:ascii="Arial" w:hAnsi="Arial" w:cs="Arial"/>
                <w:i/>
                <w:iCs/>
                <w:sz w:val="20"/>
                <w:szCs w:val="20"/>
              </w:rPr>
              <w:t>Hk2</w:t>
            </w:r>
            <w:r w:rsidRPr="0056232F">
              <w:rPr>
                <w:rFonts w:ascii="Arial" w:hAnsi="Arial" w:cs="Arial"/>
                <w:sz w:val="20"/>
                <w:szCs w:val="20"/>
              </w:rPr>
              <w:t xml:space="preserve"> expression in BV2 cells under control conditions, following lipopolysaccharide (LPS) stimulation, or following TTFields exposure. Gene expression is shown </w:t>
            </w:r>
            <w:r w:rsidRPr="0056232F">
              <w:rPr>
                <w:rFonts w:ascii="Arial" w:hAnsi="Arial" w:cs="Arial"/>
                <w:sz w:val="20"/>
                <w:szCs w:val="20"/>
              </w:rPr>
              <w:lastRenderedPageBreak/>
              <w:t>relative to the control group. TTFields induced a glycolytic transcriptional profile distinct from that elicited by LPS.</w:t>
            </w:r>
          </w:p>
          <w:p w14:paraId="0D073E59" w14:textId="5CF5F72A" w:rsidR="0056232F" w:rsidRPr="0056232F" w:rsidRDefault="0056232F" w:rsidP="0056232F">
            <w:pPr>
              <w:widowControl/>
              <w:jc w:val="left"/>
              <w:rPr>
                <w:rFonts w:ascii="Arial" w:hAnsi="Arial" w:cs="Arial"/>
                <w:sz w:val="20"/>
                <w:szCs w:val="20"/>
              </w:rPr>
            </w:pPr>
            <w:r w:rsidRPr="0056232F">
              <w:rPr>
                <w:rFonts w:ascii="Arial" w:hAnsi="Arial" w:cs="Arial"/>
                <w:sz w:val="20"/>
                <w:szCs w:val="20"/>
              </w:rPr>
              <w:t>Data are presented as mean ± S</w:t>
            </w:r>
            <w:r w:rsidRPr="0056232F">
              <w:rPr>
                <w:rFonts w:ascii="Arial" w:hAnsi="Arial" w:cs="Arial" w:hint="eastAsia"/>
                <w:sz w:val="20"/>
                <w:szCs w:val="20"/>
              </w:rPr>
              <w:t>D</w:t>
            </w:r>
            <w:r w:rsidRPr="0056232F">
              <w:rPr>
                <w:rFonts w:ascii="Arial" w:hAnsi="Arial" w:cs="Arial"/>
                <w:sz w:val="20"/>
                <w:szCs w:val="20"/>
              </w:rPr>
              <w:t xml:space="preserve"> with individual biological replicates shown where applicable. Statistical tests and exact </w:t>
            </w:r>
            <w:r w:rsidRPr="0056232F">
              <w:rPr>
                <w:rFonts w:ascii="Arial" w:hAnsi="Arial" w:cs="Arial"/>
                <w:i/>
                <w:iCs/>
                <w:sz w:val="20"/>
                <w:szCs w:val="20"/>
              </w:rPr>
              <w:t>P</w:t>
            </w:r>
            <w:r w:rsidRPr="0056232F">
              <w:rPr>
                <w:rFonts w:ascii="Arial" w:hAnsi="Arial" w:cs="Arial"/>
                <w:sz w:val="20"/>
                <w:szCs w:val="20"/>
              </w:rPr>
              <w:t xml:space="preserve"> values are indicated in the corresponding panels.</w:t>
            </w:r>
          </w:p>
          <w:p w14:paraId="42180A8D" w14:textId="78B28EFC" w:rsidR="0050582F" w:rsidRPr="00EF530A" w:rsidRDefault="0050582F">
            <w:pPr>
              <w:widowControl/>
              <w:jc w:val="left"/>
              <w:rPr>
                <w:rFonts w:ascii="Arial" w:hAnsi="Arial" w:cs="Arial"/>
                <w:sz w:val="20"/>
                <w:szCs w:val="20"/>
                <w:highlight w:val="red"/>
              </w:rPr>
            </w:pPr>
          </w:p>
        </w:tc>
      </w:tr>
    </w:tbl>
    <w:p w14:paraId="11C04CBC" w14:textId="77777777" w:rsidR="006E268F" w:rsidRDefault="006E268F" w:rsidP="0056232F">
      <w:pPr>
        <w:widowControl/>
        <w:jc w:val="left"/>
        <w:rPr>
          <w:rFonts w:ascii="Arial" w:hAnsi="Arial" w:cs="Arial"/>
          <w:highlight w:val="red"/>
        </w:rPr>
      </w:pPr>
    </w:p>
    <w:sectPr w:rsidR="006E268F">
      <w:footerReference w:type="even" r:id="rId14"/>
      <w:footerReference w:type="default" r:id="rId15"/>
      <w:pgSz w:w="11906" w:h="16838"/>
      <w:pgMar w:top="1440" w:right="1080" w:bottom="1440" w:left="108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7C5BF" w14:textId="77777777" w:rsidR="002D09B3" w:rsidRDefault="002D09B3">
      <w:r>
        <w:separator/>
      </w:r>
    </w:p>
  </w:endnote>
  <w:endnote w:type="continuationSeparator" w:id="0">
    <w:p w14:paraId="0FBA2179" w14:textId="77777777" w:rsidR="002D09B3" w:rsidRDefault="002D0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
      </w:rPr>
      <w:id w:val="1382439589"/>
    </w:sdtPr>
    <w:sdtContent>
      <w:p w14:paraId="176CD4A1" w14:textId="77777777" w:rsidR="001E4417" w:rsidRDefault="00000000">
        <w:pPr>
          <w:pStyle w:val="a7"/>
          <w:framePr w:wrap="auto" w:vAnchor="text" w:hAnchor="margin" w:xAlign="center" w:y="1"/>
          <w:rPr>
            <w:rStyle w:val="af"/>
          </w:rPr>
        </w:pPr>
        <w:r>
          <w:rPr>
            <w:rStyle w:val="af"/>
          </w:rPr>
          <w:fldChar w:fldCharType="begin"/>
        </w:r>
        <w:r>
          <w:rPr>
            <w:rStyle w:val="af"/>
          </w:rPr>
          <w:instrText xml:space="preserve"> PAGE </w:instrText>
        </w:r>
        <w:r>
          <w:rPr>
            <w:rStyle w:val="af"/>
          </w:rPr>
          <w:fldChar w:fldCharType="separate"/>
        </w:r>
        <w:r>
          <w:rPr>
            <w:rStyle w:val="af"/>
          </w:rPr>
          <w:t>1</w:t>
        </w:r>
        <w:r>
          <w:rPr>
            <w:rStyle w:val="af"/>
          </w:rPr>
          <w:fldChar w:fldCharType="end"/>
        </w:r>
      </w:p>
    </w:sdtContent>
  </w:sdt>
  <w:p w14:paraId="122458BC" w14:textId="77777777" w:rsidR="001E4417" w:rsidRDefault="001E441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
      </w:rPr>
      <w:id w:val="-361597746"/>
    </w:sdtPr>
    <w:sdtContent>
      <w:p w14:paraId="52A36C87" w14:textId="77777777" w:rsidR="001E4417" w:rsidRDefault="00000000">
        <w:pPr>
          <w:pStyle w:val="a7"/>
          <w:framePr w:wrap="auto" w:vAnchor="text" w:hAnchor="margin" w:xAlign="center" w:y="1"/>
          <w:rPr>
            <w:rStyle w:val="af"/>
          </w:rPr>
        </w:pPr>
        <w:r>
          <w:rPr>
            <w:rStyle w:val="af"/>
          </w:rPr>
          <w:fldChar w:fldCharType="begin"/>
        </w:r>
        <w:r>
          <w:rPr>
            <w:rStyle w:val="af"/>
          </w:rPr>
          <w:instrText xml:space="preserve"> PAGE </w:instrText>
        </w:r>
        <w:r>
          <w:rPr>
            <w:rStyle w:val="af"/>
          </w:rPr>
          <w:fldChar w:fldCharType="separate"/>
        </w:r>
        <w:r>
          <w:rPr>
            <w:rStyle w:val="af"/>
          </w:rPr>
          <w:t>1</w:t>
        </w:r>
        <w:r>
          <w:rPr>
            <w:rStyle w:val="af"/>
          </w:rPr>
          <w:fldChar w:fldCharType="end"/>
        </w:r>
      </w:p>
    </w:sdtContent>
  </w:sdt>
  <w:p w14:paraId="131CCAF9" w14:textId="77777777" w:rsidR="001E4417" w:rsidRDefault="001E441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B22EF" w14:textId="77777777" w:rsidR="002D09B3" w:rsidRDefault="002D09B3">
      <w:r>
        <w:separator/>
      </w:r>
    </w:p>
  </w:footnote>
  <w:footnote w:type="continuationSeparator" w:id="0">
    <w:p w14:paraId="4EDCE7D6" w14:textId="77777777" w:rsidR="002D09B3" w:rsidRDefault="002D09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hideSpellingErrors/>
  <w:hideGrammaticalErrors/>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09f9applsaxd9etfthxad0ptaefpwdz0p2v&quot;&gt;Hi-C reference&lt;record-ids&gt;&lt;item&gt;6&lt;/item&gt;&lt;item&gt;7&lt;/item&gt;&lt;item&gt;8&lt;/item&gt;&lt;item&gt;14&lt;/item&gt;&lt;item&gt;15&lt;/item&gt;&lt;item&gt;17&lt;/item&gt;&lt;item&gt;18&lt;/item&gt;&lt;item&gt;38&lt;/item&gt;&lt;item&gt;39&lt;/item&gt;&lt;item&gt;58&lt;/item&gt;&lt;item&gt;59&lt;/item&gt;&lt;item&gt;60&lt;/item&gt;&lt;item&gt;62&lt;/item&gt;&lt;item&gt;64&lt;/item&gt;&lt;item&gt;66&lt;/item&gt;&lt;item&gt;67&lt;/item&gt;&lt;item&gt;68&lt;/item&gt;&lt;item&gt;69&lt;/item&gt;&lt;item&gt;70&lt;/item&gt;&lt;item&gt;71&lt;/item&gt;&lt;item&gt;72&lt;/item&gt;&lt;item&gt;73&lt;/item&gt;&lt;item&gt;76&lt;/item&gt;&lt;item&gt;89&lt;/item&gt;&lt;item&gt;95&lt;/item&gt;&lt;item&gt;96&lt;/item&gt;&lt;item&gt;99&lt;/item&gt;&lt;item&gt;100&lt;/item&gt;&lt;item&gt;103&lt;/item&gt;&lt;item&gt;104&lt;/item&gt;&lt;item&gt;105&lt;/item&gt;&lt;item&gt;106&lt;/item&gt;&lt;item&gt;107&lt;/item&gt;&lt;item&gt;110&lt;/item&gt;&lt;item&gt;111&lt;/item&gt;&lt;item&gt;118&lt;/item&gt;&lt;item&gt;119&lt;/item&gt;&lt;item&gt;120&lt;/item&gt;&lt;item&gt;122&lt;/item&gt;&lt;item&gt;124&lt;/item&gt;&lt;item&gt;127&lt;/item&gt;&lt;item&gt;128&lt;/item&gt;&lt;item&gt;129&lt;/item&gt;&lt;item&gt;130&lt;/item&gt;&lt;item&gt;132&lt;/item&gt;&lt;item&gt;137&lt;/item&gt;&lt;item&gt;138&lt;/item&gt;&lt;item&gt;139&lt;/item&gt;&lt;item&gt;140&lt;/item&gt;&lt;item&gt;141&lt;/item&gt;&lt;item&gt;143&lt;/item&gt;&lt;item&gt;145&lt;/item&gt;&lt;item&gt;146&lt;/item&gt;&lt;item&gt;147&lt;/item&gt;&lt;item&gt;148&lt;/item&gt;&lt;item&gt;149&lt;/item&gt;&lt;/record-ids&gt;&lt;/item&gt;&lt;/Libraries&gt;"/>
  </w:docVars>
  <w:rsids>
    <w:rsidRoot w:val="00D47E03"/>
    <w:rsid w:val="00000D9A"/>
    <w:rsid w:val="00001C96"/>
    <w:rsid w:val="00003CF6"/>
    <w:rsid w:val="00004EEC"/>
    <w:rsid w:val="0000608B"/>
    <w:rsid w:val="00007B6A"/>
    <w:rsid w:val="00007C83"/>
    <w:rsid w:val="00016A60"/>
    <w:rsid w:val="00020BDB"/>
    <w:rsid w:val="000218F9"/>
    <w:rsid w:val="00033043"/>
    <w:rsid w:val="00033F3A"/>
    <w:rsid w:val="00034216"/>
    <w:rsid w:val="0004529C"/>
    <w:rsid w:val="00050ACD"/>
    <w:rsid w:val="00057AB7"/>
    <w:rsid w:val="00057B37"/>
    <w:rsid w:val="00060489"/>
    <w:rsid w:val="000604E7"/>
    <w:rsid w:val="00062C86"/>
    <w:rsid w:val="0006330D"/>
    <w:rsid w:val="00064519"/>
    <w:rsid w:val="00067DD0"/>
    <w:rsid w:val="00072AAA"/>
    <w:rsid w:val="0007462E"/>
    <w:rsid w:val="0008114A"/>
    <w:rsid w:val="000825A4"/>
    <w:rsid w:val="0008285D"/>
    <w:rsid w:val="0008626E"/>
    <w:rsid w:val="000872F1"/>
    <w:rsid w:val="000913FD"/>
    <w:rsid w:val="00094E02"/>
    <w:rsid w:val="000A071F"/>
    <w:rsid w:val="000A6325"/>
    <w:rsid w:val="000A6CCD"/>
    <w:rsid w:val="000B1784"/>
    <w:rsid w:val="000B1E03"/>
    <w:rsid w:val="000B2540"/>
    <w:rsid w:val="000B2A5C"/>
    <w:rsid w:val="000B52D2"/>
    <w:rsid w:val="000C2037"/>
    <w:rsid w:val="000C2501"/>
    <w:rsid w:val="000C319E"/>
    <w:rsid w:val="000C4974"/>
    <w:rsid w:val="000C5905"/>
    <w:rsid w:val="000C7A28"/>
    <w:rsid w:val="000D1488"/>
    <w:rsid w:val="000D1914"/>
    <w:rsid w:val="000D2C22"/>
    <w:rsid w:val="000D3BFF"/>
    <w:rsid w:val="000D3EC7"/>
    <w:rsid w:val="000E0790"/>
    <w:rsid w:val="000E4610"/>
    <w:rsid w:val="000E58EE"/>
    <w:rsid w:val="000E60D3"/>
    <w:rsid w:val="000E6141"/>
    <w:rsid w:val="000E653A"/>
    <w:rsid w:val="000E677A"/>
    <w:rsid w:val="000F4F2C"/>
    <w:rsid w:val="000F66DA"/>
    <w:rsid w:val="0010245D"/>
    <w:rsid w:val="00107CD2"/>
    <w:rsid w:val="001113A2"/>
    <w:rsid w:val="0011164A"/>
    <w:rsid w:val="001124C3"/>
    <w:rsid w:val="001243CA"/>
    <w:rsid w:val="00127E96"/>
    <w:rsid w:val="0013085E"/>
    <w:rsid w:val="001309AB"/>
    <w:rsid w:val="00132658"/>
    <w:rsid w:val="00141430"/>
    <w:rsid w:val="00141E4F"/>
    <w:rsid w:val="0014619E"/>
    <w:rsid w:val="0015082E"/>
    <w:rsid w:val="00151D5A"/>
    <w:rsid w:val="00156C6A"/>
    <w:rsid w:val="00157121"/>
    <w:rsid w:val="00157D6E"/>
    <w:rsid w:val="0016189D"/>
    <w:rsid w:val="00161FED"/>
    <w:rsid w:val="00163AA7"/>
    <w:rsid w:val="00181EFF"/>
    <w:rsid w:val="00181FFF"/>
    <w:rsid w:val="00182694"/>
    <w:rsid w:val="00182BEB"/>
    <w:rsid w:val="00190C2D"/>
    <w:rsid w:val="001929C7"/>
    <w:rsid w:val="00193E56"/>
    <w:rsid w:val="0019585A"/>
    <w:rsid w:val="001960CE"/>
    <w:rsid w:val="00197068"/>
    <w:rsid w:val="00197277"/>
    <w:rsid w:val="001A0903"/>
    <w:rsid w:val="001A0F4C"/>
    <w:rsid w:val="001A2275"/>
    <w:rsid w:val="001A473A"/>
    <w:rsid w:val="001A507A"/>
    <w:rsid w:val="001A5B7E"/>
    <w:rsid w:val="001A7FA5"/>
    <w:rsid w:val="001B0724"/>
    <w:rsid w:val="001B34AF"/>
    <w:rsid w:val="001B3F74"/>
    <w:rsid w:val="001B3FE5"/>
    <w:rsid w:val="001E3EDF"/>
    <w:rsid w:val="001E4417"/>
    <w:rsid w:val="001F0E08"/>
    <w:rsid w:val="001F31AE"/>
    <w:rsid w:val="001F59EC"/>
    <w:rsid w:val="00205007"/>
    <w:rsid w:val="00207018"/>
    <w:rsid w:val="00220D48"/>
    <w:rsid w:val="00223378"/>
    <w:rsid w:val="0022583E"/>
    <w:rsid w:val="00225E24"/>
    <w:rsid w:val="002310B6"/>
    <w:rsid w:val="00233980"/>
    <w:rsid w:val="00246765"/>
    <w:rsid w:val="00246F23"/>
    <w:rsid w:val="00254917"/>
    <w:rsid w:val="00256B16"/>
    <w:rsid w:val="00264776"/>
    <w:rsid w:val="002670D3"/>
    <w:rsid w:val="00272427"/>
    <w:rsid w:val="00273398"/>
    <w:rsid w:val="002736C3"/>
    <w:rsid w:val="00276330"/>
    <w:rsid w:val="00280008"/>
    <w:rsid w:val="00286CCB"/>
    <w:rsid w:val="00287CDB"/>
    <w:rsid w:val="0029067C"/>
    <w:rsid w:val="002913A3"/>
    <w:rsid w:val="002928B5"/>
    <w:rsid w:val="00294BEC"/>
    <w:rsid w:val="002A0068"/>
    <w:rsid w:val="002A0449"/>
    <w:rsid w:val="002A18E4"/>
    <w:rsid w:val="002A2370"/>
    <w:rsid w:val="002A3ACA"/>
    <w:rsid w:val="002A64C9"/>
    <w:rsid w:val="002A6C03"/>
    <w:rsid w:val="002B0CDA"/>
    <w:rsid w:val="002B0E00"/>
    <w:rsid w:val="002B1919"/>
    <w:rsid w:val="002B572F"/>
    <w:rsid w:val="002B6FAB"/>
    <w:rsid w:val="002C0D0B"/>
    <w:rsid w:val="002C37BB"/>
    <w:rsid w:val="002C37DB"/>
    <w:rsid w:val="002C7E34"/>
    <w:rsid w:val="002D09B3"/>
    <w:rsid w:val="002D3454"/>
    <w:rsid w:val="002D6791"/>
    <w:rsid w:val="002D71A9"/>
    <w:rsid w:val="002E5FFD"/>
    <w:rsid w:val="002F3D23"/>
    <w:rsid w:val="002F7B51"/>
    <w:rsid w:val="0030026C"/>
    <w:rsid w:val="003047EB"/>
    <w:rsid w:val="00305E41"/>
    <w:rsid w:val="00311970"/>
    <w:rsid w:val="00312FCB"/>
    <w:rsid w:val="00313AB2"/>
    <w:rsid w:val="003151A3"/>
    <w:rsid w:val="00324767"/>
    <w:rsid w:val="00324F9A"/>
    <w:rsid w:val="00332A17"/>
    <w:rsid w:val="00334127"/>
    <w:rsid w:val="00335C92"/>
    <w:rsid w:val="00337C4F"/>
    <w:rsid w:val="00342552"/>
    <w:rsid w:val="00342F07"/>
    <w:rsid w:val="0034405C"/>
    <w:rsid w:val="00345B30"/>
    <w:rsid w:val="00346F82"/>
    <w:rsid w:val="003476AC"/>
    <w:rsid w:val="00351350"/>
    <w:rsid w:val="00354E88"/>
    <w:rsid w:val="00355AD2"/>
    <w:rsid w:val="00360964"/>
    <w:rsid w:val="00361589"/>
    <w:rsid w:val="00362336"/>
    <w:rsid w:val="00362804"/>
    <w:rsid w:val="00363252"/>
    <w:rsid w:val="0036399F"/>
    <w:rsid w:val="00363D2A"/>
    <w:rsid w:val="00365D63"/>
    <w:rsid w:val="00372F6E"/>
    <w:rsid w:val="00374555"/>
    <w:rsid w:val="003819D5"/>
    <w:rsid w:val="00381B44"/>
    <w:rsid w:val="0038276D"/>
    <w:rsid w:val="00387128"/>
    <w:rsid w:val="0038778E"/>
    <w:rsid w:val="003914F5"/>
    <w:rsid w:val="003919E2"/>
    <w:rsid w:val="00394A72"/>
    <w:rsid w:val="00396844"/>
    <w:rsid w:val="00397ED1"/>
    <w:rsid w:val="003A1AFA"/>
    <w:rsid w:val="003A39A7"/>
    <w:rsid w:val="003A4652"/>
    <w:rsid w:val="003A5D04"/>
    <w:rsid w:val="003A5F56"/>
    <w:rsid w:val="003A7D78"/>
    <w:rsid w:val="003B0A87"/>
    <w:rsid w:val="003B1C81"/>
    <w:rsid w:val="003B60E9"/>
    <w:rsid w:val="003B71B0"/>
    <w:rsid w:val="003C10FF"/>
    <w:rsid w:val="003C23FA"/>
    <w:rsid w:val="003C3CC0"/>
    <w:rsid w:val="003C4C8D"/>
    <w:rsid w:val="003C4E2C"/>
    <w:rsid w:val="003C61C3"/>
    <w:rsid w:val="003C64C6"/>
    <w:rsid w:val="003C6FAF"/>
    <w:rsid w:val="003C757B"/>
    <w:rsid w:val="003D1BC3"/>
    <w:rsid w:val="003D31D2"/>
    <w:rsid w:val="003D6F7B"/>
    <w:rsid w:val="003D761F"/>
    <w:rsid w:val="003E15DF"/>
    <w:rsid w:val="003E2787"/>
    <w:rsid w:val="003E27B9"/>
    <w:rsid w:val="003E2ADC"/>
    <w:rsid w:val="003E4C1C"/>
    <w:rsid w:val="003E7416"/>
    <w:rsid w:val="003F4ADE"/>
    <w:rsid w:val="003F5D9E"/>
    <w:rsid w:val="003F6FAF"/>
    <w:rsid w:val="00400671"/>
    <w:rsid w:val="004041C7"/>
    <w:rsid w:val="00404268"/>
    <w:rsid w:val="00416249"/>
    <w:rsid w:val="00416AB2"/>
    <w:rsid w:val="0041787F"/>
    <w:rsid w:val="00420B80"/>
    <w:rsid w:val="00421B24"/>
    <w:rsid w:val="00423EBC"/>
    <w:rsid w:val="00423ED8"/>
    <w:rsid w:val="0042494E"/>
    <w:rsid w:val="00425357"/>
    <w:rsid w:val="00426551"/>
    <w:rsid w:val="00426D49"/>
    <w:rsid w:val="00427E7C"/>
    <w:rsid w:val="004319FB"/>
    <w:rsid w:val="00431DCE"/>
    <w:rsid w:val="00432C1F"/>
    <w:rsid w:val="0043471F"/>
    <w:rsid w:val="00434840"/>
    <w:rsid w:val="00434957"/>
    <w:rsid w:val="004409CA"/>
    <w:rsid w:val="00442ED7"/>
    <w:rsid w:val="00445041"/>
    <w:rsid w:val="00446107"/>
    <w:rsid w:val="00447368"/>
    <w:rsid w:val="00450D83"/>
    <w:rsid w:val="004512F4"/>
    <w:rsid w:val="00451E28"/>
    <w:rsid w:val="00452BE0"/>
    <w:rsid w:val="00465B26"/>
    <w:rsid w:val="00466DD5"/>
    <w:rsid w:val="0046768E"/>
    <w:rsid w:val="0046779A"/>
    <w:rsid w:val="00473AF0"/>
    <w:rsid w:val="004855FF"/>
    <w:rsid w:val="004906C6"/>
    <w:rsid w:val="00491554"/>
    <w:rsid w:val="00495A09"/>
    <w:rsid w:val="00495AB0"/>
    <w:rsid w:val="00496D4A"/>
    <w:rsid w:val="004A14CA"/>
    <w:rsid w:val="004A25A4"/>
    <w:rsid w:val="004B4BC6"/>
    <w:rsid w:val="004B57D9"/>
    <w:rsid w:val="004B6227"/>
    <w:rsid w:val="004B7A88"/>
    <w:rsid w:val="004C2F68"/>
    <w:rsid w:val="004C35C4"/>
    <w:rsid w:val="004C5F0B"/>
    <w:rsid w:val="004D1E57"/>
    <w:rsid w:val="004D2629"/>
    <w:rsid w:val="004D36E8"/>
    <w:rsid w:val="004D5833"/>
    <w:rsid w:val="004E500F"/>
    <w:rsid w:val="004F019C"/>
    <w:rsid w:val="004F1174"/>
    <w:rsid w:val="004F390B"/>
    <w:rsid w:val="00501C34"/>
    <w:rsid w:val="00501C35"/>
    <w:rsid w:val="0050582F"/>
    <w:rsid w:val="00506792"/>
    <w:rsid w:val="005079D0"/>
    <w:rsid w:val="00510C16"/>
    <w:rsid w:val="00511843"/>
    <w:rsid w:val="005144C8"/>
    <w:rsid w:val="005147D3"/>
    <w:rsid w:val="00515104"/>
    <w:rsid w:val="005172A2"/>
    <w:rsid w:val="00520BC1"/>
    <w:rsid w:val="005219B1"/>
    <w:rsid w:val="00523BCB"/>
    <w:rsid w:val="0052452B"/>
    <w:rsid w:val="0052570B"/>
    <w:rsid w:val="00525CBC"/>
    <w:rsid w:val="00525D3F"/>
    <w:rsid w:val="0053040C"/>
    <w:rsid w:val="00530FC8"/>
    <w:rsid w:val="0053464E"/>
    <w:rsid w:val="00534DFD"/>
    <w:rsid w:val="00535974"/>
    <w:rsid w:val="00535E3F"/>
    <w:rsid w:val="005420CA"/>
    <w:rsid w:val="0054213E"/>
    <w:rsid w:val="0054407A"/>
    <w:rsid w:val="00544D40"/>
    <w:rsid w:val="00545E42"/>
    <w:rsid w:val="00553DAB"/>
    <w:rsid w:val="00554343"/>
    <w:rsid w:val="0056102E"/>
    <w:rsid w:val="00561105"/>
    <w:rsid w:val="0056232F"/>
    <w:rsid w:val="00563C0F"/>
    <w:rsid w:val="0056571A"/>
    <w:rsid w:val="005816F9"/>
    <w:rsid w:val="005820A1"/>
    <w:rsid w:val="00583583"/>
    <w:rsid w:val="005868C4"/>
    <w:rsid w:val="00587F07"/>
    <w:rsid w:val="00590297"/>
    <w:rsid w:val="00590895"/>
    <w:rsid w:val="0059131A"/>
    <w:rsid w:val="00595A30"/>
    <w:rsid w:val="005967DC"/>
    <w:rsid w:val="005A02B1"/>
    <w:rsid w:val="005A2D6D"/>
    <w:rsid w:val="005A2DDA"/>
    <w:rsid w:val="005A76A4"/>
    <w:rsid w:val="005A7B2B"/>
    <w:rsid w:val="005B0D06"/>
    <w:rsid w:val="005B2618"/>
    <w:rsid w:val="005B43D7"/>
    <w:rsid w:val="005B77DC"/>
    <w:rsid w:val="005C0313"/>
    <w:rsid w:val="005C1A46"/>
    <w:rsid w:val="005C1E8A"/>
    <w:rsid w:val="005C512A"/>
    <w:rsid w:val="005C68B4"/>
    <w:rsid w:val="005C6F4A"/>
    <w:rsid w:val="005C7A0A"/>
    <w:rsid w:val="005D0460"/>
    <w:rsid w:val="005D0C78"/>
    <w:rsid w:val="005D3959"/>
    <w:rsid w:val="005D5F31"/>
    <w:rsid w:val="005E256F"/>
    <w:rsid w:val="005F2AA8"/>
    <w:rsid w:val="005F2FC9"/>
    <w:rsid w:val="005F397D"/>
    <w:rsid w:val="005F502F"/>
    <w:rsid w:val="005F5E2A"/>
    <w:rsid w:val="00606271"/>
    <w:rsid w:val="00616D99"/>
    <w:rsid w:val="00622A6B"/>
    <w:rsid w:val="00624D87"/>
    <w:rsid w:val="006256C2"/>
    <w:rsid w:val="006341B7"/>
    <w:rsid w:val="00642EF2"/>
    <w:rsid w:val="0064447F"/>
    <w:rsid w:val="00645054"/>
    <w:rsid w:val="006457F2"/>
    <w:rsid w:val="0065188B"/>
    <w:rsid w:val="00652ED8"/>
    <w:rsid w:val="00652F93"/>
    <w:rsid w:val="00653A6C"/>
    <w:rsid w:val="00660A2F"/>
    <w:rsid w:val="006711D7"/>
    <w:rsid w:val="00675137"/>
    <w:rsid w:val="0067749D"/>
    <w:rsid w:val="00677908"/>
    <w:rsid w:val="00677F6C"/>
    <w:rsid w:val="00683212"/>
    <w:rsid w:val="00683640"/>
    <w:rsid w:val="006909A1"/>
    <w:rsid w:val="00694251"/>
    <w:rsid w:val="006A1015"/>
    <w:rsid w:val="006A2AB2"/>
    <w:rsid w:val="006A3818"/>
    <w:rsid w:val="006A58C7"/>
    <w:rsid w:val="006A7894"/>
    <w:rsid w:val="006B15B1"/>
    <w:rsid w:val="006B3D38"/>
    <w:rsid w:val="006B4183"/>
    <w:rsid w:val="006B4559"/>
    <w:rsid w:val="006B6617"/>
    <w:rsid w:val="006B6A8B"/>
    <w:rsid w:val="006B7F8A"/>
    <w:rsid w:val="006C02F2"/>
    <w:rsid w:val="006D0C44"/>
    <w:rsid w:val="006D15CE"/>
    <w:rsid w:val="006D1F2A"/>
    <w:rsid w:val="006D206D"/>
    <w:rsid w:val="006D3D82"/>
    <w:rsid w:val="006D456F"/>
    <w:rsid w:val="006D5392"/>
    <w:rsid w:val="006D721C"/>
    <w:rsid w:val="006E268F"/>
    <w:rsid w:val="006E44B0"/>
    <w:rsid w:val="006F0880"/>
    <w:rsid w:val="006F178B"/>
    <w:rsid w:val="006F2F8C"/>
    <w:rsid w:val="006F7F1F"/>
    <w:rsid w:val="007027E9"/>
    <w:rsid w:val="00704AD3"/>
    <w:rsid w:val="00705627"/>
    <w:rsid w:val="00710348"/>
    <w:rsid w:val="0071223F"/>
    <w:rsid w:val="00717FAF"/>
    <w:rsid w:val="007214DC"/>
    <w:rsid w:val="0072463C"/>
    <w:rsid w:val="0073013C"/>
    <w:rsid w:val="00733F40"/>
    <w:rsid w:val="00736DF3"/>
    <w:rsid w:val="0074028C"/>
    <w:rsid w:val="007418EC"/>
    <w:rsid w:val="00743C63"/>
    <w:rsid w:val="0075357F"/>
    <w:rsid w:val="00753B29"/>
    <w:rsid w:val="00754466"/>
    <w:rsid w:val="0075640E"/>
    <w:rsid w:val="00760960"/>
    <w:rsid w:val="00764003"/>
    <w:rsid w:val="00774EC1"/>
    <w:rsid w:val="007817FB"/>
    <w:rsid w:val="00793833"/>
    <w:rsid w:val="00795D4C"/>
    <w:rsid w:val="007A66DA"/>
    <w:rsid w:val="007A7E7A"/>
    <w:rsid w:val="007B0AC3"/>
    <w:rsid w:val="007B1F9B"/>
    <w:rsid w:val="007B27D1"/>
    <w:rsid w:val="007B78D5"/>
    <w:rsid w:val="007C050B"/>
    <w:rsid w:val="007D0D00"/>
    <w:rsid w:val="007D7520"/>
    <w:rsid w:val="007E147B"/>
    <w:rsid w:val="007E18A2"/>
    <w:rsid w:val="007E211D"/>
    <w:rsid w:val="007E32EA"/>
    <w:rsid w:val="007E3BF9"/>
    <w:rsid w:val="007F4162"/>
    <w:rsid w:val="00804F61"/>
    <w:rsid w:val="00805B38"/>
    <w:rsid w:val="00812845"/>
    <w:rsid w:val="00813977"/>
    <w:rsid w:val="0081473D"/>
    <w:rsid w:val="00815275"/>
    <w:rsid w:val="0081593B"/>
    <w:rsid w:val="00817071"/>
    <w:rsid w:val="00820C14"/>
    <w:rsid w:val="00822DCD"/>
    <w:rsid w:val="008270EB"/>
    <w:rsid w:val="008319EC"/>
    <w:rsid w:val="008321E1"/>
    <w:rsid w:val="0083395B"/>
    <w:rsid w:val="00833D30"/>
    <w:rsid w:val="008349C8"/>
    <w:rsid w:val="00834AA3"/>
    <w:rsid w:val="00837B2F"/>
    <w:rsid w:val="00840F47"/>
    <w:rsid w:val="0084617D"/>
    <w:rsid w:val="00847ACE"/>
    <w:rsid w:val="0085643D"/>
    <w:rsid w:val="00857898"/>
    <w:rsid w:val="008717DE"/>
    <w:rsid w:val="008744F8"/>
    <w:rsid w:val="00874C80"/>
    <w:rsid w:val="00876A1F"/>
    <w:rsid w:val="00876F96"/>
    <w:rsid w:val="008805E5"/>
    <w:rsid w:val="00882203"/>
    <w:rsid w:val="008828BB"/>
    <w:rsid w:val="008876C6"/>
    <w:rsid w:val="00891629"/>
    <w:rsid w:val="0089261A"/>
    <w:rsid w:val="00892F39"/>
    <w:rsid w:val="00897104"/>
    <w:rsid w:val="00897625"/>
    <w:rsid w:val="0089769E"/>
    <w:rsid w:val="008A39CC"/>
    <w:rsid w:val="008A5DF6"/>
    <w:rsid w:val="008B06B7"/>
    <w:rsid w:val="008B12F1"/>
    <w:rsid w:val="008B2A4F"/>
    <w:rsid w:val="008B37E7"/>
    <w:rsid w:val="008B40FA"/>
    <w:rsid w:val="008B4C98"/>
    <w:rsid w:val="008B7AEF"/>
    <w:rsid w:val="008C16B0"/>
    <w:rsid w:val="008C4523"/>
    <w:rsid w:val="008C7DAF"/>
    <w:rsid w:val="008D26A6"/>
    <w:rsid w:val="008D48AF"/>
    <w:rsid w:val="008D4D5B"/>
    <w:rsid w:val="008D7D55"/>
    <w:rsid w:val="008E43D6"/>
    <w:rsid w:val="008E4B75"/>
    <w:rsid w:val="008F4FBC"/>
    <w:rsid w:val="00901136"/>
    <w:rsid w:val="00901FD4"/>
    <w:rsid w:val="00904290"/>
    <w:rsid w:val="00904564"/>
    <w:rsid w:val="00905A7D"/>
    <w:rsid w:val="00905E82"/>
    <w:rsid w:val="00906FB2"/>
    <w:rsid w:val="00911585"/>
    <w:rsid w:val="00912375"/>
    <w:rsid w:val="00913423"/>
    <w:rsid w:val="00917794"/>
    <w:rsid w:val="00921794"/>
    <w:rsid w:val="00921B9C"/>
    <w:rsid w:val="00921BE6"/>
    <w:rsid w:val="00926614"/>
    <w:rsid w:val="00930C87"/>
    <w:rsid w:val="00930DAF"/>
    <w:rsid w:val="009351B6"/>
    <w:rsid w:val="009353A3"/>
    <w:rsid w:val="0094342D"/>
    <w:rsid w:val="009449DA"/>
    <w:rsid w:val="00951A2F"/>
    <w:rsid w:val="00954073"/>
    <w:rsid w:val="009540EF"/>
    <w:rsid w:val="00954552"/>
    <w:rsid w:val="00955EC9"/>
    <w:rsid w:val="00957675"/>
    <w:rsid w:val="009604E9"/>
    <w:rsid w:val="00960CBA"/>
    <w:rsid w:val="00961FDC"/>
    <w:rsid w:val="0096551B"/>
    <w:rsid w:val="00970E5D"/>
    <w:rsid w:val="009725E3"/>
    <w:rsid w:val="00972B7E"/>
    <w:rsid w:val="00973480"/>
    <w:rsid w:val="0097734A"/>
    <w:rsid w:val="00980869"/>
    <w:rsid w:val="009842A3"/>
    <w:rsid w:val="0098547F"/>
    <w:rsid w:val="00986BA7"/>
    <w:rsid w:val="0099065B"/>
    <w:rsid w:val="00990F0F"/>
    <w:rsid w:val="00990F47"/>
    <w:rsid w:val="00991A87"/>
    <w:rsid w:val="009945C4"/>
    <w:rsid w:val="009A7873"/>
    <w:rsid w:val="009B6084"/>
    <w:rsid w:val="009B740A"/>
    <w:rsid w:val="009B7847"/>
    <w:rsid w:val="009C3A94"/>
    <w:rsid w:val="009C4950"/>
    <w:rsid w:val="009D152D"/>
    <w:rsid w:val="009D5B40"/>
    <w:rsid w:val="009D6B10"/>
    <w:rsid w:val="009E3C11"/>
    <w:rsid w:val="009E68B0"/>
    <w:rsid w:val="009E7CED"/>
    <w:rsid w:val="009F014E"/>
    <w:rsid w:val="009F1246"/>
    <w:rsid w:val="009F1F88"/>
    <w:rsid w:val="009F33AC"/>
    <w:rsid w:val="009F3BDB"/>
    <w:rsid w:val="00A00ACF"/>
    <w:rsid w:val="00A0183A"/>
    <w:rsid w:val="00A01BFA"/>
    <w:rsid w:val="00A04DD1"/>
    <w:rsid w:val="00A06B80"/>
    <w:rsid w:val="00A10B2C"/>
    <w:rsid w:val="00A127A0"/>
    <w:rsid w:val="00A15783"/>
    <w:rsid w:val="00A16F13"/>
    <w:rsid w:val="00A17257"/>
    <w:rsid w:val="00A2077C"/>
    <w:rsid w:val="00A234E8"/>
    <w:rsid w:val="00A23731"/>
    <w:rsid w:val="00A26453"/>
    <w:rsid w:val="00A26680"/>
    <w:rsid w:val="00A32308"/>
    <w:rsid w:val="00A33B0B"/>
    <w:rsid w:val="00A34847"/>
    <w:rsid w:val="00A34E1C"/>
    <w:rsid w:val="00A40E2B"/>
    <w:rsid w:val="00A43042"/>
    <w:rsid w:val="00A536B1"/>
    <w:rsid w:val="00A565D0"/>
    <w:rsid w:val="00A65B64"/>
    <w:rsid w:val="00A66F13"/>
    <w:rsid w:val="00A67BF8"/>
    <w:rsid w:val="00A723AA"/>
    <w:rsid w:val="00A740C8"/>
    <w:rsid w:val="00A74468"/>
    <w:rsid w:val="00A75A1D"/>
    <w:rsid w:val="00A77AF3"/>
    <w:rsid w:val="00A80A91"/>
    <w:rsid w:val="00A816CB"/>
    <w:rsid w:val="00A8234A"/>
    <w:rsid w:val="00A82F75"/>
    <w:rsid w:val="00A84038"/>
    <w:rsid w:val="00A850EF"/>
    <w:rsid w:val="00A9129E"/>
    <w:rsid w:val="00A91580"/>
    <w:rsid w:val="00A93B94"/>
    <w:rsid w:val="00A969C5"/>
    <w:rsid w:val="00AA3B1B"/>
    <w:rsid w:val="00AA3EA6"/>
    <w:rsid w:val="00AB281B"/>
    <w:rsid w:val="00AB7F3C"/>
    <w:rsid w:val="00AC023C"/>
    <w:rsid w:val="00AC1F06"/>
    <w:rsid w:val="00AC35EC"/>
    <w:rsid w:val="00AC4375"/>
    <w:rsid w:val="00AC4C83"/>
    <w:rsid w:val="00AC4F22"/>
    <w:rsid w:val="00AC5A5F"/>
    <w:rsid w:val="00AC7058"/>
    <w:rsid w:val="00AD0F11"/>
    <w:rsid w:val="00AD231B"/>
    <w:rsid w:val="00AD2C2B"/>
    <w:rsid w:val="00AD3C62"/>
    <w:rsid w:val="00AD658F"/>
    <w:rsid w:val="00AD6B53"/>
    <w:rsid w:val="00AE33C0"/>
    <w:rsid w:val="00AE435F"/>
    <w:rsid w:val="00AF110A"/>
    <w:rsid w:val="00AF1155"/>
    <w:rsid w:val="00AF76B9"/>
    <w:rsid w:val="00B00098"/>
    <w:rsid w:val="00B02DAF"/>
    <w:rsid w:val="00B04E63"/>
    <w:rsid w:val="00B07533"/>
    <w:rsid w:val="00B0793B"/>
    <w:rsid w:val="00B103F2"/>
    <w:rsid w:val="00B107C1"/>
    <w:rsid w:val="00B115BC"/>
    <w:rsid w:val="00B14A29"/>
    <w:rsid w:val="00B210D0"/>
    <w:rsid w:val="00B22E0A"/>
    <w:rsid w:val="00B23A62"/>
    <w:rsid w:val="00B242A3"/>
    <w:rsid w:val="00B33BCB"/>
    <w:rsid w:val="00B342E6"/>
    <w:rsid w:val="00B345E3"/>
    <w:rsid w:val="00B34A1B"/>
    <w:rsid w:val="00B36CF2"/>
    <w:rsid w:val="00B42B63"/>
    <w:rsid w:val="00B43726"/>
    <w:rsid w:val="00B44A2B"/>
    <w:rsid w:val="00B50735"/>
    <w:rsid w:val="00B51F34"/>
    <w:rsid w:val="00B53F1F"/>
    <w:rsid w:val="00B54BA2"/>
    <w:rsid w:val="00B5704E"/>
    <w:rsid w:val="00B57C58"/>
    <w:rsid w:val="00B639EC"/>
    <w:rsid w:val="00B64AC4"/>
    <w:rsid w:val="00B66C3A"/>
    <w:rsid w:val="00B66C50"/>
    <w:rsid w:val="00B72C52"/>
    <w:rsid w:val="00B82751"/>
    <w:rsid w:val="00B8524B"/>
    <w:rsid w:val="00B872CF"/>
    <w:rsid w:val="00B90103"/>
    <w:rsid w:val="00B94F94"/>
    <w:rsid w:val="00BA180A"/>
    <w:rsid w:val="00BA20B5"/>
    <w:rsid w:val="00BA48A8"/>
    <w:rsid w:val="00BA6EBA"/>
    <w:rsid w:val="00BA7B92"/>
    <w:rsid w:val="00BB0ADC"/>
    <w:rsid w:val="00BB0F7C"/>
    <w:rsid w:val="00BB359D"/>
    <w:rsid w:val="00BB46E3"/>
    <w:rsid w:val="00BB5802"/>
    <w:rsid w:val="00BB7241"/>
    <w:rsid w:val="00BC01C6"/>
    <w:rsid w:val="00BC023B"/>
    <w:rsid w:val="00BC12B7"/>
    <w:rsid w:val="00BC1337"/>
    <w:rsid w:val="00BC14B3"/>
    <w:rsid w:val="00BC308E"/>
    <w:rsid w:val="00BC311E"/>
    <w:rsid w:val="00BD0856"/>
    <w:rsid w:val="00BD087F"/>
    <w:rsid w:val="00BD4923"/>
    <w:rsid w:val="00BD61BF"/>
    <w:rsid w:val="00BD76B4"/>
    <w:rsid w:val="00BE0F28"/>
    <w:rsid w:val="00BE1168"/>
    <w:rsid w:val="00BE3BC8"/>
    <w:rsid w:val="00BE6E6F"/>
    <w:rsid w:val="00BE70A1"/>
    <w:rsid w:val="00BF4581"/>
    <w:rsid w:val="00BF4779"/>
    <w:rsid w:val="00BF59AF"/>
    <w:rsid w:val="00BF5AB9"/>
    <w:rsid w:val="00BF6B53"/>
    <w:rsid w:val="00C004F9"/>
    <w:rsid w:val="00C006EE"/>
    <w:rsid w:val="00C01DA3"/>
    <w:rsid w:val="00C0735D"/>
    <w:rsid w:val="00C127B5"/>
    <w:rsid w:val="00C12920"/>
    <w:rsid w:val="00C176BA"/>
    <w:rsid w:val="00C17769"/>
    <w:rsid w:val="00C231CD"/>
    <w:rsid w:val="00C30BC7"/>
    <w:rsid w:val="00C35C5D"/>
    <w:rsid w:val="00C36E34"/>
    <w:rsid w:val="00C375A4"/>
    <w:rsid w:val="00C4524A"/>
    <w:rsid w:val="00C45F66"/>
    <w:rsid w:val="00C476EE"/>
    <w:rsid w:val="00C47D39"/>
    <w:rsid w:val="00C50D4E"/>
    <w:rsid w:val="00C620C0"/>
    <w:rsid w:val="00C6330F"/>
    <w:rsid w:val="00C66FA6"/>
    <w:rsid w:val="00C67249"/>
    <w:rsid w:val="00C72DF0"/>
    <w:rsid w:val="00C730D2"/>
    <w:rsid w:val="00C774C9"/>
    <w:rsid w:val="00C82892"/>
    <w:rsid w:val="00C83908"/>
    <w:rsid w:val="00C83BCD"/>
    <w:rsid w:val="00C85457"/>
    <w:rsid w:val="00C8777B"/>
    <w:rsid w:val="00C93DC1"/>
    <w:rsid w:val="00C947F8"/>
    <w:rsid w:val="00CA1F1F"/>
    <w:rsid w:val="00CA3E17"/>
    <w:rsid w:val="00CA609E"/>
    <w:rsid w:val="00CB3328"/>
    <w:rsid w:val="00CB3C3E"/>
    <w:rsid w:val="00CB7A40"/>
    <w:rsid w:val="00CC4235"/>
    <w:rsid w:val="00CC46CA"/>
    <w:rsid w:val="00CC5121"/>
    <w:rsid w:val="00CC64A4"/>
    <w:rsid w:val="00CC7020"/>
    <w:rsid w:val="00CD08AE"/>
    <w:rsid w:val="00CD10AE"/>
    <w:rsid w:val="00CD15B6"/>
    <w:rsid w:val="00CD2082"/>
    <w:rsid w:val="00CD3797"/>
    <w:rsid w:val="00CE1BE2"/>
    <w:rsid w:val="00CE3A14"/>
    <w:rsid w:val="00CE58F2"/>
    <w:rsid w:val="00CE62FD"/>
    <w:rsid w:val="00CE69FF"/>
    <w:rsid w:val="00CE748B"/>
    <w:rsid w:val="00CF044B"/>
    <w:rsid w:val="00CF0BC9"/>
    <w:rsid w:val="00CF1BCC"/>
    <w:rsid w:val="00CF21C1"/>
    <w:rsid w:val="00CF6F30"/>
    <w:rsid w:val="00CF72B5"/>
    <w:rsid w:val="00CF7338"/>
    <w:rsid w:val="00CF740C"/>
    <w:rsid w:val="00D04D64"/>
    <w:rsid w:val="00D05012"/>
    <w:rsid w:val="00D0597A"/>
    <w:rsid w:val="00D05C42"/>
    <w:rsid w:val="00D07455"/>
    <w:rsid w:val="00D12EAA"/>
    <w:rsid w:val="00D234D5"/>
    <w:rsid w:val="00D245E4"/>
    <w:rsid w:val="00D34211"/>
    <w:rsid w:val="00D36546"/>
    <w:rsid w:val="00D3669A"/>
    <w:rsid w:val="00D37D5A"/>
    <w:rsid w:val="00D403A1"/>
    <w:rsid w:val="00D424B8"/>
    <w:rsid w:val="00D42B17"/>
    <w:rsid w:val="00D45388"/>
    <w:rsid w:val="00D46BD4"/>
    <w:rsid w:val="00D47E03"/>
    <w:rsid w:val="00D50056"/>
    <w:rsid w:val="00D5493C"/>
    <w:rsid w:val="00D55BC9"/>
    <w:rsid w:val="00D57068"/>
    <w:rsid w:val="00D60623"/>
    <w:rsid w:val="00D61B7D"/>
    <w:rsid w:val="00D61D8E"/>
    <w:rsid w:val="00D63291"/>
    <w:rsid w:val="00D64AAC"/>
    <w:rsid w:val="00D66A79"/>
    <w:rsid w:val="00D67944"/>
    <w:rsid w:val="00D75990"/>
    <w:rsid w:val="00D8176C"/>
    <w:rsid w:val="00D82249"/>
    <w:rsid w:val="00D8275A"/>
    <w:rsid w:val="00D83FF2"/>
    <w:rsid w:val="00D8415A"/>
    <w:rsid w:val="00D94FE2"/>
    <w:rsid w:val="00D96D05"/>
    <w:rsid w:val="00D97054"/>
    <w:rsid w:val="00D971D8"/>
    <w:rsid w:val="00DA0A36"/>
    <w:rsid w:val="00DA0B5A"/>
    <w:rsid w:val="00DA0BA7"/>
    <w:rsid w:val="00DA6202"/>
    <w:rsid w:val="00DA6D04"/>
    <w:rsid w:val="00DA7E62"/>
    <w:rsid w:val="00DC3869"/>
    <w:rsid w:val="00DC39DB"/>
    <w:rsid w:val="00DC5BEA"/>
    <w:rsid w:val="00DD048C"/>
    <w:rsid w:val="00DD14DD"/>
    <w:rsid w:val="00DD220C"/>
    <w:rsid w:val="00DD5986"/>
    <w:rsid w:val="00DD791F"/>
    <w:rsid w:val="00DE09DB"/>
    <w:rsid w:val="00DE17C5"/>
    <w:rsid w:val="00DE322F"/>
    <w:rsid w:val="00DF0541"/>
    <w:rsid w:val="00DF307D"/>
    <w:rsid w:val="00DF68C8"/>
    <w:rsid w:val="00E07952"/>
    <w:rsid w:val="00E07EFE"/>
    <w:rsid w:val="00E1072A"/>
    <w:rsid w:val="00E16D2E"/>
    <w:rsid w:val="00E26984"/>
    <w:rsid w:val="00E270BD"/>
    <w:rsid w:val="00E40794"/>
    <w:rsid w:val="00E41ED5"/>
    <w:rsid w:val="00E43E7C"/>
    <w:rsid w:val="00E44BB3"/>
    <w:rsid w:val="00E45453"/>
    <w:rsid w:val="00E45A4C"/>
    <w:rsid w:val="00E5027A"/>
    <w:rsid w:val="00E5133C"/>
    <w:rsid w:val="00E5740C"/>
    <w:rsid w:val="00E602EB"/>
    <w:rsid w:val="00E6067B"/>
    <w:rsid w:val="00E614EF"/>
    <w:rsid w:val="00E76478"/>
    <w:rsid w:val="00E801B5"/>
    <w:rsid w:val="00E81BA5"/>
    <w:rsid w:val="00E85F44"/>
    <w:rsid w:val="00E87453"/>
    <w:rsid w:val="00E932B0"/>
    <w:rsid w:val="00E97985"/>
    <w:rsid w:val="00EA003D"/>
    <w:rsid w:val="00EA0A4D"/>
    <w:rsid w:val="00EA1E80"/>
    <w:rsid w:val="00EA238F"/>
    <w:rsid w:val="00EA7F9D"/>
    <w:rsid w:val="00EB1990"/>
    <w:rsid w:val="00EB2EE8"/>
    <w:rsid w:val="00EB4362"/>
    <w:rsid w:val="00EB55F7"/>
    <w:rsid w:val="00EC0268"/>
    <w:rsid w:val="00EC408A"/>
    <w:rsid w:val="00ED1AEC"/>
    <w:rsid w:val="00ED6AA1"/>
    <w:rsid w:val="00ED7E9F"/>
    <w:rsid w:val="00EE06CF"/>
    <w:rsid w:val="00EE4DF3"/>
    <w:rsid w:val="00EE5A11"/>
    <w:rsid w:val="00EF264C"/>
    <w:rsid w:val="00EF4B5E"/>
    <w:rsid w:val="00EF516E"/>
    <w:rsid w:val="00EF530A"/>
    <w:rsid w:val="00EF563E"/>
    <w:rsid w:val="00F07028"/>
    <w:rsid w:val="00F12EFE"/>
    <w:rsid w:val="00F1499E"/>
    <w:rsid w:val="00F15DC4"/>
    <w:rsid w:val="00F17C62"/>
    <w:rsid w:val="00F2112C"/>
    <w:rsid w:val="00F2301C"/>
    <w:rsid w:val="00F2500B"/>
    <w:rsid w:val="00F26555"/>
    <w:rsid w:val="00F31404"/>
    <w:rsid w:val="00F328A1"/>
    <w:rsid w:val="00F33D25"/>
    <w:rsid w:val="00F36466"/>
    <w:rsid w:val="00F36AD5"/>
    <w:rsid w:val="00F4115D"/>
    <w:rsid w:val="00F434CB"/>
    <w:rsid w:val="00F47B16"/>
    <w:rsid w:val="00F53A0F"/>
    <w:rsid w:val="00F5433D"/>
    <w:rsid w:val="00F5675F"/>
    <w:rsid w:val="00F567DF"/>
    <w:rsid w:val="00F57069"/>
    <w:rsid w:val="00F638D4"/>
    <w:rsid w:val="00F64CC2"/>
    <w:rsid w:val="00F67910"/>
    <w:rsid w:val="00F7318E"/>
    <w:rsid w:val="00F731AD"/>
    <w:rsid w:val="00F74BCC"/>
    <w:rsid w:val="00F80720"/>
    <w:rsid w:val="00F8299D"/>
    <w:rsid w:val="00F82C2F"/>
    <w:rsid w:val="00F860AB"/>
    <w:rsid w:val="00F92E69"/>
    <w:rsid w:val="00F92F94"/>
    <w:rsid w:val="00F968F9"/>
    <w:rsid w:val="00FA3069"/>
    <w:rsid w:val="00FA4A6D"/>
    <w:rsid w:val="00FA5CA7"/>
    <w:rsid w:val="00FB455A"/>
    <w:rsid w:val="00FB6325"/>
    <w:rsid w:val="00FC0128"/>
    <w:rsid w:val="00FC2491"/>
    <w:rsid w:val="00FC2C56"/>
    <w:rsid w:val="00FD4782"/>
    <w:rsid w:val="00FD5059"/>
    <w:rsid w:val="00FE316B"/>
    <w:rsid w:val="00FE4337"/>
    <w:rsid w:val="00FE539D"/>
    <w:rsid w:val="00FE6CE8"/>
    <w:rsid w:val="00FF02D4"/>
    <w:rsid w:val="00FF749C"/>
    <w:rsid w:val="011B36BD"/>
    <w:rsid w:val="01D70F12"/>
    <w:rsid w:val="040757B0"/>
    <w:rsid w:val="04921996"/>
    <w:rsid w:val="05687A10"/>
    <w:rsid w:val="06FA0DFD"/>
    <w:rsid w:val="074C2609"/>
    <w:rsid w:val="076E2FA9"/>
    <w:rsid w:val="07D258D6"/>
    <w:rsid w:val="08597DA5"/>
    <w:rsid w:val="0A0806C0"/>
    <w:rsid w:val="0A9A7472"/>
    <w:rsid w:val="0B955598"/>
    <w:rsid w:val="0C000C64"/>
    <w:rsid w:val="0DDD1A0E"/>
    <w:rsid w:val="101552F6"/>
    <w:rsid w:val="125274BF"/>
    <w:rsid w:val="144539BC"/>
    <w:rsid w:val="151C4634"/>
    <w:rsid w:val="16A76952"/>
    <w:rsid w:val="174270B0"/>
    <w:rsid w:val="17457E73"/>
    <w:rsid w:val="17623FC0"/>
    <w:rsid w:val="17B6181E"/>
    <w:rsid w:val="18890233"/>
    <w:rsid w:val="1AED2CFB"/>
    <w:rsid w:val="1C231283"/>
    <w:rsid w:val="1C66287A"/>
    <w:rsid w:val="1CBC51DE"/>
    <w:rsid w:val="1F2D7B6A"/>
    <w:rsid w:val="1F83778A"/>
    <w:rsid w:val="216E33B1"/>
    <w:rsid w:val="21871088"/>
    <w:rsid w:val="254734B9"/>
    <w:rsid w:val="262D4A31"/>
    <w:rsid w:val="274F2620"/>
    <w:rsid w:val="29891E41"/>
    <w:rsid w:val="2C2C6C04"/>
    <w:rsid w:val="2E606887"/>
    <w:rsid w:val="2E7A3003"/>
    <w:rsid w:val="2F666780"/>
    <w:rsid w:val="30227B21"/>
    <w:rsid w:val="31715FCD"/>
    <w:rsid w:val="32EB1216"/>
    <w:rsid w:val="33D6677D"/>
    <w:rsid w:val="345B6AD0"/>
    <w:rsid w:val="35092088"/>
    <w:rsid w:val="3C9A5CBB"/>
    <w:rsid w:val="3E155F41"/>
    <w:rsid w:val="3F9A2420"/>
    <w:rsid w:val="41A63BF5"/>
    <w:rsid w:val="42732F21"/>
    <w:rsid w:val="42A81132"/>
    <w:rsid w:val="43190FDC"/>
    <w:rsid w:val="43411067"/>
    <w:rsid w:val="44064C8D"/>
    <w:rsid w:val="44B21117"/>
    <w:rsid w:val="470E352E"/>
    <w:rsid w:val="479E65A9"/>
    <w:rsid w:val="4810074A"/>
    <w:rsid w:val="488910E8"/>
    <w:rsid w:val="4A77763C"/>
    <w:rsid w:val="4B3043BA"/>
    <w:rsid w:val="4BDA0F64"/>
    <w:rsid w:val="4CF2251B"/>
    <w:rsid w:val="4D27767E"/>
    <w:rsid w:val="4D5D6314"/>
    <w:rsid w:val="4DC515A5"/>
    <w:rsid w:val="4E59789B"/>
    <w:rsid w:val="4EBA2DB7"/>
    <w:rsid w:val="50D5146F"/>
    <w:rsid w:val="51476A1C"/>
    <w:rsid w:val="542D593B"/>
    <w:rsid w:val="555111B5"/>
    <w:rsid w:val="563D23EE"/>
    <w:rsid w:val="580E5A83"/>
    <w:rsid w:val="59841EFD"/>
    <w:rsid w:val="59BC2F3B"/>
    <w:rsid w:val="5CA366FF"/>
    <w:rsid w:val="5D2D2508"/>
    <w:rsid w:val="60210BA7"/>
    <w:rsid w:val="60EC092C"/>
    <w:rsid w:val="610F2B0A"/>
    <w:rsid w:val="61377DF9"/>
    <w:rsid w:val="62053A53"/>
    <w:rsid w:val="64212489"/>
    <w:rsid w:val="646D2B3C"/>
    <w:rsid w:val="65DF45BB"/>
    <w:rsid w:val="685079F2"/>
    <w:rsid w:val="6AA26DC0"/>
    <w:rsid w:val="6D110958"/>
    <w:rsid w:val="6E227E1D"/>
    <w:rsid w:val="6FCD36D6"/>
    <w:rsid w:val="6FD22638"/>
    <w:rsid w:val="700C7C3D"/>
    <w:rsid w:val="708E730A"/>
    <w:rsid w:val="71ED1E0E"/>
    <w:rsid w:val="726F6624"/>
    <w:rsid w:val="74954B0A"/>
    <w:rsid w:val="74B0277E"/>
    <w:rsid w:val="75D03F20"/>
    <w:rsid w:val="761A382F"/>
    <w:rsid w:val="76595CC4"/>
    <w:rsid w:val="76B850E0"/>
    <w:rsid w:val="77726373"/>
    <w:rsid w:val="7A054AED"/>
    <w:rsid w:val="7B5D0004"/>
    <w:rsid w:val="7C417926"/>
    <w:rsid w:val="7D5A1463"/>
    <w:rsid w:val="7E417769"/>
    <w:rsid w:val="7F034081"/>
    <w:rsid w:val="7F321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B82D675"/>
  <w15:docId w15:val="{1E7397A8-6B1C-5C4E-847E-09AAA3388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unhideWhenUsed="1" w:qFormat="1"/>
    <w:lsdException w:name="footer" w:qFormat="1"/>
    <w:lsdException w:name="caption" w:semiHidden="1" w:unhideWhenUsed="1" w:qFormat="1"/>
    <w:lsdException w:name="annotation reference" w:semiHidden="1" w:uiPriority="99" w:unhideWhenUsed="1" w:qFormat="1"/>
    <w:lsdException w:name="line number" w:qFormat="1"/>
    <w:lsdException w:name="page number" w:qFormat="1"/>
    <w:lsdException w:name="Title" w:uiPriority="10" w:qFormat="1"/>
    <w:lsdException w:name="Default Paragraph Font" w:semiHidden="1" w:uiPriority="1" w:unhideWhenUsed="1" w:qFormat="1"/>
    <w:lsdException w:name="Body Text" w:uiPriority="1" w:qFormat="1"/>
    <w:lsdException w:name="Subtitle" w:qFormat="1"/>
    <w:lsdException w:name="Hyperlink" w:uiPriority="99" w:unhideWhenUsed="1" w:qFormat="1"/>
    <w:lsdException w:name="Followed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link w:val="a6"/>
    <w:uiPriority w:val="1"/>
    <w:qFormat/>
    <w:pPr>
      <w:autoSpaceDE w:val="0"/>
      <w:autoSpaceDN w:val="0"/>
      <w:jc w:val="left"/>
    </w:pPr>
    <w:rPr>
      <w:rFonts w:ascii="Times New Roman" w:eastAsia="Times New Roman" w:hAnsi="Times New Roman" w:cs="Times New Roman"/>
      <w:kern w:val="0"/>
      <w:sz w:val="24"/>
      <w:lang w:eastAsia="en-US" w:bidi="en-US"/>
      <w14:ligatures w14:val="none"/>
    </w:rPr>
  </w:style>
  <w:style w:type="paragraph" w:styleId="a7">
    <w:name w:val="footer"/>
    <w:basedOn w:val="a"/>
    <w:link w:val="a8"/>
    <w:qFormat/>
    <w:pPr>
      <w:tabs>
        <w:tab w:val="center" w:pos="4680"/>
        <w:tab w:val="right" w:pos="9360"/>
      </w:tabs>
    </w:pPr>
  </w:style>
  <w:style w:type="paragraph" w:styleId="a9">
    <w:name w:val="Title"/>
    <w:basedOn w:val="a"/>
    <w:next w:val="a"/>
    <w:link w:val="aa"/>
    <w:uiPriority w:val="10"/>
    <w:qFormat/>
    <w:pPr>
      <w:widowControl/>
      <w:contextualSpacing/>
      <w:jc w:val="center"/>
    </w:pPr>
    <w:rPr>
      <w:rFonts w:ascii="Times New Roman" w:eastAsiaTheme="majorEastAsia" w:hAnsi="Times New Roman" w:cstheme="majorBidi"/>
      <w:b/>
      <w:spacing w:val="-10"/>
      <w:kern w:val="28"/>
      <w:sz w:val="40"/>
      <w:szCs w:val="56"/>
      <w14:ligatures w14:val="none"/>
    </w:rPr>
  </w:style>
  <w:style w:type="paragraph" w:styleId="ab">
    <w:name w:val="annotation subject"/>
    <w:basedOn w:val="a3"/>
    <w:next w:val="a3"/>
    <w:link w:val="ac"/>
    <w:qFormat/>
    <w:rPr>
      <w:b/>
      <w:bCs/>
    </w:rPr>
  </w:style>
  <w:style w:type="table" w:styleId="ad">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page number"/>
    <w:basedOn w:val="a0"/>
    <w:qFormat/>
  </w:style>
  <w:style w:type="character" w:styleId="af0">
    <w:name w:val="FollowedHyperlink"/>
    <w:basedOn w:val="a0"/>
    <w:qFormat/>
    <w:rPr>
      <w:color w:val="7E1FAD" w:themeColor="followedHyperlink"/>
      <w:u w:val="single"/>
    </w:rPr>
  </w:style>
  <w:style w:type="character" w:styleId="af1">
    <w:name w:val="Emphasis"/>
    <w:basedOn w:val="a0"/>
    <w:uiPriority w:val="20"/>
    <w:qFormat/>
    <w:rPr>
      <w:i/>
      <w:iCs/>
    </w:rPr>
  </w:style>
  <w:style w:type="character" w:styleId="af2">
    <w:name w:val="line number"/>
    <w:basedOn w:val="a0"/>
    <w:qFormat/>
  </w:style>
  <w:style w:type="character" w:styleId="af3">
    <w:name w:val="Hyperlink"/>
    <w:basedOn w:val="a0"/>
    <w:uiPriority w:val="99"/>
    <w:unhideWhenUsed/>
    <w:qFormat/>
    <w:rPr>
      <w:color w:val="0026E5" w:themeColor="hyperlink"/>
      <w:u w:val="single"/>
    </w:rPr>
  </w:style>
  <w:style w:type="character" w:styleId="af4">
    <w:name w:val="annotation reference"/>
    <w:basedOn w:val="a0"/>
    <w:uiPriority w:val="99"/>
    <w:semiHidden/>
    <w:unhideWhenUsed/>
    <w:qFormat/>
    <w:rPr>
      <w:sz w:val="21"/>
      <w:szCs w:val="21"/>
    </w:rPr>
  </w:style>
  <w:style w:type="paragraph" w:customStyle="1" w:styleId="EndNoteBibliography">
    <w:name w:val="EndNote Bibliography"/>
    <w:basedOn w:val="a"/>
    <w:qFormat/>
    <w:rPr>
      <w:rFonts w:ascii="DengXian" w:eastAsia="DengXian" w:hAnsi="DengXian" w:cs="DengXian" w:hint="eastAsia"/>
      <w:sz w:val="20"/>
    </w:rPr>
  </w:style>
  <w:style w:type="paragraph" w:customStyle="1" w:styleId="EndNoteBibliographyTitle">
    <w:name w:val="EndNote Bibliography Title"/>
    <w:qFormat/>
    <w:pPr>
      <w:jc w:val="center"/>
    </w:pPr>
    <w:rPr>
      <w:rFonts w:ascii="DengXian" w:eastAsia="DengXian" w:hAnsi="DengXian" w:cs="DengXian" w:hint="eastAsia"/>
      <w:kern w:val="2"/>
      <w:szCs w:val="24"/>
      <w14:ligatures w14:val="standardContextual"/>
    </w:rPr>
  </w:style>
  <w:style w:type="character" w:customStyle="1" w:styleId="a4">
    <w:name w:val="批注文字 字符"/>
    <w:basedOn w:val="a0"/>
    <w:link w:val="a3"/>
    <w:uiPriority w:val="99"/>
    <w:semiHidden/>
    <w:qFormat/>
    <w:rPr>
      <w:rFonts w:asciiTheme="minorHAnsi" w:eastAsiaTheme="minorEastAsia" w:hAnsiTheme="minorHAnsi" w:cstheme="minorBidi"/>
      <w:kern w:val="2"/>
      <w:sz w:val="21"/>
      <w:szCs w:val="24"/>
      <w14:ligatures w14:val="standardContextual"/>
    </w:rPr>
  </w:style>
  <w:style w:type="character" w:customStyle="1" w:styleId="ac">
    <w:name w:val="批注主题 字符"/>
    <w:basedOn w:val="a4"/>
    <w:link w:val="ab"/>
    <w:qFormat/>
    <w:rPr>
      <w:rFonts w:asciiTheme="minorHAnsi" w:eastAsiaTheme="minorEastAsia" w:hAnsiTheme="minorHAnsi" w:cstheme="minorBidi"/>
      <w:b/>
      <w:bCs/>
      <w:kern w:val="2"/>
      <w:sz w:val="21"/>
      <w:szCs w:val="24"/>
      <w14:ligatures w14:val="standardContextual"/>
    </w:rPr>
  </w:style>
  <w:style w:type="paragraph" w:customStyle="1" w:styleId="1">
    <w:name w:val="修订1"/>
    <w:hidden/>
    <w:uiPriority w:val="99"/>
    <w:unhideWhenUsed/>
    <w:qFormat/>
    <w:rPr>
      <w:rFonts w:asciiTheme="minorHAnsi" w:eastAsiaTheme="minorEastAsia" w:hAnsiTheme="minorHAnsi" w:cstheme="minorBidi"/>
      <w:kern w:val="2"/>
      <w:sz w:val="21"/>
      <w:szCs w:val="24"/>
      <w14:ligatures w14:val="standardContextual"/>
    </w:rPr>
  </w:style>
  <w:style w:type="paragraph" w:customStyle="1" w:styleId="2">
    <w:name w:val="修订2"/>
    <w:hidden/>
    <w:uiPriority w:val="99"/>
    <w:unhideWhenUsed/>
    <w:qFormat/>
    <w:rPr>
      <w:rFonts w:asciiTheme="minorHAnsi" w:eastAsiaTheme="minorEastAsia" w:hAnsiTheme="minorHAnsi" w:cstheme="minorBidi"/>
      <w:kern w:val="2"/>
      <w:sz w:val="21"/>
      <w:szCs w:val="24"/>
      <w14:ligatures w14:val="standardContextual"/>
    </w:rPr>
  </w:style>
  <w:style w:type="paragraph" w:customStyle="1" w:styleId="Revision1">
    <w:name w:val="Revision1"/>
    <w:hidden/>
    <w:uiPriority w:val="99"/>
    <w:unhideWhenUsed/>
    <w:qFormat/>
    <w:rPr>
      <w:rFonts w:asciiTheme="minorHAnsi" w:eastAsiaTheme="minorEastAsia" w:hAnsiTheme="minorHAnsi" w:cstheme="minorBidi"/>
      <w:kern w:val="2"/>
      <w:sz w:val="21"/>
      <w:szCs w:val="24"/>
      <w14:ligatures w14:val="standardContextual"/>
    </w:rPr>
  </w:style>
  <w:style w:type="paragraph" w:customStyle="1" w:styleId="Revision2">
    <w:name w:val="Revision2"/>
    <w:hidden/>
    <w:uiPriority w:val="99"/>
    <w:unhideWhenUsed/>
    <w:qFormat/>
    <w:rPr>
      <w:rFonts w:asciiTheme="minorHAnsi" w:eastAsiaTheme="minorEastAsia" w:hAnsiTheme="minorHAnsi" w:cstheme="minorBidi"/>
      <w:kern w:val="2"/>
      <w:sz w:val="21"/>
      <w:szCs w:val="24"/>
      <w14:ligatures w14:val="standardContextual"/>
    </w:rPr>
  </w:style>
  <w:style w:type="character" w:customStyle="1" w:styleId="a8">
    <w:name w:val="页脚 字符"/>
    <w:basedOn w:val="a0"/>
    <w:link w:val="a7"/>
    <w:qFormat/>
    <w:rPr>
      <w:rFonts w:asciiTheme="minorHAnsi" w:eastAsiaTheme="minorEastAsia" w:hAnsiTheme="minorHAnsi" w:cstheme="minorBidi"/>
      <w:kern w:val="2"/>
      <w:sz w:val="21"/>
      <w:szCs w:val="24"/>
      <w:lang w:val="en-US"/>
      <w14:ligatures w14:val="standardContextual"/>
    </w:rPr>
  </w:style>
  <w:style w:type="paragraph" w:customStyle="1" w:styleId="Revision3">
    <w:name w:val="Revision3"/>
    <w:hidden/>
    <w:uiPriority w:val="99"/>
    <w:unhideWhenUsed/>
    <w:qFormat/>
    <w:rPr>
      <w:rFonts w:asciiTheme="minorHAnsi" w:eastAsiaTheme="minorEastAsia" w:hAnsiTheme="minorHAnsi" w:cstheme="minorBidi"/>
      <w:kern w:val="2"/>
      <w:sz w:val="21"/>
      <w:szCs w:val="24"/>
      <w14:ligatures w14:val="standardContextual"/>
    </w:rPr>
  </w:style>
  <w:style w:type="paragraph" w:customStyle="1" w:styleId="3">
    <w:name w:val="修订3"/>
    <w:hidden/>
    <w:uiPriority w:val="99"/>
    <w:unhideWhenUsed/>
    <w:qFormat/>
    <w:rPr>
      <w:rFonts w:asciiTheme="minorHAnsi" w:eastAsiaTheme="minorEastAsia" w:hAnsiTheme="minorHAnsi" w:cstheme="minorBidi"/>
      <w:kern w:val="2"/>
      <w:sz w:val="21"/>
      <w:szCs w:val="24"/>
      <w14:ligatures w14:val="standardContextual"/>
    </w:rPr>
  </w:style>
  <w:style w:type="character" w:customStyle="1" w:styleId="a6">
    <w:name w:val="正文文本 字符"/>
    <w:basedOn w:val="a0"/>
    <w:link w:val="a5"/>
    <w:uiPriority w:val="1"/>
    <w:qFormat/>
    <w:rPr>
      <w:rFonts w:eastAsia="Times New Roman"/>
      <w:sz w:val="24"/>
      <w:szCs w:val="24"/>
      <w:lang w:val="en-US" w:eastAsia="en-US" w:bidi="en-US"/>
    </w:rPr>
  </w:style>
  <w:style w:type="character" w:customStyle="1" w:styleId="10">
    <w:name w:val="未处理的提及1"/>
    <w:basedOn w:val="a0"/>
    <w:uiPriority w:val="99"/>
    <w:semiHidden/>
    <w:unhideWhenUsed/>
    <w:qFormat/>
    <w:rPr>
      <w:color w:val="605E5C"/>
      <w:shd w:val="clear" w:color="auto" w:fill="E1DFDD"/>
    </w:rPr>
  </w:style>
  <w:style w:type="paragraph" w:customStyle="1" w:styleId="4">
    <w:name w:val="修订4"/>
    <w:hidden/>
    <w:uiPriority w:val="99"/>
    <w:unhideWhenUsed/>
    <w:rPr>
      <w:rFonts w:asciiTheme="minorHAnsi" w:eastAsiaTheme="minorEastAsia" w:hAnsiTheme="minorHAnsi" w:cstheme="minorBidi"/>
      <w:kern w:val="2"/>
      <w:sz w:val="21"/>
      <w:szCs w:val="24"/>
      <w14:ligatures w14:val="standardContextual"/>
    </w:rPr>
  </w:style>
  <w:style w:type="character" w:customStyle="1" w:styleId="20">
    <w:name w:val="未处理的提及2"/>
    <w:basedOn w:val="a0"/>
    <w:uiPriority w:val="99"/>
    <w:semiHidden/>
    <w:unhideWhenUsed/>
    <w:rPr>
      <w:color w:val="605E5C"/>
      <w:shd w:val="clear" w:color="auto" w:fill="E1DFDD"/>
    </w:rPr>
  </w:style>
  <w:style w:type="character" w:customStyle="1" w:styleId="aa">
    <w:name w:val="标题 字符"/>
    <w:basedOn w:val="a0"/>
    <w:link w:val="a9"/>
    <w:uiPriority w:val="10"/>
    <w:rPr>
      <w:rFonts w:eastAsiaTheme="majorEastAsia" w:cstheme="majorBidi"/>
      <w:b/>
      <w:spacing w:val="-10"/>
      <w:kern w:val="28"/>
      <w:sz w:val="40"/>
      <w:szCs w:val="56"/>
    </w:rPr>
  </w:style>
  <w:style w:type="paragraph" w:styleId="af5">
    <w:name w:val="List Paragraph"/>
    <w:basedOn w:val="a"/>
    <w:uiPriority w:val="99"/>
    <w:unhideWhenUsed/>
    <w:pPr>
      <w:ind w:left="720"/>
      <w:contextualSpacing/>
    </w:pPr>
  </w:style>
  <w:style w:type="paragraph" w:styleId="af6">
    <w:name w:val="Revision"/>
    <w:hidden/>
    <w:uiPriority w:val="99"/>
    <w:unhideWhenUsed/>
    <w:rsid w:val="000B2540"/>
    <w:rPr>
      <w:rFonts w:asciiTheme="minorHAnsi" w:eastAsiaTheme="minorEastAsia" w:hAnsiTheme="minorHAnsi" w:cstheme="minorBidi"/>
      <w:kern w:val="2"/>
      <w:sz w:val="21"/>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25030">
      <w:bodyDiv w:val="1"/>
      <w:marLeft w:val="0"/>
      <w:marRight w:val="0"/>
      <w:marTop w:val="0"/>
      <w:marBottom w:val="0"/>
      <w:divBdr>
        <w:top w:val="none" w:sz="0" w:space="0" w:color="auto"/>
        <w:left w:val="none" w:sz="0" w:space="0" w:color="auto"/>
        <w:bottom w:val="none" w:sz="0" w:space="0" w:color="auto"/>
        <w:right w:val="none" w:sz="0" w:space="0" w:color="auto"/>
      </w:divBdr>
    </w:div>
    <w:div w:id="218060020">
      <w:bodyDiv w:val="1"/>
      <w:marLeft w:val="0"/>
      <w:marRight w:val="0"/>
      <w:marTop w:val="0"/>
      <w:marBottom w:val="0"/>
      <w:divBdr>
        <w:top w:val="none" w:sz="0" w:space="0" w:color="auto"/>
        <w:left w:val="none" w:sz="0" w:space="0" w:color="auto"/>
        <w:bottom w:val="none" w:sz="0" w:space="0" w:color="auto"/>
        <w:right w:val="none" w:sz="0" w:space="0" w:color="auto"/>
      </w:divBdr>
    </w:div>
    <w:div w:id="808785904">
      <w:bodyDiv w:val="1"/>
      <w:marLeft w:val="0"/>
      <w:marRight w:val="0"/>
      <w:marTop w:val="0"/>
      <w:marBottom w:val="0"/>
      <w:divBdr>
        <w:top w:val="none" w:sz="0" w:space="0" w:color="auto"/>
        <w:left w:val="none" w:sz="0" w:space="0" w:color="auto"/>
        <w:bottom w:val="none" w:sz="0" w:space="0" w:color="auto"/>
        <w:right w:val="none" w:sz="0" w:space="0" w:color="auto"/>
      </w:divBdr>
    </w:div>
    <w:div w:id="1054742485">
      <w:bodyDiv w:val="1"/>
      <w:marLeft w:val="0"/>
      <w:marRight w:val="0"/>
      <w:marTop w:val="0"/>
      <w:marBottom w:val="0"/>
      <w:divBdr>
        <w:top w:val="none" w:sz="0" w:space="0" w:color="auto"/>
        <w:left w:val="none" w:sz="0" w:space="0" w:color="auto"/>
        <w:bottom w:val="none" w:sz="0" w:space="0" w:color="auto"/>
        <w:right w:val="none" w:sz="0" w:space="0" w:color="auto"/>
      </w:divBdr>
    </w:div>
    <w:div w:id="1142768696">
      <w:bodyDiv w:val="1"/>
      <w:marLeft w:val="0"/>
      <w:marRight w:val="0"/>
      <w:marTop w:val="0"/>
      <w:marBottom w:val="0"/>
      <w:divBdr>
        <w:top w:val="none" w:sz="0" w:space="0" w:color="auto"/>
        <w:left w:val="none" w:sz="0" w:space="0" w:color="auto"/>
        <w:bottom w:val="none" w:sz="0" w:space="0" w:color="auto"/>
        <w:right w:val="none" w:sz="0" w:space="0" w:color="auto"/>
      </w:divBdr>
    </w:div>
    <w:div w:id="1346596244">
      <w:bodyDiv w:val="1"/>
      <w:marLeft w:val="0"/>
      <w:marRight w:val="0"/>
      <w:marTop w:val="0"/>
      <w:marBottom w:val="0"/>
      <w:divBdr>
        <w:top w:val="none" w:sz="0" w:space="0" w:color="auto"/>
        <w:left w:val="none" w:sz="0" w:space="0" w:color="auto"/>
        <w:bottom w:val="none" w:sz="0" w:space="0" w:color="auto"/>
        <w:right w:val="none" w:sz="0" w:space="0" w:color="auto"/>
      </w:divBdr>
    </w:div>
    <w:div w:id="1444763532">
      <w:bodyDiv w:val="1"/>
      <w:marLeft w:val="0"/>
      <w:marRight w:val="0"/>
      <w:marTop w:val="0"/>
      <w:marBottom w:val="0"/>
      <w:divBdr>
        <w:top w:val="none" w:sz="0" w:space="0" w:color="auto"/>
        <w:left w:val="none" w:sz="0" w:space="0" w:color="auto"/>
        <w:bottom w:val="none" w:sz="0" w:space="0" w:color="auto"/>
        <w:right w:val="none" w:sz="0" w:space="0" w:color="auto"/>
      </w:divBdr>
    </w:div>
    <w:div w:id="1549610694">
      <w:bodyDiv w:val="1"/>
      <w:marLeft w:val="0"/>
      <w:marRight w:val="0"/>
      <w:marTop w:val="0"/>
      <w:marBottom w:val="0"/>
      <w:divBdr>
        <w:top w:val="none" w:sz="0" w:space="0" w:color="auto"/>
        <w:left w:val="none" w:sz="0" w:space="0" w:color="auto"/>
        <w:bottom w:val="none" w:sz="0" w:space="0" w:color="auto"/>
        <w:right w:val="none" w:sz="0" w:space="0" w:color="auto"/>
      </w:divBdr>
    </w:div>
    <w:div w:id="1646465684">
      <w:bodyDiv w:val="1"/>
      <w:marLeft w:val="0"/>
      <w:marRight w:val="0"/>
      <w:marTop w:val="0"/>
      <w:marBottom w:val="0"/>
      <w:divBdr>
        <w:top w:val="none" w:sz="0" w:space="0" w:color="auto"/>
        <w:left w:val="none" w:sz="0" w:space="0" w:color="auto"/>
        <w:bottom w:val="none" w:sz="0" w:space="0" w:color="auto"/>
        <w:right w:val="none" w:sz="0" w:space="0" w:color="auto"/>
      </w:divBdr>
    </w:div>
    <w:div w:id="1856966528">
      <w:bodyDiv w:val="1"/>
      <w:marLeft w:val="0"/>
      <w:marRight w:val="0"/>
      <w:marTop w:val="0"/>
      <w:marBottom w:val="0"/>
      <w:divBdr>
        <w:top w:val="none" w:sz="0" w:space="0" w:color="auto"/>
        <w:left w:val="none" w:sz="0" w:space="0" w:color="auto"/>
        <w:bottom w:val="none" w:sz="0" w:space="0" w:color="auto"/>
        <w:right w:val="none" w:sz="0" w:space="0" w:color="auto"/>
      </w:divBdr>
    </w:div>
    <w:div w:id="1887132928">
      <w:bodyDiv w:val="1"/>
      <w:marLeft w:val="0"/>
      <w:marRight w:val="0"/>
      <w:marTop w:val="0"/>
      <w:marBottom w:val="0"/>
      <w:divBdr>
        <w:top w:val="none" w:sz="0" w:space="0" w:color="auto"/>
        <w:left w:val="none" w:sz="0" w:space="0" w:color="auto"/>
        <w:bottom w:val="none" w:sz="0" w:space="0" w:color="auto"/>
        <w:right w:val="none" w:sz="0" w:space="0" w:color="auto"/>
      </w:divBdr>
    </w:div>
    <w:div w:id="1938948704">
      <w:bodyDiv w:val="1"/>
      <w:marLeft w:val="0"/>
      <w:marRight w:val="0"/>
      <w:marTop w:val="0"/>
      <w:marBottom w:val="0"/>
      <w:divBdr>
        <w:top w:val="none" w:sz="0" w:space="0" w:color="auto"/>
        <w:left w:val="none" w:sz="0" w:space="0" w:color="auto"/>
        <w:bottom w:val="none" w:sz="0" w:space="0" w:color="auto"/>
        <w:right w:val="none" w:sz="0" w:space="0" w:color="auto"/>
      </w:divBdr>
    </w:div>
    <w:div w:id="2001301015">
      <w:bodyDiv w:val="1"/>
      <w:marLeft w:val="0"/>
      <w:marRight w:val="0"/>
      <w:marTop w:val="0"/>
      <w:marBottom w:val="0"/>
      <w:divBdr>
        <w:top w:val="none" w:sz="0" w:space="0" w:color="auto"/>
        <w:left w:val="none" w:sz="0" w:space="0" w:color="auto"/>
        <w:bottom w:val="none" w:sz="0" w:space="0" w:color="auto"/>
        <w:right w:val="none" w:sz="0" w:space="0" w:color="auto"/>
      </w:divBdr>
    </w:div>
    <w:div w:id="20144549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5C164-F939-1A42-9925-F1A71D9FF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1394</Words>
  <Characters>8800</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shidetong</dc:creator>
  <cp:lastModifiedBy>洪鹏杰</cp:lastModifiedBy>
  <cp:revision>4</cp:revision>
  <dcterms:created xsi:type="dcterms:W3CDTF">2026-08-26T00:24:00Z</dcterms:created>
  <dcterms:modified xsi:type="dcterms:W3CDTF">2026-09-05T09:49:00Z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3F6711B9795C46C2A651ED251F729CFA_13</vt:lpwstr>
  </property>
  <property fmtid="{D5CDD505-2E9C-101B-9397-08002B2CF9AE}" pid="4" name="KSOTemplateDocerSaveRecord">
    <vt:lpwstr>eyJoZGlkIjoiNmVlY2YwNmE4MmI5MjgzYjM5OWZhYzFmOGZhNzY4YzciLCJ1c2VySWQiOiIzMzg4NDI0NDQifQ==</vt:lpwstr>
  </property>
</Properties>
</file>