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B43D2">
      <w:pPr>
        <w:pStyle w:val="3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default" w:ascii="Times New Roman" w:hAnsi="Times New Roman" w:cs="Times New Roman"/>
          <w:sz w:val="40"/>
          <w:szCs w:val="40"/>
        </w:rPr>
        <w:t>Supplementary information</w:t>
      </w:r>
    </w:p>
    <w:p w14:paraId="451CDB6E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  <w:t>Supplementary Table S1. Longitudinal measurement invariance in repeat visitors (N = 452)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04"/>
        <w:gridCol w:w="1104"/>
        <w:gridCol w:w="1104"/>
        <w:gridCol w:w="1104"/>
        <w:gridCol w:w="1104"/>
        <w:gridCol w:w="1104"/>
        <w:gridCol w:w="1104"/>
        <w:gridCol w:w="1104"/>
      </w:tblGrid>
      <w:tr w14:paraId="7B209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104" w:type="dxa"/>
            <w:vAlign w:val="center"/>
          </w:tcPr>
          <w:p w14:paraId="489273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Construct</w:t>
            </w:r>
          </w:p>
        </w:tc>
        <w:tc>
          <w:tcPr>
            <w:tcW w:w="1104" w:type="dxa"/>
            <w:vAlign w:val="center"/>
          </w:tcPr>
          <w:p w14:paraId="780520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Model</w:t>
            </w:r>
          </w:p>
        </w:tc>
        <w:tc>
          <w:tcPr>
            <w:tcW w:w="1104" w:type="dxa"/>
            <w:vAlign w:val="center"/>
          </w:tcPr>
          <w:p w14:paraId="41F449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χ²</w:t>
            </w:r>
          </w:p>
        </w:tc>
        <w:tc>
          <w:tcPr>
            <w:tcW w:w="1104" w:type="dxa"/>
            <w:vAlign w:val="center"/>
          </w:tcPr>
          <w:p w14:paraId="049679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df</w:t>
            </w:r>
          </w:p>
        </w:tc>
        <w:tc>
          <w:tcPr>
            <w:tcW w:w="1104" w:type="dxa"/>
            <w:vAlign w:val="center"/>
          </w:tcPr>
          <w:p w14:paraId="5EE45C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CFI</w:t>
            </w:r>
          </w:p>
        </w:tc>
        <w:tc>
          <w:tcPr>
            <w:tcW w:w="1104" w:type="dxa"/>
            <w:vAlign w:val="center"/>
          </w:tcPr>
          <w:p w14:paraId="3909AC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RMSEA</w:t>
            </w:r>
          </w:p>
        </w:tc>
        <w:tc>
          <w:tcPr>
            <w:tcW w:w="1104" w:type="dxa"/>
            <w:vAlign w:val="center"/>
          </w:tcPr>
          <w:p w14:paraId="73A35B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ΔCFI</w:t>
            </w:r>
          </w:p>
        </w:tc>
        <w:tc>
          <w:tcPr>
            <w:tcW w:w="1104" w:type="dxa"/>
            <w:vAlign w:val="center"/>
          </w:tcPr>
          <w:p w14:paraId="24D340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ΔRMSEA</w:t>
            </w:r>
          </w:p>
        </w:tc>
        <w:tc>
          <w:tcPr>
            <w:tcW w:w="1104" w:type="dxa"/>
            <w:vAlign w:val="center"/>
          </w:tcPr>
          <w:p w14:paraId="03B26F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Nested p</w:t>
            </w:r>
          </w:p>
        </w:tc>
      </w:tr>
      <w:tr w14:paraId="684A6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6694EC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CI</w:t>
            </w:r>
          </w:p>
        </w:tc>
        <w:tc>
          <w:tcPr>
            <w:tcW w:w="1104" w:type="dxa"/>
            <w:vAlign w:val="center"/>
          </w:tcPr>
          <w:p w14:paraId="29DD10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Configural</w:t>
            </w:r>
          </w:p>
        </w:tc>
        <w:tc>
          <w:tcPr>
            <w:tcW w:w="1104" w:type="dxa"/>
            <w:vAlign w:val="center"/>
          </w:tcPr>
          <w:p w14:paraId="3C4D1A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17.763</w:t>
            </w:r>
          </w:p>
        </w:tc>
        <w:tc>
          <w:tcPr>
            <w:tcW w:w="1104" w:type="dxa"/>
            <w:vAlign w:val="center"/>
          </w:tcPr>
          <w:p w14:paraId="6DDDFA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104" w:type="dxa"/>
            <w:vAlign w:val="center"/>
          </w:tcPr>
          <w:p w14:paraId="79AED5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0.999</w:t>
            </w:r>
          </w:p>
        </w:tc>
        <w:tc>
          <w:tcPr>
            <w:tcW w:w="1104" w:type="dxa"/>
            <w:vAlign w:val="center"/>
          </w:tcPr>
          <w:p w14:paraId="3F9DFE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</w:t>
            </w:r>
          </w:p>
        </w:tc>
        <w:tc>
          <w:tcPr>
            <w:tcW w:w="1104" w:type="dxa"/>
            <w:vAlign w:val="center"/>
          </w:tcPr>
          <w:p w14:paraId="0730A3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4A00E7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318D53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</w:tr>
      <w:tr w14:paraId="2192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12A50B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CI</w:t>
            </w:r>
          </w:p>
        </w:tc>
        <w:tc>
          <w:tcPr>
            <w:tcW w:w="1104" w:type="dxa"/>
            <w:vAlign w:val="center"/>
          </w:tcPr>
          <w:p w14:paraId="4CD737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Metric</w:t>
            </w:r>
          </w:p>
        </w:tc>
        <w:tc>
          <w:tcPr>
            <w:tcW w:w="1104" w:type="dxa"/>
            <w:vAlign w:val="center"/>
          </w:tcPr>
          <w:p w14:paraId="5A07F8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21.301</w:t>
            </w:r>
          </w:p>
        </w:tc>
        <w:tc>
          <w:tcPr>
            <w:tcW w:w="1104" w:type="dxa"/>
            <w:vAlign w:val="center"/>
          </w:tcPr>
          <w:p w14:paraId="43ED3D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1104" w:type="dxa"/>
            <w:vAlign w:val="center"/>
          </w:tcPr>
          <w:p w14:paraId="6F372F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0.998</w:t>
            </w:r>
          </w:p>
        </w:tc>
        <w:tc>
          <w:tcPr>
            <w:tcW w:w="1104" w:type="dxa"/>
            <w:vAlign w:val="center"/>
          </w:tcPr>
          <w:p w14:paraId="7936FE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</w:t>
            </w:r>
          </w:p>
        </w:tc>
        <w:tc>
          <w:tcPr>
            <w:tcW w:w="1104" w:type="dxa"/>
            <w:vAlign w:val="center"/>
          </w:tcPr>
          <w:p w14:paraId="7652C5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−0.000</w:t>
            </w:r>
          </w:p>
        </w:tc>
        <w:tc>
          <w:tcPr>
            <w:tcW w:w="1104" w:type="dxa"/>
            <w:vAlign w:val="center"/>
          </w:tcPr>
          <w:p w14:paraId="23C61A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−0.000</w:t>
            </w:r>
          </w:p>
        </w:tc>
        <w:tc>
          <w:tcPr>
            <w:tcW w:w="1104" w:type="dxa"/>
            <w:vAlign w:val="center"/>
          </w:tcPr>
          <w:p w14:paraId="631F79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0.316</w:t>
            </w:r>
          </w:p>
        </w:tc>
      </w:tr>
      <w:tr w14:paraId="6B850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11AA74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CI</w:t>
            </w:r>
          </w:p>
        </w:tc>
        <w:tc>
          <w:tcPr>
            <w:tcW w:w="1104" w:type="dxa"/>
            <w:vAlign w:val="center"/>
          </w:tcPr>
          <w:p w14:paraId="109F35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Scalar</w:t>
            </w:r>
          </w:p>
        </w:tc>
        <w:tc>
          <w:tcPr>
            <w:tcW w:w="1104" w:type="dxa"/>
            <w:vAlign w:val="center"/>
          </w:tcPr>
          <w:p w14:paraId="236ECC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22.34</w:t>
            </w:r>
          </w:p>
        </w:tc>
        <w:tc>
          <w:tcPr>
            <w:tcW w:w="1104" w:type="dxa"/>
            <w:vAlign w:val="center"/>
          </w:tcPr>
          <w:p w14:paraId="75BFFC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104" w:type="dxa"/>
            <w:vAlign w:val="center"/>
          </w:tcPr>
          <w:p w14:paraId="507274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0.999</w:t>
            </w:r>
          </w:p>
        </w:tc>
        <w:tc>
          <w:tcPr>
            <w:tcW w:w="1104" w:type="dxa"/>
            <w:vAlign w:val="center"/>
          </w:tcPr>
          <w:p w14:paraId="5A6F28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0.012</w:t>
            </w:r>
          </w:p>
        </w:tc>
        <w:tc>
          <w:tcPr>
            <w:tcW w:w="1104" w:type="dxa"/>
            <w:vAlign w:val="center"/>
          </w:tcPr>
          <w:p w14:paraId="66094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+0.001</w:t>
            </w:r>
          </w:p>
        </w:tc>
        <w:tc>
          <w:tcPr>
            <w:tcW w:w="1104" w:type="dxa"/>
            <w:vAlign w:val="center"/>
          </w:tcPr>
          <w:p w14:paraId="37CA86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−0.008</w:t>
            </w:r>
          </w:p>
        </w:tc>
        <w:tc>
          <w:tcPr>
            <w:tcW w:w="1104" w:type="dxa"/>
            <w:vAlign w:val="center"/>
          </w:tcPr>
          <w:p w14:paraId="3F942B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0.792</w:t>
            </w:r>
          </w:p>
        </w:tc>
      </w:tr>
      <w:tr w14:paraId="1F15D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010B5D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CAR</w:t>
            </w:r>
          </w:p>
        </w:tc>
        <w:tc>
          <w:tcPr>
            <w:tcW w:w="1104" w:type="dxa"/>
            <w:vAlign w:val="center"/>
          </w:tcPr>
          <w:p w14:paraId="0FACC7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Configural</w:t>
            </w:r>
          </w:p>
        </w:tc>
        <w:tc>
          <w:tcPr>
            <w:tcW w:w="1104" w:type="dxa"/>
            <w:vAlign w:val="center"/>
          </w:tcPr>
          <w:p w14:paraId="7A03E3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20.206</w:t>
            </w:r>
          </w:p>
        </w:tc>
        <w:tc>
          <w:tcPr>
            <w:tcW w:w="1104" w:type="dxa"/>
            <w:vAlign w:val="center"/>
          </w:tcPr>
          <w:p w14:paraId="0D8209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104" w:type="dxa"/>
            <w:vAlign w:val="center"/>
          </w:tcPr>
          <w:p w14:paraId="4B71B8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0.997</w:t>
            </w:r>
          </w:p>
        </w:tc>
        <w:tc>
          <w:tcPr>
            <w:tcW w:w="1104" w:type="dxa"/>
            <w:vAlign w:val="center"/>
          </w:tcPr>
          <w:p w14:paraId="1A0785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0.028</w:t>
            </w:r>
          </w:p>
        </w:tc>
        <w:tc>
          <w:tcPr>
            <w:tcW w:w="1104" w:type="dxa"/>
            <w:vAlign w:val="center"/>
          </w:tcPr>
          <w:p w14:paraId="715D0B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18BDA5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4B4B97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</w:tr>
      <w:tr w14:paraId="2124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7DAD01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CAR</w:t>
            </w:r>
          </w:p>
        </w:tc>
        <w:tc>
          <w:tcPr>
            <w:tcW w:w="1104" w:type="dxa"/>
            <w:vAlign w:val="center"/>
          </w:tcPr>
          <w:p w14:paraId="64A619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Metric</w:t>
            </w:r>
          </w:p>
        </w:tc>
        <w:tc>
          <w:tcPr>
            <w:tcW w:w="1104" w:type="dxa"/>
            <w:vAlign w:val="center"/>
          </w:tcPr>
          <w:p w14:paraId="281455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22.192</w:t>
            </w:r>
          </w:p>
        </w:tc>
        <w:tc>
          <w:tcPr>
            <w:tcW w:w="1104" w:type="dxa"/>
            <w:vAlign w:val="center"/>
          </w:tcPr>
          <w:p w14:paraId="2F19D0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1104" w:type="dxa"/>
            <w:vAlign w:val="center"/>
          </w:tcPr>
          <w:p w14:paraId="37FBCA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0.998</w:t>
            </w:r>
          </w:p>
        </w:tc>
        <w:tc>
          <w:tcPr>
            <w:tcW w:w="1104" w:type="dxa"/>
            <w:vAlign w:val="center"/>
          </w:tcPr>
          <w:p w14:paraId="6B0BB1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0.023</w:t>
            </w:r>
          </w:p>
        </w:tc>
        <w:tc>
          <w:tcPr>
            <w:tcW w:w="1104" w:type="dxa"/>
            <w:vAlign w:val="center"/>
          </w:tcPr>
          <w:p w14:paraId="7B22E6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+0.001</w:t>
            </w:r>
          </w:p>
        </w:tc>
        <w:tc>
          <w:tcPr>
            <w:tcW w:w="1104" w:type="dxa"/>
            <w:vAlign w:val="center"/>
          </w:tcPr>
          <w:p w14:paraId="366AC4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−0.005</w:t>
            </w:r>
          </w:p>
        </w:tc>
        <w:tc>
          <w:tcPr>
            <w:tcW w:w="1104" w:type="dxa"/>
            <w:vAlign w:val="center"/>
          </w:tcPr>
          <w:p w14:paraId="736DEA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0.576</w:t>
            </w:r>
          </w:p>
        </w:tc>
      </w:tr>
      <w:tr w14:paraId="672B1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69F7B1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CAR</w:t>
            </w:r>
          </w:p>
        </w:tc>
        <w:tc>
          <w:tcPr>
            <w:tcW w:w="1104" w:type="dxa"/>
            <w:vAlign w:val="center"/>
          </w:tcPr>
          <w:p w14:paraId="70E091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Scalar</w:t>
            </w:r>
          </w:p>
        </w:tc>
        <w:tc>
          <w:tcPr>
            <w:tcW w:w="1104" w:type="dxa"/>
            <w:vAlign w:val="center"/>
          </w:tcPr>
          <w:p w14:paraId="26617D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28.188</w:t>
            </w:r>
          </w:p>
        </w:tc>
        <w:tc>
          <w:tcPr>
            <w:tcW w:w="1104" w:type="dxa"/>
            <w:vAlign w:val="center"/>
          </w:tcPr>
          <w:p w14:paraId="715424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104" w:type="dxa"/>
            <w:vAlign w:val="center"/>
          </w:tcPr>
          <w:p w14:paraId="5DB170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0.996</w:t>
            </w:r>
          </w:p>
        </w:tc>
        <w:tc>
          <w:tcPr>
            <w:tcW w:w="1104" w:type="dxa"/>
            <w:vAlign w:val="center"/>
          </w:tcPr>
          <w:p w14:paraId="5FC360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0.028</w:t>
            </w:r>
          </w:p>
        </w:tc>
        <w:tc>
          <w:tcPr>
            <w:tcW w:w="1104" w:type="dxa"/>
            <w:vAlign w:val="center"/>
          </w:tcPr>
          <w:p w14:paraId="239A76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−0.002</w:t>
            </w:r>
          </w:p>
        </w:tc>
        <w:tc>
          <w:tcPr>
            <w:tcW w:w="1104" w:type="dxa"/>
            <w:vAlign w:val="center"/>
          </w:tcPr>
          <w:p w14:paraId="57DBD2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+0.005</w:t>
            </w:r>
          </w:p>
        </w:tc>
        <w:tc>
          <w:tcPr>
            <w:tcW w:w="1104" w:type="dxa"/>
            <w:vAlign w:val="center"/>
          </w:tcPr>
          <w:p w14:paraId="595E5B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0.112</w:t>
            </w:r>
          </w:p>
        </w:tc>
      </w:tr>
      <w:tr w14:paraId="5594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0FBCCB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SAT</w:t>
            </w:r>
          </w:p>
        </w:tc>
        <w:tc>
          <w:tcPr>
            <w:tcW w:w="1104" w:type="dxa"/>
            <w:vAlign w:val="center"/>
          </w:tcPr>
          <w:p w14:paraId="7E6447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Configural</w:t>
            </w:r>
          </w:p>
        </w:tc>
        <w:tc>
          <w:tcPr>
            <w:tcW w:w="1104" w:type="dxa"/>
            <w:vAlign w:val="center"/>
          </w:tcPr>
          <w:p w14:paraId="48D60B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3.916</w:t>
            </w:r>
          </w:p>
        </w:tc>
        <w:tc>
          <w:tcPr>
            <w:tcW w:w="1104" w:type="dxa"/>
            <w:vAlign w:val="center"/>
          </w:tcPr>
          <w:p w14:paraId="26DD83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104" w:type="dxa"/>
            <w:vAlign w:val="center"/>
          </w:tcPr>
          <w:p w14:paraId="3D26B3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1104" w:type="dxa"/>
            <w:vAlign w:val="center"/>
          </w:tcPr>
          <w:p w14:paraId="6454A0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1104" w:type="dxa"/>
            <w:vAlign w:val="center"/>
          </w:tcPr>
          <w:p w14:paraId="2152B0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5F4F03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571A66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</w:tr>
      <w:tr w14:paraId="4319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1D788A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SAT</w:t>
            </w:r>
          </w:p>
        </w:tc>
        <w:tc>
          <w:tcPr>
            <w:tcW w:w="1104" w:type="dxa"/>
            <w:vAlign w:val="center"/>
          </w:tcPr>
          <w:p w14:paraId="04F524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Metric</w:t>
            </w:r>
          </w:p>
        </w:tc>
        <w:tc>
          <w:tcPr>
            <w:tcW w:w="1104" w:type="dxa"/>
            <w:vAlign w:val="center"/>
          </w:tcPr>
          <w:p w14:paraId="71C58D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9.218</w:t>
            </w:r>
          </w:p>
        </w:tc>
        <w:tc>
          <w:tcPr>
            <w:tcW w:w="1104" w:type="dxa"/>
            <w:vAlign w:val="center"/>
          </w:tcPr>
          <w:p w14:paraId="28508A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1104" w:type="dxa"/>
            <w:vAlign w:val="center"/>
          </w:tcPr>
          <w:p w14:paraId="1F1809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0.998</w:t>
            </w:r>
          </w:p>
        </w:tc>
        <w:tc>
          <w:tcPr>
            <w:tcW w:w="1104" w:type="dxa"/>
            <w:vAlign w:val="center"/>
          </w:tcPr>
          <w:p w14:paraId="7AC728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0.027</w:t>
            </w:r>
          </w:p>
        </w:tc>
        <w:tc>
          <w:tcPr>
            <w:tcW w:w="1104" w:type="dxa"/>
            <w:vAlign w:val="center"/>
          </w:tcPr>
          <w:p w14:paraId="1DF35A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−0.002</w:t>
            </w:r>
          </w:p>
        </w:tc>
        <w:tc>
          <w:tcPr>
            <w:tcW w:w="1104" w:type="dxa"/>
            <w:vAlign w:val="center"/>
          </w:tcPr>
          <w:p w14:paraId="0A095E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+0.027</w:t>
            </w:r>
          </w:p>
        </w:tc>
        <w:tc>
          <w:tcPr>
            <w:tcW w:w="1104" w:type="dxa"/>
            <w:vAlign w:val="center"/>
          </w:tcPr>
          <w:p w14:paraId="11487E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0.071</w:t>
            </w:r>
          </w:p>
        </w:tc>
      </w:tr>
      <w:tr w14:paraId="19595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115631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SAT</w:t>
            </w:r>
          </w:p>
        </w:tc>
        <w:tc>
          <w:tcPr>
            <w:tcW w:w="1104" w:type="dxa"/>
            <w:vAlign w:val="center"/>
          </w:tcPr>
          <w:p w14:paraId="61EFA7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Scalar</w:t>
            </w:r>
          </w:p>
        </w:tc>
        <w:tc>
          <w:tcPr>
            <w:tcW w:w="1104" w:type="dxa"/>
            <w:vAlign w:val="center"/>
          </w:tcPr>
          <w:p w14:paraId="0693AC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10.172</w:t>
            </w:r>
          </w:p>
        </w:tc>
        <w:tc>
          <w:tcPr>
            <w:tcW w:w="1104" w:type="dxa"/>
            <w:vAlign w:val="center"/>
          </w:tcPr>
          <w:p w14:paraId="729BAF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104" w:type="dxa"/>
            <w:vAlign w:val="center"/>
          </w:tcPr>
          <w:p w14:paraId="2807AA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0.999</w:t>
            </w:r>
          </w:p>
        </w:tc>
        <w:tc>
          <w:tcPr>
            <w:tcW w:w="1104" w:type="dxa"/>
            <w:vAlign w:val="center"/>
          </w:tcPr>
          <w:p w14:paraId="589654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0.017</w:t>
            </w:r>
          </w:p>
        </w:tc>
        <w:tc>
          <w:tcPr>
            <w:tcW w:w="1104" w:type="dxa"/>
            <w:vAlign w:val="center"/>
          </w:tcPr>
          <w:p w14:paraId="40F902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+0.001</w:t>
            </w:r>
          </w:p>
        </w:tc>
        <w:tc>
          <w:tcPr>
            <w:tcW w:w="1104" w:type="dxa"/>
            <w:vAlign w:val="center"/>
          </w:tcPr>
          <w:p w14:paraId="59EA08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−0.010</w:t>
            </w:r>
          </w:p>
        </w:tc>
        <w:tc>
          <w:tcPr>
            <w:tcW w:w="1104" w:type="dxa"/>
            <w:vAlign w:val="center"/>
          </w:tcPr>
          <w:p w14:paraId="72428C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0.621</w:t>
            </w:r>
          </w:p>
        </w:tc>
      </w:tr>
      <w:tr w14:paraId="1A21B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43580C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SEI</w:t>
            </w:r>
          </w:p>
        </w:tc>
        <w:tc>
          <w:tcPr>
            <w:tcW w:w="1104" w:type="dxa"/>
            <w:vAlign w:val="center"/>
          </w:tcPr>
          <w:p w14:paraId="6823AD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Configural</w:t>
            </w:r>
          </w:p>
        </w:tc>
        <w:tc>
          <w:tcPr>
            <w:tcW w:w="1104" w:type="dxa"/>
            <w:vAlign w:val="center"/>
          </w:tcPr>
          <w:p w14:paraId="5EA973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24.959</w:t>
            </w:r>
          </w:p>
        </w:tc>
        <w:tc>
          <w:tcPr>
            <w:tcW w:w="1104" w:type="dxa"/>
            <w:vAlign w:val="center"/>
          </w:tcPr>
          <w:p w14:paraId="09030E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104" w:type="dxa"/>
            <w:vAlign w:val="center"/>
          </w:tcPr>
          <w:p w14:paraId="181487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0.995</w:t>
            </w:r>
          </w:p>
        </w:tc>
        <w:tc>
          <w:tcPr>
            <w:tcW w:w="1104" w:type="dxa"/>
            <w:vAlign w:val="center"/>
          </w:tcPr>
          <w:p w14:paraId="5847E4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0.038</w:t>
            </w:r>
          </w:p>
        </w:tc>
        <w:tc>
          <w:tcPr>
            <w:tcW w:w="1104" w:type="dxa"/>
            <w:vAlign w:val="center"/>
          </w:tcPr>
          <w:p w14:paraId="256C77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1F60B1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58637D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</w:tr>
      <w:tr w14:paraId="0DA7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6EA0CD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SEI</w:t>
            </w:r>
          </w:p>
        </w:tc>
        <w:tc>
          <w:tcPr>
            <w:tcW w:w="1104" w:type="dxa"/>
            <w:vAlign w:val="center"/>
          </w:tcPr>
          <w:p w14:paraId="1987F8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Metric</w:t>
            </w:r>
          </w:p>
        </w:tc>
        <w:tc>
          <w:tcPr>
            <w:tcW w:w="1104" w:type="dxa"/>
            <w:vAlign w:val="center"/>
          </w:tcPr>
          <w:p w14:paraId="4C250E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29.004</w:t>
            </w:r>
          </w:p>
        </w:tc>
        <w:tc>
          <w:tcPr>
            <w:tcW w:w="1104" w:type="dxa"/>
            <w:vAlign w:val="center"/>
          </w:tcPr>
          <w:p w14:paraId="42192E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1104" w:type="dxa"/>
            <w:vAlign w:val="center"/>
          </w:tcPr>
          <w:p w14:paraId="15BEAC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0.994</w:t>
            </w:r>
          </w:p>
        </w:tc>
        <w:tc>
          <w:tcPr>
            <w:tcW w:w="1104" w:type="dxa"/>
            <w:vAlign w:val="center"/>
          </w:tcPr>
          <w:p w14:paraId="547C44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0.037</w:t>
            </w:r>
          </w:p>
        </w:tc>
        <w:tc>
          <w:tcPr>
            <w:tcW w:w="1104" w:type="dxa"/>
            <w:vAlign w:val="center"/>
          </w:tcPr>
          <w:p w14:paraId="76D956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−0.001</w:t>
            </w:r>
          </w:p>
        </w:tc>
        <w:tc>
          <w:tcPr>
            <w:tcW w:w="1104" w:type="dxa"/>
            <w:vAlign w:val="center"/>
          </w:tcPr>
          <w:p w14:paraId="14BE09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−0.002</w:t>
            </w:r>
          </w:p>
        </w:tc>
        <w:tc>
          <w:tcPr>
            <w:tcW w:w="1104" w:type="dxa"/>
            <w:vAlign w:val="center"/>
          </w:tcPr>
          <w:p w14:paraId="2E2CA9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0.257</w:t>
            </w:r>
          </w:p>
        </w:tc>
      </w:tr>
      <w:tr w14:paraId="1CED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3B32E0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SEI</w:t>
            </w:r>
          </w:p>
        </w:tc>
        <w:tc>
          <w:tcPr>
            <w:tcW w:w="1104" w:type="dxa"/>
            <w:vAlign w:val="center"/>
          </w:tcPr>
          <w:p w14:paraId="44E3E3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Scalar</w:t>
            </w:r>
          </w:p>
        </w:tc>
        <w:tc>
          <w:tcPr>
            <w:tcW w:w="1104" w:type="dxa"/>
            <w:vAlign w:val="center"/>
          </w:tcPr>
          <w:p w14:paraId="0BB5DF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29.443</w:t>
            </w:r>
          </w:p>
        </w:tc>
        <w:tc>
          <w:tcPr>
            <w:tcW w:w="1104" w:type="dxa"/>
            <w:vAlign w:val="center"/>
          </w:tcPr>
          <w:p w14:paraId="4E8F40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104" w:type="dxa"/>
            <w:vAlign w:val="center"/>
          </w:tcPr>
          <w:p w14:paraId="2E2BD1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0.996</w:t>
            </w:r>
          </w:p>
        </w:tc>
        <w:tc>
          <w:tcPr>
            <w:tcW w:w="1104" w:type="dxa"/>
            <w:vAlign w:val="center"/>
          </w:tcPr>
          <w:p w14:paraId="4AAEA9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0.03</w:t>
            </w:r>
          </w:p>
        </w:tc>
        <w:tc>
          <w:tcPr>
            <w:tcW w:w="1104" w:type="dxa"/>
            <w:vAlign w:val="center"/>
          </w:tcPr>
          <w:p w14:paraId="19EDB7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+0.001</w:t>
            </w:r>
          </w:p>
        </w:tc>
        <w:tc>
          <w:tcPr>
            <w:tcW w:w="1104" w:type="dxa"/>
            <w:vAlign w:val="center"/>
          </w:tcPr>
          <w:p w14:paraId="048042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−0.007</w:t>
            </w:r>
          </w:p>
        </w:tc>
        <w:tc>
          <w:tcPr>
            <w:tcW w:w="1104" w:type="dxa"/>
            <w:vAlign w:val="center"/>
          </w:tcPr>
          <w:p w14:paraId="55689B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0.932</w:t>
            </w:r>
          </w:p>
        </w:tc>
      </w:tr>
      <w:tr w14:paraId="2983A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413B52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CDI</w:t>
            </w:r>
          </w:p>
        </w:tc>
        <w:tc>
          <w:tcPr>
            <w:tcW w:w="1104" w:type="dxa"/>
            <w:vAlign w:val="center"/>
          </w:tcPr>
          <w:p w14:paraId="558920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Configural</w:t>
            </w:r>
          </w:p>
        </w:tc>
        <w:tc>
          <w:tcPr>
            <w:tcW w:w="1104" w:type="dxa"/>
            <w:vAlign w:val="center"/>
          </w:tcPr>
          <w:p w14:paraId="185E17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11.925</w:t>
            </w:r>
          </w:p>
        </w:tc>
        <w:tc>
          <w:tcPr>
            <w:tcW w:w="1104" w:type="dxa"/>
            <w:vAlign w:val="center"/>
          </w:tcPr>
          <w:p w14:paraId="666DF2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104" w:type="dxa"/>
            <w:vAlign w:val="center"/>
          </w:tcPr>
          <w:p w14:paraId="677DE1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1104" w:type="dxa"/>
            <w:vAlign w:val="center"/>
          </w:tcPr>
          <w:p w14:paraId="51BEF1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1104" w:type="dxa"/>
            <w:vAlign w:val="center"/>
          </w:tcPr>
          <w:p w14:paraId="60C62D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25CE46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  <w:tc>
          <w:tcPr>
            <w:tcW w:w="1104" w:type="dxa"/>
            <w:vAlign w:val="center"/>
          </w:tcPr>
          <w:p w14:paraId="15D504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—</w:t>
            </w:r>
          </w:p>
        </w:tc>
      </w:tr>
      <w:tr w14:paraId="0093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0876D0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CDI</w:t>
            </w:r>
          </w:p>
        </w:tc>
        <w:tc>
          <w:tcPr>
            <w:tcW w:w="1104" w:type="dxa"/>
            <w:vAlign w:val="center"/>
          </w:tcPr>
          <w:p w14:paraId="7D2CBB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Metric</w:t>
            </w:r>
          </w:p>
        </w:tc>
        <w:tc>
          <w:tcPr>
            <w:tcW w:w="1104" w:type="dxa"/>
            <w:vAlign w:val="center"/>
          </w:tcPr>
          <w:p w14:paraId="2273F1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12.538</w:t>
            </w:r>
          </w:p>
        </w:tc>
        <w:tc>
          <w:tcPr>
            <w:tcW w:w="1104" w:type="dxa"/>
            <w:vAlign w:val="center"/>
          </w:tcPr>
          <w:p w14:paraId="561C21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1104" w:type="dxa"/>
            <w:vAlign w:val="center"/>
          </w:tcPr>
          <w:p w14:paraId="4323D2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1104" w:type="dxa"/>
            <w:vAlign w:val="center"/>
          </w:tcPr>
          <w:p w14:paraId="3D72C1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1104" w:type="dxa"/>
            <w:vAlign w:val="center"/>
          </w:tcPr>
          <w:p w14:paraId="372646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0.000</w:t>
            </w:r>
          </w:p>
        </w:tc>
        <w:tc>
          <w:tcPr>
            <w:tcW w:w="1104" w:type="dxa"/>
            <w:vAlign w:val="center"/>
          </w:tcPr>
          <w:p w14:paraId="59CB34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0.000</w:t>
            </w:r>
          </w:p>
        </w:tc>
        <w:tc>
          <w:tcPr>
            <w:tcW w:w="1104" w:type="dxa"/>
            <w:vAlign w:val="center"/>
          </w:tcPr>
          <w:p w14:paraId="746B99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0.893</w:t>
            </w:r>
          </w:p>
        </w:tc>
      </w:tr>
      <w:tr w14:paraId="75A61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04" w:type="dxa"/>
            <w:vAlign w:val="center"/>
          </w:tcPr>
          <w:p w14:paraId="0650D4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CDI</w:t>
            </w:r>
          </w:p>
        </w:tc>
        <w:tc>
          <w:tcPr>
            <w:tcW w:w="1104" w:type="dxa"/>
            <w:vAlign w:val="center"/>
          </w:tcPr>
          <w:p w14:paraId="18F92B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Scalar</w:t>
            </w:r>
          </w:p>
        </w:tc>
        <w:tc>
          <w:tcPr>
            <w:tcW w:w="1104" w:type="dxa"/>
            <w:vAlign w:val="center"/>
          </w:tcPr>
          <w:p w14:paraId="7EEC92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14.443</w:t>
            </w:r>
          </w:p>
        </w:tc>
        <w:tc>
          <w:tcPr>
            <w:tcW w:w="1104" w:type="dxa"/>
            <w:vAlign w:val="center"/>
          </w:tcPr>
          <w:p w14:paraId="367209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104" w:type="dxa"/>
            <w:vAlign w:val="center"/>
          </w:tcPr>
          <w:p w14:paraId="1A6F5A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1104" w:type="dxa"/>
            <w:vAlign w:val="center"/>
          </w:tcPr>
          <w:p w14:paraId="0958C8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1104" w:type="dxa"/>
            <w:vAlign w:val="center"/>
          </w:tcPr>
          <w:p w14:paraId="0DFFBC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0.000</w:t>
            </w:r>
          </w:p>
        </w:tc>
        <w:tc>
          <w:tcPr>
            <w:tcW w:w="1104" w:type="dxa"/>
            <w:vAlign w:val="center"/>
          </w:tcPr>
          <w:p w14:paraId="79073E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0.000</w:t>
            </w:r>
          </w:p>
        </w:tc>
        <w:tc>
          <w:tcPr>
            <w:tcW w:w="1104" w:type="dxa"/>
            <w:vAlign w:val="center"/>
          </w:tcPr>
          <w:p w14:paraId="24D4A5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0.592</w:t>
            </w:r>
          </w:p>
        </w:tc>
      </w:tr>
    </w:tbl>
    <w:p w14:paraId="46B9EA2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Residuals of identically worded items were correlated across waves. Metric models constrained corresponding loadings; scalar models also constrained item intercepts. Invariance was evaluated primarily from ΔCFI together with absolute fit and nested-model diagnostics. For SAT, the configural model had RMSEA = 0; the metric model still fitted well (RMSEA = 0.027), with ΔCFI = -0.002 and a nonsignificant nested test.</w:t>
      </w:r>
    </w:p>
    <w:p w14:paraId="0310F425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  <w:t>Supplementary Table S2. Post-upgrade characteristics of follow-up respondents and nonrespondents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56"/>
        <w:gridCol w:w="1656"/>
        <w:gridCol w:w="1656"/>
        <w:gridCol w:w="1656"/>
        <w:gridCol w:w="1656"/>
      </w:tblGrid>
      <w:tr w14:paraId="4DDBA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56" w:type="dxa"/>
          </w:tcPr>
          <w:p w14:paraId="583BA2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Variable</w:t>
            </w:r>
          </w:p>
        </w:tc>
        <w:tc>
          <w:tcPr>
            <w:tcW w:w="1656" w:type="dxa"/>
          </w:tcPr>
          <w:p w14:paraId="7B061A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Follow-up n=684 M</w:t>
            </w:r>
          </w:p>
        </w:tc>
        <w:tc>
          <w:tcPr>
            <w:tcW w:w="1656" w:type="dxa"/>
          </w:tcPr>
          <w:p w14:paraId="3B9D1B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SD</w:t>
            </w:r>
          </w:p>
        </w:tc>
        <w:tc>
          <w:tcPr>
            <w:tcW w:w="1656" w:type="dxa"/>
          </w:tcPr>
          <w:p w14:paraId="623AB3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Nonresponse n=372 M</w:t>
            </w:r>
          </w:p>
        </w:tc>
        <w:tc>
          <w:tcPr>
            <w:tcW w:w="1656" w:type="dxa"/>
          </w:tcPr>
          <w:p w14:paraId="2139E1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SD</w:t>
            </w:r>
          </w:p>
        </w:tc>
        <w:tc>
          <w:tcPr>
            <w:tcW w:w="1656" w:type="dxa"/>
          </w:tcPr>
          <w:p w14:paraId="26F491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Standardised difference d</w:t>
            </w:r>
          </w:p>
        </w:tc>
      </w:tr>
      <w:tr w14:paraId="5625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3E290E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Prior Nüshu knowledge</w:t>
            </w:r>
          </w:p>
        </w:tc>
        <w:tc>
          <w:tcPr>
            <w:tcW w:w="1656" w:type="dxa"/>
          </w:tcPr>
          <w:p w14:paraId="27AF90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4.167</w:t>
            </w:r>
          </w:p>
        </w:tc>
        <w:tc>
          <w:tcPr>
            <w:tcW w:w="1656" w:type="dxa"/>
          </w:tcPr>
          <w:p w14:paraId="413977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1.365</w:t>
            </w:r>
          </w:p>
        </w:tc>
        <w:tc>
          <w:tcPr>
            <w:tcW w:w="1656" w:type="dxa"/>
          </w:tcPr>
          <w:p w14:paraId="21C9E6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3.669</w:t>
            </w:r>
          </w:p>
        </w:tc>
        <w:tc>
          <w:tcPr>
            <w:tcW w:w="1656" w:type="dxa"/>
          </w:tcPr>
          <w:p w14:paraId="71020E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1.238</w:t>
            </w:r>
          </w:p>
        </w:tc>
        <w:tc>
          <w:tcPr>
            <w:tcW w:w="1656" w:type="dxa"/>
          </w:tcPr>
          <w:p w14:paraId="25802C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0.376</w:t>
            </w:r>
          </w:p>
        </w:tc>
      </w:tr>
      <w:tr w14:paraId="61AC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3D0EF5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Digital-exhibition familiarity</w:t>
            </w:r>
          </w:p>
        </w:tc>
        <w:tc>
          <w:tcPr>
            <w:tcW w:w="1656" w:type="dxa"/>
          </w:tcPr>
          <w:p w14:paraId="3A27E8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3.554</w:t>
            </w:r>
          </w:p>
        </w:tc>
        <w:tc>
          <w:tcPr>
            <w:tcW w:w="1656" w:type="dxa"/>
          </w:tcPr>
          <w:p w14:paraId="593176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1.347</w:t>
            </w:r>
          </w:p>
        </w:tc>
        <w:tc>
          <w:tcPr>
            <w:tcW w:w="1656" w:type="dxa"/>
          </w:tcPr>
          <w:p w14:paraId="736F68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3.476</w:t>
            </w:r>
          </w:p>
        </w:tc>
        <w:tc>
          <w:tcPr>
            <w:tcW w:w="1656" w:type="dxa"/>
          </w:tcPr>
          <w:p w14:paraId="7E33EE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1.310</w:t>
            </w:r>
          </w:p>
        </w:tc>
        <w:tc>
          <w:tcPr>
            <w:tcW w:w="1656" w:type="dxa"/>
          </w:tcPr>
          <w:p w14:paraId="3B1ADC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0.059</w:t>
            </w:r>
          </w:p>
        </w:tc>
      </w:tr>
      <w:tr w14:paraId="1EFD1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2ECAF5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Nüshu-oriented heritage orientation (CI)</w:t>
            </w:r>
          </w:p>
        </w:tc>
        <w:tc>
          <w:tcPr>
            <w:tcW w:w="1656" w:type="dxa"/>
          </w:tcPr>
          <w:p w14:paraId="49EC0B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4.300</w:t>
            </w:r>
          </w:p>
        </w:tc>
        <w:tc>
          <w:tcPr>
            <w:tcW w:w="1656" w:type="dxa"/>
          </w:tcPr>
          <w:p w14:paraId="6B9E5F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0.955</w:t>
            </w:r>
          </w:p>
        </w:tc>
        <w:tc>
          <w:tcPr>
            <w:tcW w:w="1656" w:type="dxa"/>
          </w:tcPr>
          <w:p w14:paraId="7BB0BC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4.108</w:t>
            </w:r>
          </w:p>
        </w:tc>
        <w:tc>
          <w:tcPr>
            <w:tcW w:w="1656" w:type="dxa"/>
          </w:tcPr>
          <w:p w14:paraId="65308E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1.019</w:t>
            </w:r>
          </w:p>
        </w:tc>
        <w:tc>
          <w:tcPr>
            <w:tcW w:w="1656" w:type="dxa"/>
          </w:tcPr>
          <w:p w14:paraId="65CD20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0.197</w:t>
            </w:r>
          </w:p>
        </w:tc>
      </w:tr>
      <w:tr w14:paraId="3C1C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6A26D9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Cultural-affective response (CAR)</w:t>
            </w:r>
          </w:p>
        </w:tc>
        <w:tc>
          <w:tcPr>
            <w:tcW w:w="1656" w:type="dxa"/>
          </w:tcPr>
          <w:p w14:paraId="48B8B9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4.603</w:t>
            </w:r>
          </w:p>
        </w:tc>
        <w:tc>
          <w:tcPr>
            <w:tcW w:w="1656" w:type="dxa"/>
          </w:tcPr>
          <w:p w14:paraId="719215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0.875</w:t>
            </w:r>
          </w:p>
        </w:tc>
        <w:tc>
          <w:tcPr>
            <w:tcW w:w="1656" w:type="dxa"/>
          </w:tcPr>
          <w:p w14:paraId="47DE85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4.452</w:t>
            </w:r>
          </w:p>
        </w:tc>
        <w:tc>
          <w:tcPr>
            <w:tcW w:w="1656" w:type="dxa"/>
          </w:tcPr>
          <w:p w14:paraId="2DAFC3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0.938</w:t>
            </w:r>
          </w:p>
        </w:tc>
        <w:tc>
          <w:tcPr>
            <w:tcW w:w="1656" w:type="dxa"/>
          </w:tcPr>
          <w:p w14:paraId="3DF8D8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0.168</w:t>
            </w:r>
          </w:p>
        </w:tc>
      </w:tr>
      <w:tr w14:paraId="07AD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2C5CC2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Satisfaction (SAT)</w:t>
            </w:r>
          </w:p>
        </w:tc>
        <w:tc>
          <w:tcPr>
            <w:tcW w:w="1656" w:type="dxa"/>
          </w:tcPr>
          <w:p w14:paraId="6331A2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4.600</w:t>
            </w:r>
          </w:p>
        </w:tc>
        <w:tc>
          <w:tcPr>
            <w:tcW w:w="1656" w:type="dxa"/>
          </w:tcPr>
          <w:p w14:paraId="188EA6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0.956</w:t>
            </w:r>
          </w:p>
        </w:tc>
        <w:tc>
          <w:tcPr>
            <w:tcW w:w="1656" w:type="dxa"/>
          </w:tcPr>
          <w:p w14:paraId="592FDD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4.406</w:t>
            </w:r>
          </w:p>
        </w:tc>
        <w:tc>
          <w:tcPr>
            <w:tcW w:w="1656" w:type="dxa"/>
          </w:tcPr>
          <w:p w14:paraId="01BA5C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0.920</w:t>
            </w:r>
          </w:p>
        </w:tc>
        <w:tc>
          <w:tcPr>
            <w:tcW w:w="1656" w:type="dxa"/>
          </w:tcPr>
          <w:p w14:paraId="39B661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0.206</w:t>
            </w:r>
          </w:p>
        </w:tc>
      </w:tr>
      <w:tr w14:paraId="424C2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35B4CC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Sustained engagement intention (SEI)</w:t>
            </w:r>
          </w:p>
        </w:tc>
        <w:tc>
          <w:tcPr>
            <w:tcW w:w="1656" w:type="dxa"/>
          </w:tcPr>
          <w:p w14:paraId="3352CD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4.664</w:t>
            </w:r>
          </w:p>
        </w:tc>
        <w:tc>
          <w:tcPr>
            <w:tcW w:w="1656" w:type="dxa"/>
          </w:tcPr>
          <w:p w14:paraId="56B966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0.936</w:t>
            </w:r>
          </w:p>
        </w:tc>
        <w:tc>
          <w:tcPr>
            <w:tcW w:w="1656" w:type="dxa"/>
          </w:tcPr>
          <w:p w14:paraId="17E520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4.441</w:t>
            </w:r>
          </w:p>
        </w:tc>
        <w:tc>
          <w:tcPr>
            <w:tcW w:w="1656" w:type="dxa"/>
          </w:tcPr>
          <w:p w14:paraId="46B39F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0.848</w:t>
            </w:r>
          </w:p>
        </w:tc>
        <w:tc>
          <w:tcPr>
            <w:tcW w:w="1656" w:type="dxa"/>
          </w:tcPr>
          <w:p w14:paraId="7ED103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0.246</w:t>
            </w:r>
          </w:p>
        </w:tc>
      </w:tr>
      <w:tr w14:paraId="4FA5E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21D210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Dissemination intention (CDI)</w:t>
            </w:r>
          </w:p>
        </w:tc>
        <w:tc>
          <w:tcPr>
            <w:tcW w:w="1656" w:type="dxa"/>
          </w:tcPr>
          <w:p w14:paraId="297BE3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4.550</w:t>
            </w:r>
          </w:p>
        </w:tc>
        <w:tc>
          <w:tcPr>
            <w:tcW w:w="1656" w:type="dxa"/>
          </w:tcPr>
          <w:p w14:paraId="79EED4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0.932</w:t>
            </w:r>
          </w:p>
        </w:tc>
        <w:tc>
          <w:tcPr>
            <w:tcW w:w="1656" w:type="dxa"/>
          </w:tcPr>
          <w:p w14:paraId="0B8BB7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4.382</w:t>
            </w:r>
          </w:p>
        </w:tc>
        <w:tc>
          <w:tcPr>
            <w:tcW w:w="1656" w:type="dxa"/>
          </w:tcPr>
          <w:p w14:paraId="01FC0C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0.860</w:t>
            </w:r>
          </w:p>
        </w:tc>
        <w:tc>
          <w:tcPr>
            <w:tcW w:w="1656" w:type="dxa"/>
          </w:tcPr>
          <w:p w14:paraId="016326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0.185</w:t>
            </w:r>
          </w:p>
        </w:tc>
      </w:tr>
    </w:tbl>
    <w:p w14:paraId="573B5C3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Positive standardised differences indicate higher values among follow-up respondents. The largest difference was in prior Nüshu knowledge (d = 0.376); differences in the focal post-upgrade constructs ranged from d = 0.168 to 0.246.</w:t>
      </w:r>
    </w:p>
    <w:p w14:paraId="061A2840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  <w:t>Supplementary Table S3. Follow-up selection and timing sensitivity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  <w:gridCol w:w="1987"/>
      </w:tblGrid>
      <w:tr w14:paraId="260B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87" w:type="dxa"/>
          </w:tcPr>
          <w:p w14:paraId="7B3EFB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Outcome</w:t>
            </w:r>
          </w:p>
        </w:tc>
        <w:tc>
          <w:tcPr>
            <w:tcW w:w="1987" w:type="dxa"/>
          </w:tcPr>
          <w:p w14:paraId="704F25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Focal predictor</w:t>
            </w:r>
          </w:p>
        </w:tc>
        <w:tc>
          <w:tcPr>
            <w:tcW w:w="1987" w:type="dxa"/>
          </w:tcPr>
          <w:p w14:paraId="4AC104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Adjusted OR (95% CI)</w:t>
            </w:r>
          </w:p>
        </w:tc>
        <w:tc>
          <w:tcPr>
            <w:tcW w:w="1987" w:type="dxa"/>
          </w:tcPr>
          <w:p w14:paraId="6F8469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IPW adjusted OR (95% CI)</w:t>
            </w:r>
          </w:p>
        </w:tc>
        <w:tc>
          <w:tcPr>
            <w:tcW w:w="1987" w:type="dxa"/>
          </w:tcPr>
          <w:p w14:paraId="33AB40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Interpretation</w:t>
            </w:r>
          </w:p>
        </w:tc>
      </w:tr>
      <w:tr w14:paraId="69B0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</w:tcPr>
          <w:p w14:paraId="6E763B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Any engagement behaviour</w:t>
            </w:r>
          </w:p>
        </w:tc>
        <w:tc>
          <w:tcPr>
            <w:tcW w:w="1987" w:type="dxa"/>
          </w:tcPr>
          <w:p w14:paraId="50C67E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Immediate SEI</w:t>
            </w:r>
          </w:p>
        </w:tc>
        <w:tc>
          <w:tcPr>
            <w:tcW w:w="1987" w:type="dxa"/>
          </w:tcPr>
          <w:p w14:paraId="059250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1.91 [1.46, 2.50]</w:t>
            </w:r>
          </w:p>
        </w:tc>
        <w:tc>
          <w:tcPr>
            <w:tcW w:w="1987" w:type="dxa"/>
          </w:tcPr>
          <w:p w14:paraId="52A014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2.21 [1.68, 2.92]</w:t>
            </w:r>
          </w:p>
        </w:tc>
        <w:tc>
          <w:tcPr>
            <w:tcW w:w="1987" w:type="dxa"/>
          </w:tcPr>
          <w:p w14:paraId="219A37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In-window association retained after weighting</w:t>
            </w:r>
          </w:p>
        </w:tc>
      </w:tr>
      <w:tr w14:paraId="49C85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</w:tcPr>
          <w:p w14:paraId="7BC9BB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Any dissemination behaviour</w:t>
            </w:r>
          </w:p>
        </w:tc>
        <w:tc>
          <w:tcPr>
            <w:tcW w:w="1987" w:type="dxa"/>
          </w:tcPr>
          <w:p w14:paraId="1F485A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Immediate CDI</w:t>
            </w:r>
          </w:p>
        </w:tc>
        <w:tc>
          <w:tcPr>
            <w:tcW w:w="1987" w:type="dxa"/>
          </w:tcPr>
          <w:p w14:paraId="5F24ED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1.96 [1.51, 2.56]</w:t>
            </w:r>
          </w:p>
        </w:tc>
        <w:tc>
          <w:tcPr>
            <w:tcW w:w="1987" w:type="dxa"/>
          </w:tcPr>
          <w:p w14:paraId="75626B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2.01 [1.54, 2.62]</w:t>
            </w:r>
          </w:p>
        </w:tc>
        <w:tc>
          <w:tcPr>
            <w:tcW w:w="1987" w:type="dxa"/>
          </w:tcPr>
          <w:p w14:paraId="10A0F0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In-window association retained after weighting</w:t>
            </w:r>
          </w:p>
        </w:tc>
      </w:tr>
      <w:tr w14:paraId="2B13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 w14:paraId="6F6B76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Any engagement behaviour — all follow-ups (n = 684)</w:t>
            </w:r>
          </w:p>
        </w:tc>
        <w:tc>
          <w:tcPr>
            <w:tcW w:w="1987" w:type="dxa"/>
          </w:tcPr>
          <w:p w14:paraId="39C5E4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Immediate SEI</w:t>
            </w:r>
          </w:p>
        </w:tc>
        <w:tc>
          <w:tcPr>
            <w:tcW w:w="1987" w:type="dxa"/>
          </w:tcPr>
          <w:p w14:paraId="2E5F2F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2.16 [1.69, 2.76]</w:t>
            </w:r>
          </w:p>
        </w:tc>
        <w:tc>
          <w:tcPr>
            <w:tcW w:w="1987" w:type="dxa"/>
          </w:tcPr>
          <w:p w14:paraId="325366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987" w:type="dxa"/>
          </w:tcPr>
          <w:p w14:paraId="0BA265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Association retained after follow-up-interval adjustment</w:t>
            </w:r>
          </w:p>
        </w:tc>
      </w:tr>
      <w:tr w14:paraId="1508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 w14:paraId="539D98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Any dissemination behaviour — all follow-ups (n = 684)</w:t>
            </w:r>
          </w:p>
        </w:tc>
        <w:tc>
          <w:tcPr>
            <w:tcW w:w="1987" w:type="dxa"/>
          </w:tcPr>
          <w:p w14:paraId="7EDA07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Immediate CDI</w:t>
            </w:r>
          </w:p>
        </w:tc>
        <w:tc>
          <w:tcPr>
            <w:tcW w:w="1987" w:type="dxa"/>
          </w:tcPr>
          <w:p w14:paraId="1C4841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2.07 [1.64, 2.61]</w:t>
            </w:r>
          </w:p>
        </w:tc>
        <w:tc>
          <w:tcPr>
            <w:tcW w:w="1987" w:type="dxa"/>
          </w:tcPr>
          <w:p w14:paraId="1AA84F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987" w:type="dxa"/>
          </w:tcPr>
          <w:p w14:paraId="535E1E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Association retained after follow-up-interval adjustment</w:t>
            </w:r>
          </w:p>
        </w:tc>
      </w:tr>
    </w:tbl>
    <w:p w14:paraId="2AC825E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The observation-propensity model was estimated in all 1,056 post-upgrade respondents and predicted inclusion in the prespecified 2–4-week follow-up cohort using prior Nüshu knowledge, digital-exhibition familiarity, CI, CAR, SAT, SEI, CDI and repeat-visitor status. Stabilised inverse-probability-of-observation weights among the 528 in-window respondents were truncated at the 1st and 99th percentiles. Weighted outcome models used the same covariates as the primary prospective analyses and robust sandwich standard errors. The all-follow-up timing sensitivity used all 684 respondents, included reported follow-up interval indicators in addition to the primary covariates, and used heteroskedasticity-robust standard errors. The weighting analysis addresses selection on measured characteristics; the all-follow-up analysis addresses sensitivity to response timing.</w:t>
      </w:r>
    </w:p>
    <w:p w14:paraId="3A2DA9E1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  <w:t>Supplementary Table S4. Structural-model sensitivity across exposure definitions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56"/>
        <w:gridCol w:w="1656"/>
        <w:gridCol w:w="1656"/>
        <w:gridCol w:w="1656"/>
        <w:gridCol w:w="1656"/>
      </w:tblGrid>
      <w:tr w14:paraId="13AE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56" w:type="dxa"/>
          </w:tcPr>
          <w:p w14:paraId="21C107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Sample</w:t>
            </w:r>
          </w:p>
        </w:tc>
        <w:tc>
          <w:tcPr>
            <w:tcW w:w="1656" w:type="dxa"/>
          </w:tcPr>
          <w:p w14:paraId="2A853A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</w:t>
            </w:r>
          </w:p>
        </w:tc>
        <w:tc>
          <w:tcPr>
            <w:tcW w:w="1656" w:type="dxa"/>
          </w:tcPr>
          <w:p w14:paraId="4CB34A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CFI</w:t>
            </w:r>
          </w:p>
        </w:tc>
        <w:tc>
          <w:tcPr>
            <w:tcW w:w="1656" w:type="dxa"/>
          </w:tcPr>
          <w:p w14:paraId="2C9514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TLI</w:t>
            </w:r>
          </w:p>
        </w:tc>
        <w:tc>
          <w:tcPr>
            <w:tcW w:w="1656" w:type="dxa"/>
          </w:tcPr>
          <w:p w14:paraId="29326E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RMSEA</w:t>
            </w:r>
          </w:p>
        </w:tc>
        <w:tc>
          <w:tcPr>
            <w:tcW w:w="1656" w:type="dxa"/>
          </w:tcPr>
          <w:p w14:paraId="76DA0D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SRMR</w:t>
            </w:r>
          </w:p>
        </w:tc>
      </w:tr>
      <w:tr w14:paraId="5FAF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396F80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Complete-mechanism</w:t>
            </w:r>
          </w:p>
        </w:tc>
        <w:tc>
          <w:tcPr>
            <w:tcW w:w="1656" w:type="dxa"/>
          </w:tcPr>
          <w:p w14:paraId="16AEE3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375</w:t>
            </w:r>
          </w:p>
        </w:tc>
        <w:tc>
          <w:tcPr>
            <w:tcW w:w="1656" w:type="dxa"/>
          </w:tcPr>
          <w:p w14:paraId="041CBC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0.984</w:t>
            </w:r>
          </w:p>
        </w:tc>
        <w:tc>
          <w:tcPr>
            <w:tcW w:w="1656" w:type="dxa"/>
          </w:tcPr>
          <w:p w14:paraId="67A124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0.983</w:t>
            </w:r>
          </w:p>
        </w:tc>
        <w:tc>
          <w:tcPr>
            <w:tcW w:w="1656" w:type="dxa"/>
          </w:tcPr>
          <w:p w14:paraId="139147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0.021</w:t>
            </w:r>
          </w:p>
        </w:tc>
        <w:tc>
          <w:tcPr>
            <w:tcW w:w="1656" w:type="dxa"/>
          </w:tcPr>
          <w:p w14:paraId="2657C5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0.049</w:t>
            </w:r>
          </w:p>
        </w:tc>
      </w:tr>
      <w:tr w14:paraId="5271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7CE08A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Core-route</w:t>
            </w:r>
          </w:p>
        </w:tc>
        <w:tc>
          <w:tcPr>
            <w:tcW w:w="1656" w:type="dxa"/>
          </w:tcPr>
          <w:p w14:paraId="001609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978</w:t>
            </w:r>
          </w:p>
        </w:tc>
        <w:tc>
          <w:tcPr>
            <w:tcW w:w="1656" w:type="dxa"/>
          </w:tcPr>
          <w:p w14:paraId="16C433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0.994</w:t>
            </w:r>
          </w:p>
        </w:tc>
        <w:tc>
          <w:tcPr>
            <w:tcW w:w="1656" w:type="dxa"/>
          </w:tcPr>
          <w:p w14:paraId="037268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0.993</w:t>
            </w:r>
          </w:p>
        </w:tc>
        <w:tc>
          <w:tcPr>
            <w:tcW w:w="1656" w:type="dxa"/>
          </w:tcPr>
          <w:p w14:paraId="06C3C4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0.013</w:t>
            </w:r>
          </w:p>
        </w:tc>
        <w:tc>
          <w:tcPr>
            <w:tcW w:w="1656" w:type="dxa"/>
          </w:tcPr>
          <w:p w14:paraId="5BDC92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0.036</w:t>
            </w:r>
          </w:p>
        </w:tc>
      </w:tr>
      <w:tr w14:paraId="5200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6" w:type="dxa"/>
          </w:tcPr>
          <w:p w14:paraId="0FA481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All post-upgrade</w:t>
            </w:r>
          </w:p>
        </w:tc>
        <w:tc>
          <w:tcPr>
            <w:tcW w:w="1656" w:type="dxa"/>
          </w:tcPr>
          <w:p w14:paraId="08AA56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1056</w:t>
            </w:r>
          </w:p>
        </w:tc>
        <w:tc>
          <w:tcPr>
            <w:tcW w:w="1656" w:type="dxa"/>
          </w:tcPr>
          <w:p w14:paraId="3621A2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0.994</w:t>
            </w:r>
          </w:p>
        </w:tc>
        <w:tc>
          <w:tcPr>
            <w:tcW w:w="1656" w:type="dxa"/>
          </w:tcPr>
          <w:p w14:paraId="37EF40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0.994</w:t>
            </w:r>
          </w:p>
        </w:tc>
        <w:tc>
          <w:tcPr>
            <w:tcW w:w="1656" w:type="dxa"/>
          </w:tcPr>
          <w:p w14:paraId="0F0838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0.013</w:t>
            </w:r>
          </w:p>
        </w:tc>
        <w:tc>
          <w:tcPr>
            <w:tcW w:w="1656" w:type="dxa"/>
          </w:tcPr>
          <w:p w14:paraId="0F8F0B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0.035</w:t>
            </w:r>
          </w:p>
        </w:tc>
      </w:tr>
    </w:tbl>
    <w:p w14:paraId="52F3CF5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The complete-mechanism sample (n = 375) is the primary structural sample. The n = 978 and n = 1,056 models test broader exposure definitions.</w:t>
      </w:r>
    </w:p>
    <w:p w14:paraId="2692619F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</w:pPr>
      <w:r>
        <w:t>Supplementary Table S5. Measurement-item wording (English translation) and administration timing</w:t>
      </w:r>
    </w:p>
    <w:p w14:paraId="2406497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t>Note. The English translations preserve the meaning of the Chinese survey items administered in the study. All psychological items used a seven-point scale from 1 = strongly disagree to 7 = strongly agree; no items were reverse scored. CI was measured before the route. Post-upgrade mechanism constructs and shared outcomes were measured immediately after the route. CAR, SAT, SEI and CDI used identical wording in the pre- and post-upgrade instruments. CI is labelled Nüshu-oriented heritage orientation in the manuscript while retaining the original survey code.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312"/>
      </w:tblGrid>
      <w:tr w14:paraId="016F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312" w:type="dxa"/>
          </w:tcPr>
          <w:p w14:paraId="0F1ED9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Item</w:t>
            </w:r>
          </w:p>
        </w:tc>
        <w:tc>
          <w:tcPr>
            <w:tcW w:w="3312" w:type="dxa"/>
          </w:tcPr>
          <w:p w14:paraId="662995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Timing</w:t>
            </w:r>
          </w:p>
        </w:tc>
        <w:tc>
          <w:tcPr>
            <w:tcW w:w="3312" w:type="dxa"/>
          </w:tcPr>
          <w:p w14:paraId="14552D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</w:rPr>
              <w:t>English item wording</w:t>
            </w:r>
          </w:p>
        </w:tc>
      </w:tr>
      <w:tr w14:paraId="36DA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5328B1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CI1</w:t>
            </w:r>
          </w:p>
        </w:tc>
        <w:tc>
          <w:tcPr>
            <w:tcW w:w="3312" w:type="dxa"/>
          </w:tcPr>
          <w:p w14:paraId="71EFF3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3312" w:type="dxa"/>
          </w:tcPr>
          <w:p w14:paraId="1E61EC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am willing to actively learn about the history and life stories behind niche forms of women’s intangible cultural heritage such as Nüshu.</w:t>
            </w:r>
          </w:p>
        </w:tc>
      </w:tr>
      <w:tr w14:paraId="142A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728DB6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CI2</w:t>
            </w:r>
          </w:p>
        </w:tc>
        <w:tc>
          <w:tcPr>
            <w:tcW w:w="3312" w:type="dxa"/>
          </w:tcPr>
          <w:p w14:paraId="0412F1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3312" w:type="dxa"/>
          </w:tcPr>
          <w:p w14:paraId="4873F3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identify with the emotions and values of women’s lives embodied in Nüshu.</w:t>
            </w:r>
          </w:p>
        </w:tc>
      </w:tr>
      <w:tr w14:paraId="403D2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023E6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CI3</w:t>
            </w:r>
          </w:p>
        </w:tc>
        <w:tc>
          <w:tcPr>
            <w:tcW w:w="3312" w:type="dxa"/>
          </w:tcPr>
          <w:p w14:paraId="1AA7EB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3312" w:type="dxa"/>
          </w:tcPr>
          <w:p w14:paraId="106E73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Compared with widely known mainstream traditional culture, I am more willing to pay attention to marginal cultural heritage such as Nüshu.</w:t>
            </w:r>
          </w:p>
        </w:tc>
      </w:tr>
      <w:tr w14:paraId="1806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4C1794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CI4</w:t>
            </w:r>
          </w:p>
        </w:tc>
        <w:tc>
          <w:tcPr>
            <w:tcW w:w="3312" w:type="dxa"/>
          </w:tcPr>
          <w:p w14:paraId="3C6A97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3312" w:type="dxa"/>
          </w:tcPr>
          <w:p w14:paraId="5D185A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feel cultural pride when I see Nüshu culture becoming more widely known and protected.</w:t>
            </w:r>
          </w:p>
        </w:tc>
      </w:tr>
      <w:tr w14:paraId="3A05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60A1B0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FPQ1</w:t>
            </w:r>
          </w:p>
        </w:tc>
        <w:tc>
          <w:tcPr>
            <w:tcW w:w="3312" w:type="dxa"/>
          </w:tcPr>
          <w:p w14:paraId="5C55F5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1FCF05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Nüshu Museum’s digital exhibits operated stably and the interaction process could be completed smoothly.</w:t>
            </w:r>
          </w:p>
        </w:tc>
      </w:tr>
      <w:tr w14:paraId="1A49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9067D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FPQ2</w:t>
            </w:r>
          </w:p>
        </w:tc>
        <w:tc>
          <w:tcPr>
            <w:tcW w:w="3312" w:type="dxa"/>
          </w:tcPr>
          <w:p w14:paraId="4BFF00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2DC4EB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information structure of the digital exhibits was clear, the categories were well organised, and it was easy to find the relevant content.</w:t>
            </w:r>
          </w:p>
        </w:tc>
      </w:tr>
      <w:tr w14:paraId="63C3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752CFA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FPQ3</w:t>
            </w:r>
          </w:p>
        </w:tc>
        <w:tc>
          <w:tcPr>
            <w:tcW w:w="3312" w:type="dxa"/>
          </w:tcPr>
          <w:p w14:paraId="78C1D4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532542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functions of the digital exhibits effectively supported my searching for and exploring Nüshu content.</w:t>
            </w:r>
          </w:p>
        </w:tc>
      </w:tr>
      <w:tr w14:paraId="557D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429A37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FPQ4</w:t>
            </w:r>
          </w:p>
        </w:tc>
        <w:tc>
          <w:tcPr>
            <w:tcW w:w="3312" w:type="dxa"/>
          </w:tcPr>
          <w:p w14:paraId="6D24F5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6E470C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functional design of the digital exhibits matched the tasks of visiting and cultural learning well.</w:t>
            </w:r>
          </w:p>
        </w:tc>
      </w:tr>
      <w:tr w14:paraId="0B81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A0416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PEU1</w:t>
            </w:r>
          </w:p>
        </w:tc>
        <w:tc>
          <w:tcPr>
            <w:tcW w:w="3312" w:type="dxa"/>
          </w:tcPr>
          <w:p w14:paraId="524E0D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26C06D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Learning to use these digital exhibits was easy for me.</w:t>
            </w:r>
          </w:p>
        </w:tc>
      </w:tr>
      <w:tr w14:paraId="134B1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197D8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PEU2</w:t>
            </w:r>
          </w:p>
        </w:tc>
        <w:tc>
          <w:tcPr>
            <w:tcW w:w="3312" w:type="dxa"/>
          </w:tcPr>
          <w:p w14:paraId="675C1B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0692DD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It was easy for me to complete relevant operations using these digital exhibits.</w:t>
            </w:r>
          </w:p>
        </w:tc>
      </w:tr>
      <w:tr w14:paraId="25726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1C88E8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PEU3</w:t>
            </w:r>
          </w:p>
        </w:tc>
        <w:tc>
          <w:tcPr>
            <w:tcW w:w="3312" w:type="dxa"/>
          </w:tcPr>
          <w:p w14:paraId="37D755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3EF3BE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did not need to expend much extra effort to use these digital exhibits.</w:t>
            </w:r>
          </w:p>
        </w:tc>
      </w:tr>
      <w:tr w14:paraId="610E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1B69F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PU1</w:t>
            </w:r>
          </w:p>
        </w:tc>
        <w:tc>
          <w:tcPr>
            <w:tcW w:w="3312" w:type="dxa"/>
          </w:tcPr>
          <w:p w14:paraId="59C029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69B71B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These digital experiences helped me better understand the origins and development of Nüshu.</w:t>
            </w:r>
          </w:p>
        </w:tc>
      </w:tr>
      <w:tr w14:paraId="0BF6D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552BC0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PU2</w:t>
            </w:r>
          </w:p>
        </w:tc>
        <w:tc>
          <w:tcPr>
            <w:tcW w:w="3312" w:type="dxa"/>
          </w:tcPr>
          <w:p w14:paraId="5D7449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5074CB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These digital experiences helped me better understand the cultural meaning and social significance of Nüshu.</w:t>
            </w:r>
          </w:p>
        </w:tc>
      </w:tr>
      <w:tr w14:paraId="31783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577C7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PU3</w:t>
            </w:r>
          </w:p>
        </w:tc>
        <w:tc>
          <w:tcPr>
            <w:tcW w:w="3312" w:type="dxa"/>
          </w:tcPr>
          <w:p w14:paraId="36F678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10E503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These digital experiences improved the efficiency with which I could understand and learn about Nüshu culture.</w:t>
            </w:r>
          </w:p>
        </w:tc>
      </w:tr>
      <w:tr w14:paraId="41C48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7A6409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VAE1</w:t>
            </w:r>
          </w:p>
        </w:tc>
        <w:tc>
          <w:tcPr>
            <w:tcW w:w="3312" w:type="dxa"/>
          </w:tcPr>
          <w:p w14:paraId="00E05C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794C51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Nüshu digital exhibits had clear and vivid visual presentation.</w:t>
            </w:r>
          </w:p>
        </w:tc>
      </w:tr>
      <w:tr w14:paraId="53D7E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C1947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VAE2</w:t>
            </w:r>
          </w:p>
        </w:tc>
        <w:tc>
          <w:tcPr>
            <w:tcW w:w="3312" w:type="dxa"/>
          </w:tcPr>
          <w:p w14:paraId="014C02C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4CEB2B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visual presentation of colours, graphics, text, images/video and space was coherent overall.</w:t>
            </w:r>
          </w:p>
        </w:tc>
      </w:tr>
      <w:tr w14:paraId="43ABF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4A856A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VAE3</w:t>
            </w:r>
          </w:p>
        </w:tc>
        <w:tc>
          <w:tcPr>
            <w:tcW w:w="3312" w:type="dxa"/>
          </w:tcPr>
          <w:p w14:paraId="276030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49ED87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digital displays had strong visual appeal.</w:t>
            </w:r>
          </w:p>
        </w:tc>
      </w:tr>
      <w:tr w14:paraId="0D99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13F13D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VAE4</w:t>
            </w:r>
          </w:p>
        </w:tc>
        <w:tc>
          <w:tcPr>
            <w:tcW w:w="3312" w:type="dxa"/>
          </w:tcPr>
          <w:p w14:paraId="3B32B0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6E0400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digital visual design expressed clear and distinctive visual features of Nüshu culture.</w:t>
            </w:r>
          </w:p>
        </w:tc>
      </w:tr>
      <w:tr w14:paraId="3429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69EE4E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ANE1</w:t>
            </w:r>
          </w:p>
        </w:tc>
        <w:tc>
          <w:tcPr>
            <w:tcW w:w="3312" w:type="dxa"/>
          </w:tcPr>
          <w:p w14:paraId="67C21A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0516D0C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Nüshu singing, spoken narration and sound content clearly conveyed relevant cultural information.</w:t>
            </w:r>
          </w:p>
        </w:tc>
      </w:tr>
      <w:tr w14:paraId="35C4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49522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ANE2</w:t>
            </w:r>
          </w:p>
        </w:tc>
        <w:tc>
          <w:tcPr>
            <w:tcW w:w="3312" w:type="dxa"/>
          </w:tcPr>
          <w:p w14:paraId="188AD9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4ED375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The sound content enabled me to experience more concretely the lives and cultural settings of Nüshu women.</w:t>
            </w:r>
          </w:p>
        </w:tc>
      </w:tr>
      <w:tr w14:paraId="4F5B3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709F62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ANE3</w:t>
            </w:r>
          </w:p>
        </w:tc>
        <w:tc>
          <w:tcPr>
            <w:tcW w:w="3312" w:type="dxa"/>
          </w:tcPr>
          <w:p w14:paraId="6BE343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79FD7A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Nüshu singing and storytelling were emotionally engaging and conveyed emotions beyond the written words.</w:t>
            </w:r>
          </w:p>
        </w:tc>
      </w:tr>
      <w:tr w14:paraId="1F38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9BF70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ANE4</w:t>
            </w:r>
          </w:p>
        </w:tc>
        <w:tc>
          <w:tcPr>
            <w:tcW w:w="3312" w:type="dxa"/>
          </w:tcPr>
          <w:p w14:paraId="020344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494507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Sound and storytelling made the expression of Nüshu culture more complete and coherent.</w:t>
            </w:r>
          </w:p>
        </w:tc>
      </w:tr>
      <w:tr w14:paraId="7EB3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374EA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HIE1</w:t>
            </w:r>
          </w:p>
        </w:tc>
        <w:tc>
          <w:tcPr>
            <w:tcW w:w="3312" w:type="dxa"/>
          </w:tcPr>
          <w:p w14:paraId="3AB88D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5A8AC0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Participating in these digital experiences was enjoyable and attractive to me.</w:t>
            </w:r>
          </w:p>
        </w:tc>
      </w:tr>
      <w:tr w14:paraId="5377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1029D5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HIE2</w:t>
            </w:r>
          </w:p>
        </w:tc>
        <w:tc>
          <w:tcPr>
            <w:tcW w:w="3312" w:type="dxa"/>
          </w:tcPr>
          <w:p w14:paraId="306E4D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1A9727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During the experience, my attention remained focused on the exhibit content.</w:t>
            </w:r>
          </w:p>
        </w:tc>
      </w:tr>
      <w:tr w14:paraId="4AF0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59D3E8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HIE3</w:t>
            </w:r>
          </w:p>
        </w:tc>
        <w:tc>
          <w:tcPr>
            <w:tcW w:w="3312" w:type="dxa"/>
          </w:tcPr>
          <w:p w14:paraId="676D97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7706FD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became immersed in the process of exploration and hardly noticed my surroundings.</w:t>
            </w:r>
          </w:p>
        </w:tc>
      </w:tr>
      <w:tr w14:paraId="5CE2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6357A0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HIE4</w:t>
            </w:r>
          </w:p>
        </w:tc>
        <w:tc>
          <w:tcPr>
            <w:tcW w:w="3312" w:type="dxa"/>
          </w:tcPr>
          <w:p w14:paraId="2E7573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</w:t>
            </w:r>
          </w:p>
        </w:tc>
        <w:tc>
          <w:tcPr>
            <w:tcW w:w="3312" w:type="dxa"/>
          </w:tcPr>
          <w:p w14:paraId="257FBD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was willing to spend more time continuing to explore these digital exhibits.</w:t>
            </w:r>
          </w:p>
        </w:tc>
      </w:tr>
      <w:tr w14:paraId="55A3A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78A2CC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CAR1</w:t>
            </w:r>
          </w:p>
        </w:tc>
        <w:tc>
          <w:tcPr>
            <w:tcW w:w="3312" w:type="dxa"/>
          </w:tcPr>
          <w:p w14:paraId="25321A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517DB7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This visit experience made me feel emotionally moved by Nüshu culture.</w:t>
            </w:r>
          </w:p>
        </w:tc>
      </w:tr>
      <w:tr w14:paraId="6E1F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0B299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CAR2</w:t>
            </w:r>
          </w:p>
        </w:tc>
        <w:tc>
          <w:tcPr>
            <w:tcW w:w="3312" w:type="dxa"/>
          </w:tcPr>
          <w:p w14:paraId="0CFC91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77FD7F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felt emotional resonance with the life experiences and cultural stories of Nüshu women.</w:t>
            </w:r>
          </w:p>
        </w:tc>
      </w:tr>
      <w:tr w14:paraId="57FE2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CB507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CAR3</w:t>
            </w:r>
          </w:p>
        </w:tc>
        <w:tc>
          <w:tcPr>
            <w:tcW w:w="3312" w:type="dxa"/>
          </w:tcPr>
          <w:p w14:paraId="42D8A8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603D9E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This visit experience made me feel emotionally closer to Nüshu culture.</w:t>
            </w:r>
          </w:p>
        </w:tc>
      </w:tr>
      <w:tr w14:paraId="3DCD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137A0A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CAR4</w:t>
            </w:r>
          </w:p>
        </w:tc>
        <w:tc>
          <w:tcPr>
            <w:tcW w:w="3312" w:type="dxa"/>
          </w:tcPr>
          <w:p w14:paraId="02E8DA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0B0288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This visit experience made me more concerned about the future safeguarding and transmission of Nüshu culture.</w:t>
            </w:r>
          </w:p>
        </w:tc>
      </w:tr>
      <w:tr w14:paraId="0B4D0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1CEB57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SAT1</w:t>
            </w:r>
          </w:p>
        </w:tc>
        <w:tc>
          <w:tcPr>
            <w:tcW w:w="3312" w:type="dxa"/>
          </w:tcPr>
          <w:p w14:paraId="697F62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4D7D0E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Overall, I was satisfied with this Nüshu Museum visit experience.</w:t>
            </w:r>
          </w:p>
        </w:tc>
      </w:tr>
      <w:tr w14:paraId="2D3D0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7F4DF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SAT2</w:t>
            </w:r>
          </w:p>
        </w:tc>
        <w:tc>
          <w:tcPr>
            <w:tcW w:w="3312" w:type="dxa"/>
          </w:tcPr>
          <w:p w14:paraId="3DD794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05FEF5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This visit experience met my overall expectations.</w:t>
            </w:r>
          </w:p>
        </w:tc>
      </w:tr>
      <w:tr w14:paraId="7873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6A901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SAT3</w:t>
            </w:r>
          </w:p>
        </w:tc>
        <w:tc>
          <w:tcPr>
            <w:tcW w:w="3312" w:type="dxa"/>
          </w:tcPr>
          <w:p w14:paraId="7437A2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08551E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consider this visit experience worthwhile.</w:t>
            </w:r>
          </w:p>
        </w:tc>
      </w:tr>
      <w:tr w14:paraId="47F52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E3488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SEI1</w:t>
            </w:r>
          </w:p>
        </w:tc>
        <w:tc>
          <w:tcPr>
            <w:tcW w:w="3312" w:type="dxa"/>
          </w:tcPr>
          <w:p w14:paraId="1ED10A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351F38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In the future, I am willing to continue understanding and learning about Nüshu culture.</w:t>
            </w:r>
          </w:p>
        </w:tc>
      </w:tr>
      <w:tr w14:paraId="71042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754BC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SEI2</w:t>
            </w:r>
          </w:p>
        </w:tc>
        <w:tc>
          <w:tcPr>
            <w:tcW w:w="3312" w:type="dxa"/>
          </w:tcPr>
          <w:p w14:paraId="6A643D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1413DC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In the future, I am willing to continue following information about Nüshu safeguarding and transmission.</w:t>
            </w:r>
          </w:p>
        </w:tc>
      </w:tr>
      <w:tr w14:paraId="2A96C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1B047C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SEI3</w:t>
            </w:r>
          </w:p>
        </w:tc>
        <w:tc>
          <w:tcPr>
            <w:tcW w:w="3312" w:type="dxa"/>
          </w:tcPr>
          <w:p w14:paraId="7FED6C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1393D3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In the future, I am willing to revisit the Nüshu Museum or participate in Nüshu-related experiences.</w:t>
            </w:r>
          </w:p>
        </w:tc>
      </w:tr>
      <w:tr w14:paraId="1A49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3A299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SEI4</w:t>
            </w:r>
          </w:p>
        </w:tc>
        <w:tc>
          <w:tcPr>
            <w:tcW w:w="3312" w:type="dxa"/>
          </w:tcPr>
          <w:p w14:paraId="6A16C3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6001F6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In the future, I am willing to participate in Nüshu-related educational, cultural, or safeguarding and transmission activities.</w:t>
            </w:r>
          </w:p>
        </w:tc>
      </w:tr>
      <w:tr w14:paraId="2571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522ED2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CDI1</w:t>
            </w:r>
          </w:p>
        </w:tc>
        <w:tc>
          <w:tcPr>
            <w:tcW w:w="3312" w:type="dxa"/>
          </w:tcPr>
          <w:p w14:paraId="045700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18D808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am willing to introduce Nüshu culture to family members or friends.</w:t>
            </w:r>
          </w:p>
        </w:tc>
      </w:tr>
      <w:tr w14:paraId="7DBA4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66BA4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CDI2</w:t>
            </w:r>
          </w:p>
        </w:tc>
        <w:tc>
          <w:tcPr>
            <w:tcW w:w="3312" w:type="dxa"/>
          </w:tcPr>
          <w:p w14:paraId="6FA826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18F38B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am willing to share Nüshu-related knowledge or experiences on online platforms.</w:t>
            </w:r>
          </w:p>
        </w:tc>
      </w:tr>
      <w:tr w14:paraId="43101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29AD6D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CDI3</w:t>
            </w:r>
          </w:p>
        </w:tc>
        <w:tc>
          <w:tcPr>
            <w:tcW w:w="3312" w:type="dxa"/>
          </w:tcPr>
          <w:p w14:paraId="13E4C1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02B6DC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am willing to recommend that others learn about Nüshu culture or visit the Nüshu Museum.</w:t>
            </w:r>
          </w:p>
        </w:tc>
      </w:tr>
      <w:tr w14:paraId="1706F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E2F1E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CDI4</w:t>
            </w:r>
          </w:p>
        </w:tc>
        <w:tc>
          <w:tcPr>
            <w:tcW w:w="3312" w:type="dxa"/>
          </w:tcPr>
          <w:p w14:paraId="065FA3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Post-route; identical pre/post</w:t>
            </w:r>
          </w:p>
        </w:tc>
        <w:tc>
          <w:tcPr>
            <w:tcW w:w="3312" w:type="dxa"/>
          </w:tcPr>
          <w:p w14:paraId="0A6534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I am willing to actively discuss Nüshu culture and its safeguarding and transmission with others.</w:t>
            </w:r>
          </w:p>
        </w:tc>
      </w:tr>
    </w:tbl>
    <w:p w14:paraId="5F95859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en-US" w:bidi="ar-SA"/>
        </w:rPr>
        <w:t>Supplementary Table S6. Follow-up behavioural domains</w:t>
      </w:r>
    </w:p>
    <w:p w14:paraId="68E40CD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Note. Behaviour indicators were analysed as observed domains and counts, not as reflective latent scales. The primary prospective window was two to four weeks after the post-upgrade visit.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312"/>
      </w:tblGrid>
      <w:tr w14:paraId="0C4B2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312" w:type="dxa"/>
          </w:tcPr>
          <w:p w14:paraId="08A704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Item</w:t>
            </w:r>
          </w:p>
        </w:tc>
        <w:tc>
          <w:tcPr>
            <w:tcW w:w="3312" w:type="dxa"/>
          </w:tcPr>
          <w:p w14:paraId="2DF24C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Domain</w:t>
            </w:r>
          </w:p>
        </w:tc>
        <w:tc>
          <w:tcPr>
            <w:tcW w:w="3312" w:type="dxa"/>
          </w:tcPr>
          <w:p w14:paraId="05FF3E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Observed behaviour</w:t>
            </w:r>
          </w:p>
        </w:tc>
      </w:tr>
      <w:tr w14:paraId="6F29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6053FE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B1</w:t>
            </w:r>
          </w:p>
        </w:tc>
        <w:tc>
          <w:tcPr>
            <w:tcW w:w="3312" w:type="dxa"/>
          </w:tcPr>
          <w:p w14:paraId="785236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Engagement</w:t>
            </w:r>
          </w:p>
        </w:tc>
        <w:tc>
          <w:tcPr>
            <w:tcW w:w="3312" w:type="dxa"/>
          </w:tcPr>
          <w:p w14:paraId="43E8B2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Searched, read or watched new Nüshu-related material</w:t>
            </w:r>
          </w:p>
        </w:tc>
      </w:tr>
      <w:tr w14:paraId="03207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E118B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B2</w:t>
            </w:r>
          </w:p>
        </w:tc>
        <w:tc>
          <w:tcPr>
            <w:tcW w:w="3312" w:type="dxa"/>
          </w:tcPr>
          <w:p w14:paraId="21EA22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Engagement</w:t>
            </w:r>
          </w:p>
        </w:tc>
        <w:tc>
          <w:tcPr>
            <w:tcW w:w="3312" w:type="dxa"/>
          </w:tcPr>
          <w:p w14:paraId="310E22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Followed/subscribed to relevant museum, safeguarding or cultural accounts, or saved related content</w:t>
            </w:r>
          </w:p>
        </w:tc>
      </w:tr>
      <w:tr w14:paraId="379F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CEA98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B3</w:t>
            </w:r>
          </w:p>
        </w:tc>
        <w:tc>
          <w:tcPr>
            <w:tcW w:w="3312" w:type="dxa"/>
          </w:tcPr>
          <w:p w14:paraId="1F3C3F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Engagement</w:t>
            </w:r>
          </w:p>
        </w:tc>
        <w:tc>
          <w:tcPr>
            <w:tcW w:w="3312" w:type="dxa"/>
          </w:tcPr>
          <w:p w14:paraId="4CDB9A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Repeated an online Nüshu digital experience and/or revisited the physical museum/park</w:t>
            </w:r>
          </w:p>
        </w:tc>
      </w:tr>
      <w:tr w14:paraId="4CB43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3FD8FA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B4</w:t>
            </w:r>
          </w:p>
        </w:tc>
        <w:tc>
          <w:tcPr>
            <w:tcW w:w="3312" w:type="dxa"/>
          </w:tcPr>
          <w:p w14:paraId="33DE9F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Engagement</w:t>
            </w:r>
          </w:p>
        </w:tc>
        <w:tc>
          <w:tcPr>
            <w:tcW w:w="3312" w:type="dxa"/>
          </w:tcPr>
          <w:p w14:paraId="15F438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</w:rPr>
              <w:t>Participated in a Nüshu-related educational, cultural, experiential or safeguarding activity</w:t>
            </w:r>
          </w:p>
        </w:tc>
      </w:tr>
      <w:tr w14:paraId="00245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701F91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C1</w:t>
            </w:r>
          </w:p>
        </w:tc>
        <w:tc>
          <w:tcPr>
            <w:tcW w:w="3312" w:type="dxa"/>
          </w:tcPr>
          <w:p w14:paraId="642C88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Dissemination</w:t>
            </w:r>
          </w:p>
        </w:tc>
        <w:tc>
          <w:tcPr>
            <w:tcW w:w="3312" w:type="dxa"/>
          </w:tcPr>
          <w:p w14:paraId="367BE8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Introduced Nüshu culture to family, friends or colleagues</w:t>
            </w:r>
          </w:p>
        </w:tc>
      </w:tr>
      <w:tr w14:paraId="7E85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3312" w:type="dxa"/>
          </w:tcPr>
          <w:p w14:paraId="041941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C2</w:t>
            </w:r>
          </w:p>
        </w:tc>
        <w:tc>
          <w:tcPr>
            <w:tcW w:w="3312" w:type="dxa"/>
          </w:tcPr>
          <w:p w14:paraId="0C9DEC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Dissemination</w:t>
            </w:r>
          </w:p>
        </w:tc>
        <w:tc>
          <w:tcPr>
            <w:tcW w:w="3312" w:type="dxa"/>
          </w:tcPr>
          <w:p w14:paraId="422D03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Shared, reposted, commented on or posted Nüshu-related content online</w:t>
            </w:r>
          </w:p>
        </w:tc>
      </w:tr>
      <w:tr w14:paraId="209C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43EF2C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C3</w:t>
            </w:r>
          </w:p>
        </w:tc>
        <w:tc>
          <w:tcPr>
            <w:tcW w:w="3312" w:type="dxa"/>
          </w:tcPr>
          <w:p w14:paraId="6C4EF9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Dissemination</w:t>
            </w:r>
          </w:p>
        </w:tc>
        <w:tc>
          <w:tcPr>
            <w:tcW w:w="3312" w:type="dxa"/>
          </w:tcPr>
          <w:p w14:paraId="59312D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Recommended the Nüshu Museum/park or a related Nüshu cultural experience to others</w:t>
            </w:r>
          </w:p>
        </w:tc>
      </w:tr>
      <w:tr w14:paraId="553C5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312" w:type="dxa"/>
          </w:tcPr>
          <w:p w14:paraId="01EE0D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C4</w:t>
            </w:r>
          </w:p>
        </w:tc>
        <w:tc>
          <w:tcPr>
            <w:tcW w:w="3312" w:type="dxa"/>
          </w:tcPr>
          <w:p w14:paraId="469164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Dissemination</w:t>
            </w:r>
          </w:p>
        </w:tc>
        <w:tc>
          <w:tcPr>
            <w:tcW w:w="3312" w:type="dxa"/>
          </w:tcPr>
          <w:p w14:paraId="44C9CA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</w:rPr>
              <w:t>Discussed Nüshu safeguarding, transmission or digital display with others</w:t>
            </w:r>
          </w:p>
        </w:tc>
      </w:tr>
    </w:tbl>
    <w:p w14:paraId="6EF47EA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Supplementary methods note. The baseline (n = 763), post-upgrade (n = 1,056) and follow-up (n = 684) analysis files contained no missing values or duplicate anonymous codes. In the complete-mechanism SEM sample, item skewness ranged from -0.366 to 0.184 and excess kurtosis from -0.079 to 1.246.</w:t>
      </w:r>
    </w:p>
    <w:p w14:paraId="2EADDF0F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  <w:t>Supplementary Table S7. Single-item covariates, exposure checks and cohort indicators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506"/>
        <w:gridCol w:w="1933"/>
        <w:gridCol w:w="3015"/>
        <w:gridCol w:w="2083"/>
      </w:tblGrid>
      <w:tr w14:paraId="3247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87" w:type="dxa"/>
            <w:vAlign w:val="center"/>
          </w:tcPr>
          <w:p w14:paraId="21E9A4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Variable</w:t>
            </w:r>
          </w:p>
        </w:tc>
        <w:tc>
          <w:tcPr>
            <w:tcW w:w="1987" w:type="dxa"/>
            <w:vAlign w:val="center"/>
          </w:tcPr>
          <w:p w14:paraId="478947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Timing</w:t>
            </w:r>
          </w:p>
        </w:tc>
        <w:tc>
          <w:tcPr>
            <w:tcW w:w="1987" w:type="dxa"/>
            <w:vAlign w:val="center"/>
          </w:tcPr>
          <w:p w14:paraId="3B6F3A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Question/definition</w:t>
            </w:r>
          </w:p>
        </w:tc>
        <w:tc>
          <w:tcPr>
            <w:tcW w:w="1987" w:type="dxa"/>
            <w:vAlign w:val="center"/>
          </w:tcPr>
          <w:p w14:paraId="75336C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Response coding</w:t>
            </w:r>
          </w:p>
        </w:tc>
        <w:tc>
          <w:tcPr>
            <w:tcW w:w="1987" w:type="dxa"/>
            <w:vAlign w:val="center"/>
          </w:tcPr>
          <w:p w14:paraId="68B773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Analytical role</w:t>
            </w:r>
          </w:p>
        </w:tc>
      </w:tr>
      <w:tr w14:paraId="534A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20FA96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Prior museum attendance (pre-route B1)</w:t>
            </w:r>
          </w:p>
        </w:tc>
        <w:tc>
          <w:tcPr>
            <w:tcW w:w="1987" w:type="dxa"/>
            <w:vAlign w:val="center"/>
          </w:tcPr>
          <w:p w14:paraId="4D391F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1987" w:type="dxa"/>
            <w:vAlign w:val="center"/>
          </w:tcPr>
          <w:p w14:paraId="46D82F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Before this visit, had you previously visited the Nüshu Museum/Nüshu Garden?</w:t>
            </w:r>
          </w:p>
        </w:tc>
        <w:tc>
          <w:tcPr>
            <w:tcW w:w="1987" w:type="dxa"/>
            <w:vAlign w:val="center"/>
          </w:tcPr>
          <w:p w14:paraId="54AE4B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Never; once; twice or more</w:t>
            </w:r>
          </w:p>
        </w:tc>
        <w:tc>
          <w:tcPr>
            <w:tcW w:w="1987" w:type="dxa"/>
            <w:vAlign w:val="center"/>
          </w:tcPr>
          <w:p w14:paraId="1CD237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Descriptive/contextual; repeat status for longitudinal analyses was established by anonymous-code overlap. All 604 post-upgrade-only respondents selected 'Never', supporting their description as first-time post-upgrade visitors in the main text.</w:t>
            </w:r>
          </w:p>
        </w:tc>
      </w:tr>
      <w:tr w14:paraId="2DB37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5E72D1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Prior Nüshu knowledge (pre-route B2)</w:t>
            </w:r>
          </w:p>
        </w:tc>
        <w:tc>
          <w:tcPr>
            <w:tcW w:w="1987" w:type="dxa"/>
            <w:vAlign w:val="center"/>
          </w:tcPr>
          <w:p w14:paraId="6F872E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1987" w:type="dxa"/>
            <w:vAlign w:val="center"/>
          </w:tcPr>
          <w:p w14:paraId="0A830B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Before the visit, how much did you know about Nüshu culture?</w:t>
            </w:r>
          </w:p>
        </w:tc>
        <w:tc>
          <w:tcPr>
            <w:tcW w:w="1987" w:type="dxa"/>
            <w:vAlign w:val="center"/>
          </w:tcPr>
          <w:p w14:paraId="008283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 = no knowledge at all to 7 = very knowledgeable</w:t>
            </w:r>
          </w:p>
        </w:tc>
        <w:tc>
          <w:tcPr>
            <w:tcW w:w="1987" w:type="dxa"/>
            <w:vAlign w:val="center"/>
          </w:tcPr>
          <w:p w14:paraId="1BA7AC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Covariate in adjusted museum-period and prospective models.</w:t>
            </w:r>
          </w:p>
        </w:tc>
      </w:tr>
      <w:tr w14:paraId="217C4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699943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Digital-exhibition familiarity (pre-route B3)</w:t>
            </w:r>
          </w:p>
        </w:tc>
        <w:tc>
          <w:tcPr>
            <w:tcW w:w="1987" w:type="dxa"/>
            <w:vAlign w:val="center"/>
          </w:tcPr>
          <w:p w14:paraId="5BB3BC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Pre-route</w:t>
            </w:r>
          </w:p>
        </w:tc>
        <w:tc>
          <w:tcPr>
            <w:tcW w:w="1987" w:type="dxa"/>
            <w:vAlign w:val="center"/>
          </w:tcPr>
          <w:p w14:paraId="2EDE7B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How familiar are you generally with museum digital displays, AR/VR or interactive installations?</w:t>
            </w:r>
          </w:p>
        </w:tc>
        <w:tc>
          <w:tcPr>
            <w:tcW w:w="1987" w:type="dxa"/>
            <w:vAlign w:val="center"/>
          </w:tcPr>
          <w:p w14:paraId="643174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 = not at all familiar to 7 = very familiar</w:t>
            </w:r>
          </w:p>
        </w:tc>
        <w:tc>
          <w:tcPr>
            <w:tcW w:w="1987" w:type="dxa"/>
            <w:vAlign w:val="center"/>
          </w:tcPr>
          <w:p w14:paraId="4C3352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Covariate in adjusted museum-period and prospective models.</w:t>
            </w:r>
          </w:p>
        </w:tc>
      </w:tr>
      <w:tr w14:paraId="73A31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758DAF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Route completion (visit C1)</w:t>
            </w:r>
          </w:p>
        </w:tc>
        <w:tc>
          <w:tcPr>
            <w:tcW w:w="1987" w:type="dxa"/>
            <w:vAlign w:val="center"/>
          </w:tcPr>
          <w:p w14:paraId="1EF407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During visit</w:t>
            </w:r>
          </w:p>
        </w:tc>
        <w:tc>
          <w:tcPr>
            <w:tcW w:w="1987" w:type="dxa"/>
            <w:vAlign w:val="center"/>
          </w:tcPr>
          <w:p w14:paraId="2A6CF0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Did you complete the research-designated main/core museum route?</w:t>
            </w:r>
          </w:p>
        </w:tc>
        <w:tc>
          <w:tcPr>
            <w:tcW w:w="1987" w:type="dxa"/>
            <w:vAlign w:val="center"/>
          </w:tcPr>
          <w:p w14:paraId="77E156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Yes / No</w:t>
            </w:r>
          </w:p>
        </w:tc>
        <w:tc>
          <w:tcPr>
            <w:tcW w:w="1987" w:type="dxa"/>
            <w:vAlign w:val="center"/>
          </w:tcPr>
          <w:p w14:paraId="249DCC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Used to define route-completion sensitivity samples.</w:t>
            </w:r>
          </w:p>
        </w:tc>
      </w:tr>
      <w:tr w14:paraId="5334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54EA88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Digital-content exposure (post C2)</w:t>
            </w:r>
          </w:p>
        </w:tc>
        <w:tc>
          <w:tcPr>
            <w:tcW w:w="1987" w:type="dxa"/>
            <w:vAlign w:val="center"/>
          </w:tcPr>
          <w:p w14:paraId="54E261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Post-upgrade route</w:t>
            </w:r>
          </w:p>
        </w:tc>
        <w:tc>
          <w:tcPr>
            <w:tcW w:w="1987" w:type="dxa"/>
            <w:vAlign w:val="center"/>
          </w:tcPr>
          <w:p w14:paraId="53B39A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Which content did you actually experience?</w:t>
            </w:r>
          </w:p>
        </w:tc>
        <w:tc>
          <w:tcPr>
            <w:tcW w:w="1987" w:type="dxa"/>
            <w:vAlign w:val="center"/>
          </w:tcPr>
          <w:p w14:paraId="069B3A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Digital visual/animation/information visualisation; Nüshu singing/voice/story narration; interactive writing/seals/riddles or games; immersive projection/drama/contextual experience; digital literature/transmitter/safeguarding-information platform</w:t>
            </w:r>
          </w:p>
        </w:tc>
        <w:tc>
          <w:tcPr>
            <w:tcW w:w="1987" w:type="dxa"/>
            <w:vAlign w:val="center"/>
          </w:tcPr>
          <w:p w14:paraId="7CE04E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Auditory-narrative and immersive exposure, together with core-route completion, defined the complete-mechanism sample.</w:t>
            </w:r>
          </w:p>
        </w:tc>
      </w:tr>
      <w:tr w14:paraId="5D91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0DCE0D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Core-area dwell time (post C3)</w:t>
            </w:r>
          </w:p>
        </w:tc>
        <w:tc>
          <w:tcPr>
            <w:tcW w:w="1987" w:type="dxa"/>
            <w:vAlign w:val="center"/>
          </w:tcPr>
          <w:p w14:paraId="6ADCDF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Post-upgrade route</w:t>
            </w:r>
          </w:p>
        </w:tc>
        <w:tc>
          <w:tcPr>
            <w:tcW w:w="1987" w:type="dxa"/>
            <w:vAlign w:val="center"/>
          </w:tcPr>
          <w:p w14:paraId="7F90F6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Approximately how long did you spend in the core digital-experience area?</w:t>
            </w:r>
          </w:p>
        </w:tc>
        <w:tc>
          <w:tcPr>
            <w:tcW w:w="1987" w:type="dxa"/>
            <w:vAlign w:val="center"/>
          </w:tcPr>
          <w:p w14:paraId="2E40BE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 min or less; 10–15; 16–30; 31–45; 46 min or more</w:t>
            </w:r>
          </w:p>
        </w:tc>
        <w:tc>
          <w:tcPr>
            <w:tcW w:w="1987" w:type="dxa"/>
            <w:vAlign w:val="center"/>
          </w:tcPr>
          <w:p w14:paraId="645D6C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Exposure description.</w:t>
            </w:r>
          </w:p>
        </w:tc>
      </w:tr>
      <w:tr w14:paraId="5AAFB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2EBBE1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Follow-up interval (follow-up A2)</w:t>
            </w:r>
          </w:p>
        </w:tc>
        <w:tc>
          <w:tcPr>
            <w:tcW w:w="1987" w:type="dxa"/>
            <w:vAlign w:val="center"/>
          </w:tcPr>
          <w:p w14:paraId="1627C9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Follow-up</w:t>
            </w:r>
          </w:p>
        </w:tc>
        <w:tc>
          <w:tcPr>
            <w:tcW w:w="1987" w:type="dxa"/>
            <w:vAlign w:val="center"/>
          </w:tcPr>
          <w:p w14:paraId="0E0C11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Approximately how long has it been since your visit to the Nüshu Museum?</w:t>
            </w:r>
          </w:p>
        </w:tc>
        <w:tc>
          <w:tcPr>
            <w:tcW w:w="1987" w:type="dxa"/>
            <w:vAlign w:val="center"/>
          </w:tcPr>
          <w:p w14:paraId="7BE3CB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&lt;2 weeks; 2–3 weeks; 3–4 weeks; &gt;4 weeks</w:t>
            </w:r>
          </w:p>
        </w:tc>
        <w:tc>
          <w:tcPr>
            <w:tcW w:w="1987" w:type="dxa"/>
            <w:vAlign w:val="center"/>
          </w:tcPr>
          <w:p w14:paraId="4AC597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Defined the prespecified 2–4-week primary prospective window.</w:t>
            </w:r>
          </w:p>
        </w:tc>
      </w:tr>
      <w:tr w14:paraId="02C2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7" w:type="dxa"/>
            <w:vAlign w:val="center"/>
          </w:tcPr>
          <w:p w14:paraId="0291A3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Repeat-visitor status</w:t>
            </w:r>
          </w:p>
        </w:tc>
        <w:tc>
          <w:tcPr>
            <w:tcW w:w="1987" w:type="dxa"/>
            <w:vAlign w:val="center"/>
          </w:tcPr>
          <w:p w14:paraId="52B490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Derived</w:t>
            </w:r>
          </w:p>
        </w:tc>
        <w:tc>
          <w:tcPr>
            <w:tcW w:w="1987" w:type="dxa"/>
            <w:vAlign w:val="center"/>
          </w:tcPr>
          <w:p w14:paraId="1D8AA6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Anonymous code present in both the baseline and post-upgrade analysis files.</w:t>
            </w:r>
          </w:p>
        </w:tc>
        <w:tc>
          <w:tcPr>
            <w:tcW w:w="1987" w:type="dxa"/>
            <w:vAlign w:val="center"/>
          </w:tcPr>
          <w:p w14:paraId="69D106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Matched / not matched</w:t>
            </w:r>
          </w:p>
        </w:tc>
        <w:tc>
          <w:tcPr>
            <w:tcW w:w="1987" w:type="dxa"/>
            <w:vAlign w:val="center"/>
          </w:tcPr>
          <w:p w14:paraId="3CD695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Defines the 452-person matched cohort; mutually exclusive baseline-only and post-upgrade-only cohorts were obtained after removing the overlap.</w:t>
            </w:r>
          </w:p>
        </w:tc>
      </w:tr>
    </w:tbl>
    <w:p w14:paraId="1CCC21F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t>Note. The English wording is a faithful translation of the questionnaires administered in the study. Repeat status was determined by exact anonymous-code matching across waves rather than retrospective self-classification. All 604 post-upgrade-only respondents reported no previous attendance at the Nüshu Museum/Nüshu Garden and are therefore described as first-time post-upgrade visitors in the main text.</w:t>
      </w:r>
    </w:p>
    <w:p w14:paraId="7EA25B9B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  <w:t>Supplementary Table S8. Follow-up intention-persistence items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312"/>
      </w:tblGrid>
      <w:tr w14:paraId="0AD98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312" w:type="dxa"/>
            <w:vAlign w:val="center"/>
          </w:tcPr>
          <w:p w14:paraId="7CF22E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Item</w:t>
            </w:r>
          </w:p>
        </w:tc>
        <w:tc>
          <w:tcPr>
            <w:tcW w:w="3312" w:type="dxa"/>
            <w:vAlign w:val="center"/>
          </w:tcPr>
          <w:p w14:paraId="16B2C8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Timing</w:t>
            </w:r>
          </w:p>
        </w:tc>
        <w:tc>
          <w:tcPr>
            <w:tcW w:w="3312" w:type="dxa"/>
            <w:vAlign w:val="center"/>
          </w:tcPr>
          <w:p w14:paraId="453601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English item wording</w:t>
            </w:r>
          </w:p>
        </w:tc>
      </w:tr>
      <w:tr w14:paraId="06E7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12" w:type="dxa"/>
            <w:vAlign w:val="center"/>
          </w:tcPr>
          <w:p w14:paraId="78297A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P1</w:t>
            </w:r>
          </w:p>
        </w:tc>
        <w:tc>
          <w:tcPr>
            <w:tcW w:w="3312" w:type="dxa"/>
            <w:vAlign w:val="center"/>
          </w:tcPr>
          <w:p w14:paraId="0AC80D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2–4-week follow-up</w:t>
            </w:r>
          </w:p>
        </w:tc>
        <w:tc>
          <w:tcPr>
            <w:tcW w:w="3312" w:type="dxa"/>
            <w:vAlign w:val="center"/>
          </w:tcPr>
          <w:p w14:paraId="1CF0F4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Compared with immediately after the visit, I am still willing to continue learning about Nüshu culture.</w:t>
            </w:r>
          </w:p>
        </w:tc>
      </w:tr>
      <w:tr w14:paraId="3BA37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12" w:type="dxa"/>
            <w:vAlign w:val="center"/>
          </w:tcPr>
          <w:p w14:paraId="17FA4B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P2</w:t>
            </w:r>
          </w:p>
        </w:tc>
        <w:tc>
          <w:tcPr>
            <w:tcW w:w="3312" w:type="dxa"/>
            <w:vAlign w:val="center"/>
          </w:tcPr>
          <w:p w14:paraId="349660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2–4-week follow-up</w:t>
            </w:r>
          </w:p>
        </w:tc>
        <w:tc>
          <w:tcPr>
            <w:tcW w:w="3312" w:type="dxa"/>
            <w:vAlign w:val="center"/>
          </w:tcPr>
          <w:p w14:paraId="77424B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 am still willing to continue following information about the safeguarding and transmission of Nüshu.</w:t>
            </w:r>
          </w:p>
        </w:tc>
      </w:tr>
      <w:tr w14:paraId="76D0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12" w:type="dxa"/>
            <w:vAlign w:val="center"/>
          </w:tcPr>
          <w:p w14:paraId="19939E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P3</w:t>
            </w:r>
          </w:p>
        </w:tc>
        <w:tc>
          <w:tcPr>
            <w:tcW w:w="3312" w:type="dxa"/>
            <w:vAlign w:val="center"/>
          </w:tcPr>
          <w:p w14:paraId="2FB429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2–4-week follow-up</w:t>
            </w:r>
          </w:p>
        </w:tc>
        <w:tc>
          <w:tcPr>
            <w:tcW w:w="3312" w:type="dxa"/>
            <w:vAlign w:val="center"/>
          </w:tcPr>
          <w:p w14:paraId="67A812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 am still willing to introduce or recommend Nüshu culture to others.</w:t>
            </w:r>
          </w:p>
        </w:tc>
      </w:tr>
      <w:tr w14:paraId="1818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12" w:type="dxa"/>
            <w:vAlign w:val="center"/>
          </w:tcPr>
          <w:p w14:paraId="62A40B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P4</w:t>
            </w:r>
          </w:p>
        </w:tc>
        <w:tc>
          <w:tcPr>
            <w:tcW w:w="3312" w:type="dxa"/>
            <w:vAlign w:val="center"/>
          </w:tcPr>
          <w:p w14:paraId="0A9912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2–4-week follow-up</w:t>
            </w:r>
          </w:p>
        </w:tc>
        <w:tc>
          <w:tcPr>
            <w:tcW w:w="3312" w:type="dxa"/>
            <w:vAlign w:val="center"/>
          </w:tcPr>
          <w:p w14:paraId="665077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If a suitable opportunity arises, I am still willing to participate in Nüshu-related activities or have another Nüshu experience.</w:t>
            </w:r>
          </w:p>
        </w:tc>
      </w:tr>
    </w:tbl>
    <w:p w14:paraId="37D68F0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P1-P4 used the same seven-point agreement scale as the main psychometric items and were averaged to form a brief persistence score. They did not replace the domain-specific SEI and CDI measures collected immediately after the museum visit.</w:t>
      </w:r>
    </w:p>
    <w:p w14:paraId="3003D637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  <w:t>Supplementary Table S9. Museum-period sensitivity analyses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  <w:gridCol w:w="1987"/>
      </w:tblGrid>
      <w:tr w14:paraId="53655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0F6263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</w:rPr>
              <w:t>Sensitivity test</w:t>
            </w:r>
          </w:p>
        </w:tc>
        <w:tc>
          <w:tcPr>
            <w:tcW w:w="1987" w:type="dxa"/>
          </w:tcPr>
          <w:p w14:paraId="2475D5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</w:rPr>
              <w:t>Outcome</w:t>
            </w:r>
          </w:p>
        </w:tc>
        <w:tc>
          <w:tcPr>
            <w:tcW w:w="1987" w:type="dxa"/>
          </w:tcPr>
          <w:p w14:paraId="7CF6A8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</w:rPr>
              <w:t>Estimate</w:t>
            </w:r>
          </w:p>
        </w:tc>
        <w:tc>
          <w:tcPr>
            <w:tcW w:w="1987" w:type="dxa"/>
          </w:tcPr>
          <w:p w14:paraId="25BA582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</w:rPr>
              <w:t xml:space="preserve">95% CI / </w:t>
            </w:r>
            <w:r>
              <w:rPr>
                <w:rFonts w:hint="default" w:ascii="Times New Roman" w:hAnsi="Times New Roman" w:cs="Times New Roman"/>
                <w:b/>
                <w:bCs/>
                <w:i/>
                <w:color w:val="auto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i/>
                <w:color w:val="auto"/>
                <w:vertAlign w:val="subscript"/>
              </w:rPr>
              <w:t>z</w:t>
            </w:r>
          </w:p>
        </w:tc>
        <w:tc>
          <w:tcPr>
            <w:tcW w:w="1987" w:type="dxa"/>
          </w:tcPr>
          <w:p w14:paraId="54AAF2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</w:rPr>
              <w:t>p</w:t>
            </w:r>
          </w:p>
        </w:tc>
      </w:tr>
      <w:tr w14:paraId="53BCD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2898D1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Matched route completers (n = 390)</w:t>
            </w:r>
          </w:p>
        </w:tc>
        <w:tc>
          <w:tcPr>
            <w:tcW w:w="1987" w:type="dxa"/>
          </w:tcPr>
          <w:p w14:paraId="3B96C9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CAR</w:t>
            </w:r>
          </w:p>
        </w:tc>
        <w:tc>
          <w:tcPr>
            <w:tcW w:w="1987" w:type="dxa"/>
          </w:tcPr>
          <w:p w14:paraId="6DCACC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Δ = 0.752</w:t>
            </w:r>
          </w:p>
        </w:tc>
        <w:tc>
          <w:tcPr>
            <w:tcW w:w="1987" w:type="dxa"/>
          </w:tcPr>
          <w:p w14:paraId="0E8513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95% CI [0.652, 0.852]; </w:t>
            </w:r>
            <w:r>
              <w:rPr>
                <w:rFonts w:hint="default" w:ascii="Times New Roman" w:hAnsi="Times New Roman" w:cs="Times New Roman"/>
                <w:i/>
                <w:color w:val="auto"/>
              </w:rPr>
              <w:t>d</w:t>
            </w:r>
            <w:r>
              <w:rPr>
                <w:rFonts w:hint="default" w:ascii="Times New Roman" w:hAnsi="Times New Roman" w:cs="Times New Roman"/>
                <w:i/>
                <w:color w:val="auto"/>
                <w:vertAlign w:val="subscript"/>
              </w:rPr>
              <w:t>z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= 0.750</w:t>
            </w:r>
          </w:p>
        </w:tc>
        <w:tc>
          <w:tcPr>
            <w:tcW w:w="1987" w:type="dxa"/>
          </w:tcPr>
          <w:p w14:paraId="790320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598C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31E30F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Matched route completers (n = 390)</w:t>
            </w:r>
          </w:p>
        </w:tc>
        <w:tc>
          <w:tcPr>
            <w:tcW w:w="1987" w:type="dxa"/>
          </w:tcPr>
          <w:p w14:paraId="1B0C59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SAT</w:t>
            </w:r>
          </w:p>
        </w:tc>
        <w:tc>
          <w:tcPr>
            <w:tcW w:w="1987" w:type="dxa"/>
          </w:tcPr>
          <w:p w14:paraId="322A52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Δ = 0.750</w:t>
            </w:r>
          </w:p>
        </w:tc>
        <w:tc>
          <w:tcPr>
            <w:tcW w:w="1987" w:type="dxa"/>
          </w:tcPr>
          <w:p w14:paraId="181248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95% CI [0.650, 0.850]; </w:t>
            </w:r>
            <w:r>
              <w:rPr>
                <w:rFonts w:hint="default" w:ascii="Times New Roman" w:hAnsi="Times New Roman" w:cs="Times New Roman"/>
                <w:i/>
                <w:color w:val="auto"/>
              </w:rPr>
              <w:t>d</w:t>
            </w:r>
            <w:r>
              <w:rPr>
                <w:rFonts w:hint="default" w:ascii="Times New Roman" w:hAnsi="Times New Roman" w:cs="Times New Roman"/>
                <w:i/>
                <w:color w:val="auto"/>
                <w:vertAlign w:val="subscript"/>
              </w:rPr>
              <w:t>z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= 0.747</w:t>
            </w:r>
          </w:p>
        </w:tc>
        <w:tc>
          <w:tcPr>
            <w:tcW w:w="1987" w:type="dxa"/>
          </w:tcPr>
          <w:p w14:paraId="662C0D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0164C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7" w:type="dxa"/>
          </w:tcPr>
          <w:p w14:paraId="72E211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Matched route completers (n = 390)</w:t>
            </w:r>
          </w:p>
        </w:tc>
        <w:tc>
          <w:tcPr>
            <w:tcW w:w="1987" w:type="dxa"/>
          </w:tcPr>
          <w:p w14:paraId="0024EB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SEI</w:t>
            </w:r>
          </w:p>
        </w:tc>
        <w:tc>
          <w:tcPr>
            <w:tcW w:w="1987" w:type="dxa"/>
          </w:tcPr>
          <w:p w14:paraId="1973A2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Δ = 0.754</w:t>
            </w:r>
          </w:p>
        </w:tc>
        <w:tc>
          <w:tcPr>
            <w:tcW w:w="1987" w:type="dxa"/>
          </w:tcPr>
          <w:p w14:paraId="31D22B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95% CI [0.656, 0.851]; </w:t>
            </w:r>
            <w:r>
              <w:rPr>
                <w:rFonts w:hint="default" w:ascii="Times New Roman" w:hAnsi="Times New Roman" w:cs="Times New Roman"/>
                <w:i/>
                <w:color w:val="auto"/>
              </w:rPr>
              <w:t>d</w:t>
            </w:r>
            <w:r>
              <w:rPr>
                <w:rFonts w:hint="default" w:ascii="Times New Roman" w:hAnsi="Times New Roman" w:cs="Times New Roman"/>
                <w:i/>
                <w:color w:val="auto"/>
                <w:vertAlign w:val="subscript"/>
              </w:rPr>
              <w:t>z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= 0.770</w:t>
            </w:r>
          </w:p>
        </w:tc>
        <w:tc>
          <w:tcPr>
            <w:tcW w:w="1987" w:type="dxa"/>
          </w:tcPr>
          <w:p w14:paraId="4F7EA2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2DC4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74DA77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Matched route completers (n = 390)</w:t>
            </w:r>
          </w:p>
        </w:tc>
        <w:tc>
          <w:tcPr>
            <w:tcW w:w="1987" w:type="dxa"/>
          </w:tcPr>
          <w:p w14:paraId="282C9E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CDI</w:t>
            </w:r>
          </w:p>
        </w:tc>
        <w:tc>
          <w:tcPr>
            <w:tcW w:w="1987" w:type="dxa"/>
          </w:tcPr>
          <w:p w14:paraId="35EB3E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Δ = 0.588</w:t>
            </w:r>
          </w:p>
        </w:tc>
        <w:tc>
          <w:tcPr>
            <w:tcW w:w="1987" w:type="dxa"/>
          </w:tcPr>
          <w:p w14:paraId="139F0C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95% CI [0.489, 0.688]; </w:t>
            </w:r>
            <w:r>
              <w:rPr>
                <w:rFonts w:hint="default" w:ascii="Times New Roman" w:hAnsi="Times New Roman" w:cs="Times New Roman"/>
                <w:i/>
                <w:color w:val="auto"/>
              </w:rPr>
              <w:t>d</w:t>
            </w:r>
            <w:r>
              <w:rPr>
                <w:rFonts w:hint="default" w:ascii="Times New Roman" w:hAnsi="Times New Roman" w:cs="Times New Roman"/>
                <w:i/>
                <w:color w:val="auto"/>
                <w:vertAlign w:val="subscript"/>
              </w:rPr>
              <w:t>z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= 0.591</w:t>
            </w:r>
          </w:p>
        </w:tc>
        <w:tc>
          <w:tcPr>
            <w:tcW w:w="1987" w:type="dxa"/>
          </w:tcPr>
          <w:p w14:paraId="19B7F1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0745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5528F4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Matched route completers (n = 390)</w:t>
            </w:r>
          </w:p>
        </w:tc>
        <w:tc>
          <w:tcPr>
            <w:tcW w:w="1987" w:type="dxa"/>
          </w:tcPr>
          <w:p w14:paraId="2B7D8D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CI</w:t>
            </w:r>
          </w:p>
        </w:tc>
        <w:tc>
          <w:tcPr>
            <w:tcW w:w="1987" w:type="dxa"/>
          </w:tcPr>
          <w:p w14:paraId="6B05E0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Δ = 0.094</w:t>
            </w:r>
          </w:p>
        </w:tc>
        <w:tc>
          <w:tcPr>
            <w:tcW w:w="1987" w:type="dxa"/>
          </w:tcPr>
          <w:p w14:paraId="00D70F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95% CI [0.010, 0.179]; </w:t>
            </w:r>
            <w:r>
              <w:rPr>
                <w:rFonts w:hint="default" w:ascii="Times New Roman" w:hAnsi="Times New Roman" w:cs="Times New Roman"/>
                <w:i/>
                <w:color w:val="auto"/>
              </w:rPr>
              <w:t>d</w:t>
            </w:r>
            <w:r>
              <w:rPr>
                <w:rFonts w:hint="default" w:ascii="Times New Roman" w:hAnsi="Times New Roman" w:cs="Times New Roman"/>
                <w:i/>
                <w:color w:val="auto"/>
                <w:vertAlign w:val="subscript"/>
              </w:rPr>
              <w:t>z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= 0.111</w:t>
            </w:r>
          </w:p>
        </w:tc>
        <w:tc>
          <w:tcPr>
            <w:tcW w:w="1987" w:type="dxa"/>
          </w:tcPr>
          <w:p w14:paraId="0EDC92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0.029</w:t>
            </w:r>
          </w:p>
        </w:tc>
      </w:tr>
      <w:tr w14:paraId="34B9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44847E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Partially overlapping regression (1,819 observations)</w:t>
            </w:r>
          </w:p>
        </w:tc>
        <w:tc>
          <w:tcPr>
            <w:tcW w:w="1987" w:type="dxa"/>
          </w:tcPr>
          <w:p w14:paraId="69BAF7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CAR</w:t>
            </w:r>
          </w:p>
        </w:tc>
        <w:tc>
          <w:tcPr>
            <w:tcW w:w="1987" w:type="dxa"/>
          </w:tcPr>
          <w:p w14:paraId="5285DF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B = 0.666</w:t>
            </w:r>
          </w:p>
        </w:tc>
        <w:tc>
          <w:tcPr>
            <w:tcW w:w="1987" w:type="dxa"/>
          </w:tcPr>
          <w:p w14:paraId="0931ED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95% CI [0.588, 0.745]</w:t>
            </w:r>
          </w:p>
        </w:tc>
        <w:tc>
          <w:tcPr>
            <w:tcW w:w="1987" w:type="dxa"/>
          </w:tcPr>
          <w:p w14:paraId="48FC78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041E9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1A0B96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Partially overlapping regression (1,819 observations)</w:t>
            </w:r>
          </w:p>
        </w:tc>
        <w:tc>
          <w:tcPr>
            <w:tcW w:w="1987" w:type="dxa"/>
          </w:tcPr>
          <w:p w14:paraId="7198AB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SAT</w:t>
            </w:r>
          </w:p>
        </w:tc>
        <w:tc>
          <w:tcPr>
            <w:tcW w:w="1987" w:type="dxa"/>
          </w:tcPr>
          <w:p w14:paraId="32799C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B = 0.690</w:t>
            </w:r>
          </w:p>
        </w:tc>
        <w:tc>
          <w:tcPr>
            <w:tcW w:w="1987" w:type="dxa"/>
          </w:tcPr>
          <w:p w14:paraId="38C63C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95% CI [0.612, 0.769]</w:t>
            </w:r>
          </w:p>
        </w:tc>
        <w:tc>
          <w:tcPr>
            <w:tcW w:w="1987" w:type="dxa"/>
          </w:tcPr>
          <w:p w14:paraId="6A5F09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7CEC3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7" w:type="dxa"/>
          </w:tcPr>
          <w:p w14:paraId="10E6E1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Partially overlapping regression (1,819 observations)</w:t>
            </w:r>
          </w:p>
        </w:tc>
        <w:tc>
          <w:tcPr>
            <w:tcW w:w="1987" w:type="dxa"/>
          </w:tcPr>
          <w:p w14:paraId="26EE03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SEI</w:t>
            </w:r>
          </w:p>
        </w:tc>
        <w:tc>
          <w:tcPr>
            <w:tcW w:w="1987" w:type="dxa"/>
          </w:tcPr>
          <w:p w14:paraId="766D4E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B = 0.722</w:t>
            </w:r>
          </w:p>
        </w:tc>
        <w:tc>
          <w:tcPr>
            <w:tcW w:w="1987" w:type="dxa"/>
          </w:tcPr>
          <w:p w14:paraId="260871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95% CI [0.648, 0.796]</w:t>
            </w:r>
          </w:p>
        </w:tc>
        <w:tc>
          <w:tcPr>
            <w:tcW w:w="1987" w:type="dxa"/>
          </w:tcPr>
          <w:p w14:paraId="5AE8A0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  <w:tr w14:paraId="50A9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4FD91E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Partially overlapping regression (1,819 observations)</w:t>
            </w:r>
          </w:p>
        </w:tc>
        <w:tc>
          <w:tcPr>
            <w:tcW w:w="1987" w:type="dxa"/>
          </w:tcPr>
          <w:p w14:paraId="27CCB9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CDI</w:t>
            </w:r>
          </w:p>
        </w:tc>
        <w:tc>
          <w:tcPr>
            <w:tcW w:w="1987" w:type="dxa"/>
          </w:tcPr>
          <w:p w14:paraId="142F72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B = 0.625</w:t>
            </w:r>
          </w:p>
        </w:tc>
        <w:tc>
          <w:tcPr>
            <w:tcW w:w="1987" w:type="dxa"/>
          </w:tcPr>
          <w:p w14:paraId="0FA328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95% CI [0.550, 0.699]</w:t>
            </w:r>
          </w:p>
        </w:tc>
        <w:tc>
          <w:tcPr>
            <w:tcW w:w="1987" w:type="dxa"/>
          </w:tcPr>
          <w:p w14:paraId="72E7F3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&lt;0.001</w:t>
            </w:r>
          </w:p>
        </w:tc>
      </w:tr>
    </w:tbl>
    <w:p w14:paraId="141E43E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The route-completion analysis includes matched visitors who completed the designated route in both periods. The partially overlapping regressions use cluster-robust standard errors by anonymous code and adjust for prior Nüshu knowledge, digital-exhibition familiarity and CI.</w:t>
      </w:r>
    </w:p>
    <w:p w14:paraId="0087DCA2">
      <w:pPr>
        <w:keepNext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cs="Times New Roman"/>
          <w:color w:val="auto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</w:rPr>
        <w:drawing>
          <wp:inline distT="0" distB="0" distL="114300" distR="114300">
            <wp:extent cx="5852160" cy="3027680"/>
            <wp:effectExtent l="0" t="0" r="15240" b="127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02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8C33">
      <w:pPr>
        <w:pStyle w:val="3"/>
        <w:keepNext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sz w:val="18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20"/>
          <w:lang w:val="en-US" w:eastAsia="en-US" w:bidi="ar-SA"/>
        </w:rPr>
        <w:t>Supplementary Figure S1. Mean pre- and post-upgrade scores among repeat visitors</w:t>
      </w:r>
      <w:r>
        <w:rPr>
          <w:rFonts w:hint="eastAsia" w:ascii="Times New Roman" w:hAnsi="Times New Roman" w:eastAsia="宋体" w:cs="Times New Roman"/>
          <w:b/>
          <w:bCs/>
          <w:color w:val="auto"/>
          <w:sz w:val="18"/>
          <w:szCs w:val="20"/>
          <w:lang w:val="en-US" w:eastAsia="zh-CN" w:bidi="ar-SA"/>
        </w:rPr>
        <w:t>.</w:t>
      </w:r>
    </w:p>
    <w:p w14:paraId="2C4FCE4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Note. CAR, SAT, SEI and CDI are shown on seven-point scales for the 452 matched repeat visitors. The main text reports paired effect sizes and confidence intervals.</w:t>
      </w:r>
    </w:p>
    <w:p w14:paraId="30A762F5">
      <w:pPr>
        <w:rPr>
          <w:rFonts w:hint="default" w:ascii="Times New Roman" w:hAnsi="Times New Roman" w:cs="Times New Roman"/>
        </w:rPr>
      </w:pPr>
    </w:p>
    <w:sectPr>
      <w:pgSz w:w="12240" w:h="15840"/>
      <w:pgMar w:top="1080" w:right="1152" w:bottom="1080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汇文明朝体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汇文明朝体">
    <w:panose1 w:val="02000600000000000000"/>
    <w:charset w:val="80"/>
    <w:family w:val="auto"/>
    <w:pitch w:val="default"/>
    <w:sig w:usb0="800002D7" w:usb1="1A4F6C50" w:usb2="00000010" w:usb3="00000000" w:csb0="00020003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Cariola Script St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riola Script Std">
    <w:panose1 w:val="02000400000000000000"/>
    <w:charset w:val="00"/>
    <w:family w:val="auto"/>
    <w:pitch w:val="default"/>
    <w:sig w:usb0="800000AF" w:usb1="1000204A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1B1268"/>
    <w:rsid w:val="035D6839"/>
    <w:rsid w:val="47A66166"/>
    <w:rsid w:val="48677399"/>
    <w:rsid w:val="4ECF0DD2"/>
    <w:rsid w:val="54232490"/>
    <w:rsid w:val="619C0E54"/>
    <w:rsid w:val="686C4CF9"/>
    <w:rsid w:val="7639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jc w:val="center"/>
      <w:outlineLvl w:val="0"/>
    </w:pPr>
    <w:rPr>
      <w:rFonts w:ascii="Times New Roman" w:hAnsi="Times New Roman" w:cs="Times New Roman" w:eastAsiaTheme="majorEastAsia"/>
      <w:b/>
      <w:bCs/>
      <w:color w:val="auto"/>
      <w:szCs w:val="20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link w:val="3"/>
    <w:qFormat/>
    <w:uiPriority w:val="9"/>
    <w:rPr>
      <w:rFonts w:ascii="Times New Roman" w:hAnsi="Times New Roman" w:cs="Times New Roman" w:eastAsiaTheme="majorEastAsia"/>
      <w:b/>
      <w:bCs/>
      <w:color w:val="auto"/>
      <w:sz w:val="20"/>
      <w:szCs w:val="20"/>
      <w:lang w:val="en-US" w:eastAsia="en-US" w:bidi="ar-SA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1608</Words>
  <Characters>9709</Characters>
  <DocSecurity>0</DocSecurity>
  <Lines>0</Lines>
  <Paragraphs>0</Paragraphs>
  <ScaleCrop>false</ScaleCrop>
  <LinksUpToDate>false</LinksUpToDate>
  <CharactersWithSpaces>10898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2026-09-15T17:08:26Z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eyJoZGlkIjoiMTE4ZmZiZjA4YzU4Y2M1YzgxY2FlNDdhYjYzNzhmZmIiLCJ1c2VySWQiOiI2Nzc0NTQ5NjUifQ==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4E224168772B4D73ACA48BC97A22D6CC_13</vt:lpwstr>
  </property>
</Properties>
</file>