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45E22D" w14:textId="77777777" w:rsidR="00CB1B1D" w:rsidRDefault="00CB1B1D" w:rsidP="002933E8">
      <w:pPr>
        <w:pStyle w:val="a5"/>
        <w:suppressAutoHyphens/>
        <w:spacing w:before="0" w:after="299" w:line="240" w:lineRule="auto"/>
        <w:jc w:val="center"/>
        <w:rPr>
          <w:rFonts w:ascii="Times Roman" w:hAnsi="Times Roman"/>
          <w:b/>
          <w:bCs/>
          <w:sz w:val="32"/>
          <w:szCs w:val="32"/>
        </w:rPr>
      </w:pPr>
    </w:p>
    <w:p w14:paraId="06FFEC39" w14:textId="17A6F88B" w:rsidR="00CB1B1D" w:rsidRPr="00CB1B1D" w:rsidRDefault="00CB1B1D" w:rsidP="00CB1B1D">
      <w:pPr>
        <w:pStyle w:val="a5"/>
        <w:suppressAutoHyphens/>
        <w:spacing w:before="0" w:after="299" w:line="240" w:lineRule="auto"/>
        <w:jc w:val="both"/>
        <w:rPr>
          <w:rFonts w:ascii="Times Roman" w:hAnsi="Times Roman" w:hint="eastAsia"/>
          <w:b/>
          <w:bCs/>
          <w:sz w:val="36"/>
          <w:szCs w:val="36"/>
        </w:rPr>
      </w:pPr>
      <w:r w:rsidRPr="00CB1B1D">
        <w:rPr>
          <w:rFonts w:ascii="Times Roman" w:hAnsi="Times Roman"/>
          <w:b/>
          <w:bCs/>
          <w:sz w:val="36"/>
          <w:szCs w:val="36"/>
        </w:rPr>
        <w:t>Supplementary Information</w:t>
      </w:r>
    </w:p>
    <w:p w14:paraId="57B72817" w14:textId="53D8E4C1" w:rsidR="00665749" w:rsidRPr="00CB1B1D" w:rsidRDefault="00000000" w:rsidP="00CB1B1D">
      <w:pPr>
        <w:pStyle w:val="a5"/>
        <w:suppressAutoHyphens/>
        <w:spacing w:before="0" w:after="299" w:line="240" w:lineRule="auto"/>
        <w:jc w:val="both"/>
        <w:rPr>
          <w:rFonts w:ascii="Times Roman" w:eastAsia="Times Roman" w:hAnsi="Times Roman" w:cs="Times Roman"/>
          <w:b/>
          <w:bCs/>
          <w:sz w:val="28"/>
          <w:szCs w:val="28"/>
        </w:rPr>
      </w:pPr>
      <w:r w:rsidRPr="00CB1B1D">
        <w:rPr>
          <w:rFonts w:ascii="Times Roman" w:hAnsi="Times Roman"/>
          <w:b/>
          <w:bCs/>
          <w:sz w:val="28"/>
          <w:szCs w:val="28"/>
        </w:rPr>
        <w:t>Supplementary Figure</w:t>
      </w:r>
      <w:r w:rsidR="00CB1B1D">
        <w:rPr>
          <w:rFonts w:ascii="Times Roman" w:hAnsi="Times Roman"/>
          <w:b/>
          <w:bCs/>
          <w:sz w:val="28"/>
          <w:szCs w:val="28"/>
        </w:rPr>
        <w:t xml:space="preserve"> Captions</w:t>
      </w:r>
    </w:p>
    <w:p w14:paraId="2889CF2D" w14:textId="77777777" w:rsidR="00665749" w:rsidRDefault="00000000">
      <w:pPr>
        <w:pStyle w:val="a5"/>
        <w:suppressAutoHyphens/>
        <w:spacing w:before="0" w:after="240" w:line="240" w:lineRule="auto"/>
        <w:jc w:val="both"/>
        <w:rPr>
          <w:rFonts w:ascii="Times Roman" w:eastAsia="Times Roman" w:hAnsi="Times Roman" w:cs="Times Roman"/>
          <w:b/>
          <w:bCs/>
        </w:rPr>
      </w:pPr>
      <w:r>
        <w:rPr>
          <w:rFonts w:ascii="Times Roman" w:hAnsi="Times Roman"/>
          <w:b/>
          <w:bCs/>
        </w:rPr>
        <w:t>Supplementary Figure S1 | Experimental platforms used in the present study.</w:t>
      </w:r>
    </w:p>
    <w:p w14:paraId="49DDBC80" w14:textId="4323E923" w:rsidR="00665749" w:rsidRDefault="00000000" w:rsidP="002933E8">
      <w:pPr>
        <w:pStyle w:val="a5"/>
        <w:numPr>
          <w:ilvl w:val="0"/>
          <w:numId w:val="4"/>
        </w:numPr>
        <w:suppressAutoHyphens/>
        <w:spacing w:before="0" w:line="240" w:lineRule="auto"/>
        <w:jc w:val="both"/>
        <w:rPr>
          <w:rFonts w:ascii="Times Roman" w:eastAsia="Times Roman" w:hAnsi="Times Roman" w:cs="Times Roman"/>
        </w:rPr>
      </w:pPr>
      <w:r>
        <w:rPr>
          <w:rFonts w:ascii="Times Roman" w:hAnsi="Times Roman"/>
        </w:rPr>
        <w:t xml:space="preserve">Photograph of the deep-water irradiation setup used for LWFA electron-beam transport and depth-dependent dose measurements. Multiple </w:t>
      </w:r>
      <w:proofErr w:type="spellStart"/>
      <w:r>
        <w:rPr>
          <w:rFonts w:ascii="Times Roman" w:hAnsi="Times Roman"/>
        </w:rPr>
        <w:t>Gafchromic</w:t>
      </w:r>
      <w:proofErr w:type="spellEnd"/>
      <w:r>
        <w:rPr>
          <w:rFonts w:ascii="Times Roman" w:hAnsi="Times Roman"/>
        </w:rPr>
        <w:t xml:space="preserve"> films were inserted at representative depths within the 20 cm water target for depth-dose analysis. Representative 10-shot accumulated </w:t>
      </w:r>
      <w:proofErr w:type="spellStart"/>
      <w:r>
        <w:rPr>
          <w:rFonts w:ascii="Times Roman" w:hAnsi="Times Roman"/>
        </w:rPr>
        <w:t>Gafchromic</w:t>
      </w:r>
      <w:proofErr w:type="spellEnd"/>
      <w:r>
        <w:rPr>
          <w:rFonts w:ascii="Times Roman" w:hAnsi="Times Roman"/>
        </w:rPr>
        <w:t xml:space="preserve"> film images obtained at selected depths are shown above the photograph.</w:t>
      </w:r>
    </w:p>
    <w:p w14:paraId="5A955B75" w14:textId="11C9A5A8" w:rsidR="00665749" w:rsidRDefault="00000000" w:rsidP="002933E8">
      <w:pPr>
        <w:pStyle w:val="a5"/>
        <w:numPr>
          <w:ilvl w:val="0"/>
          <w:numId w:val="4"/>
        </w:numPr>
        <w:suppressAutoHyphens/>
        <w:spacing w:before="0" w:line="240" w:lineRule="auto"/>
        <w:jc w:val="both"/>
        <w:rPr>
          <w:rFonts w:ascii="Times Roman" w:eastAsia="Times Roman" w:hAnsi="Times Roman" w:cs="Times Roman"/>
        </w:rPr>
      </w:pPr>
      <w:r>
        <w:rPr>
          <w:rFonts w:ascii="Times Roman" w:hAnsi="Times Roman"/>
        </w:rPr>
        <w:t>Photograph of the vial arrangement used for depth-range-resolved chemical conversion measurements within the 20 cm water target. Four sealed sample vials were positioned sequentially along the beam axis, corresponding to the depth ranges used for the chemical activation analysis shown in Figure 3d.</w:t>
      </w:r>
    </w:p>
    <w:p w14:paraId="2EE272FE" w14:textId="7FE4D94C" w:rsidR="00665749" w:rsidRDefault="00000000" w:rsidP="002933E8">
      <w:pPr>
        <w:pStyle w:val="a5"/>
        <w:numPr>
          <w:ilvl w:val="0"/>
          <w:numId w:val="4"/>
        </w:numPr>
        <w:suppressAutoHyphens/>
        <w:spacing w:before="0" w:line="240" w:lineRule="auto"/>
        <w:jc w:val="both"/>
        <w:rPr>
          <w:rFonts w:ascii="Times Roman" w:eastAsia="Times Roman" w:hAnsi="Times Roman" w:cs="Times Roman"/>
        </w:rPr>
      </w:pPr>
      <w:r>
        <w:rPr>
          <w:rFonts w:ascii="Times Roman" w:hAnsi="Times Roman"/>
        </w:rPr>
        <w:t>Photograph of the experimental setup used for RF linac–based chemical and in vitro cellular irradiation experiments.</w:t>
      </w:r>
    </w:p>
    <w:p w14:paraId="40624BCC" w14:textId="09712C74" w:rsidR="00665749" w:rsidRDefault="00000000" w:rsidP="002933E8">
      <w:pPr>
        <w:pStyle w:val="a5"/>
        <w:numPr>
          <w:ilvl w:val="0"/>
          <w:numId w:val="4"/>
        </w:numPr>
        <w:suppressAutoHyphens/>
        <w:spacing w:before="0" w:line="240" w:lineRule="auto"/>
        <w:jc w:val="both"/>
        <w:rPr>
          <w:rFonts w:ascii="Times Roman" w:eastAsia="Times Roman" w:hAnsi="Times Roman" w:cs="Times Roman"/>
        </w:rPr>
      </w:pPr>
      <w:r>
        <w:rPr>
          <w:rFonts w:ascii="Times Roman" w:hAnsi="Times Roman"/>
        </w:rPr>
        <w:t>Photograph of the irradiation geometry used for RF linac–based in vivo mouse irradiation experiments.</w:t>
      </w:r>
    </w:p>
    <w:p w14:paraId="16029C91" w14:textId="77777777" w:rsidR="00665749" w:rsidRDefault="00665749">
      <w:pPr>
        <w:pStyle w:val="a5"/>
        <w:suppressAutoHyphens/>
        <w:spacing w:before="0" w:after="240" w:line="240" w:lineRule="auto"/>
        <w:jc w:val="both"/>
        <w:rPr>
          <w:rFonts w:ascii="Times Roman" w:eastAsia="Times Roman" w:hAnsi="Times Roman" w:cs="Times Roman"/>
        </w:rPr>
      </w:pPr>
    </w:p>
    <w:p w14:paraId="7D3D16C7" w14:textId="77777777" w:rsidR="00665749" w:rsidRDefault="00000000">
      <w:pPr>
        <w:pStyle w:val="a5"/>
        <w:suppressAutoHyphens/>
        <w:spacing w:before="0" w:after="240" w:line="240" w:lineRule="auto"/>
        <w:jc w:val="both"/>
        <w:rPr>
          <w:rFonts w:ascii="Times Roman" w:eastAsia="Times Roman" w:hAnsi="Times Roman" w:cs="Times Roman"/>
          <w:b/>
          <w:bCs/>
        </w:rPr>
      </w:pPr>
      <w:r>
        <w:rPr>
          <w:rFonts w:ascii="Times Roman" w:hAnsi="Times Roman"/>
          <w:b/>
          <w:bCs/>
        </w:rPr>
        <w:t>Supplementary Figure S2 | Monte Carlo evaluation of 27 MeV electron-beam penetration in representative experimental targets.</w:t>
      </w:r>
    </w:p>
    <w:p w14:paraId="2B9FC1A9" w14:textId="77777777" w:rsidR="00665749" w:rsidRDefault="00000000" w:rsidP="002933E8">
      <w:pPr>
        <w:pStyle w:val="a5"/>
        <w:numPr>
          <w:ilvl w:val="0"/>
          <w:numId w:val="2"/>
        </w:numPr>
        <w:suppressAutoHyphens/>
        <w:spacing w:before="0" w:line="240" w:lineRule="auto"/>
        <w:jc w:val="both"/>
        <w:rPr>
          <w:rFonts w:ascii="Times Roman" w:hAnsi="Times Roman" w:hint="eastAsia"/>
        </w:rPr>
      </w:pPr>
      <w:r>
        <w:rPr>
          <w:rFonts w:ascii="Times Roman" w:hAnsi="Times Roman"/>
        </w:rPr>
        <w:t>PHITS simulation of the lateral dose distribution for a 27 MeV electron beam propagating through a 5 cm water target. The simulation corresponds to the beam energy used in the chemical, cellular, and in vivo irradiation experiments and illustrates the spatial distribution of deposited dose during propagation through the representative target geometry.</w:t>
      </w:r>
    </w:p>
    <w:p w14:paraId="2AD5437E" w14:textId="77777777" w:rsidR="00665749" w:rsidRDefault="00000000" w:rsidP="002933E8">
      <w:pPr>
        <w:pStyle w:val="a5"/>
        <w:numPr>
          <w:ilvl w:val="0"/>
          <w:numId w:val="2"/>
        </w:numPr>
        <w:suppressAutoHyphens/>
        <w:spacing w:before="0" w:line="240" w:lineRule="auto"/>
        <w:jc w:val="both"/>
        <w:rPr>
          <w:rFonts w:ascii="Times Roman" w:hAnsi="Times Roman" w:hint="eastAsia"/>
        </w:rPr>
      </w:pPr>
      <w:r>
        <w:rPr>
          <w:rFonts w:ascii="Times Roman" w:hAnsi="Times Roman"/>
        </w:rPr>
        <w:t>PHITS-calculated depth–dose profile for a 27 MeV electron beam in a 5 cm water-equivalent target. The deposited dose was integrated over a circular region with a diameter of 10 mm, corresponding to the inner diameter of the sample vial used in the chemical activation experiments. The dashed lines indicate the approximate dimensions of the vial target used in the chemical activation experiments. The calculated profile demonstrates that the 27 MeV electron beam provides sufficient penetration depth for irradiation of the vial samples, cultured cells, and mouse tumor models employed in the present study.</w:t>
      </w:r>
    </w:p>
    <w:p w14:paraId="528AFD1B" w14:textId="77777777" w:rsidR="00665749" w:rsidRDefault="00665749">
      <w:pPr>
        <w:pStyle w:val="a5"/>
        <w:suppressAutoHyphens/>
        <w:spacing w:before="0" w:after="240" w:line="240" w:lineRule="auto"/>
        <w:jc w:val="both"/>
        <w:rPr>
          <w:rFonts w:ascii="Times Roman" w:eastAsia="Times Roman" w:hAnsi="Times Roman" w:cs="Times Roman"/>
        </w:rPr>
      </w:pPr>
    </w:p>
    <w:p w14:paraId="391CE7D3" w14:textId="77777777" w:rsidR="00665749" w:rsidRDefault="00000000">
      <w:pPr>
        <w:pStyle w:val="a5"/>
        <w:suppressAutoHyphens/>
        <w:spacing w:before="0" w:after="240" w:line="240" w:lineRule="auto"/>
        <w:jc w:val="both"/>
        <w:rPr>
          <w:rFonts w:ascii="Times Roman" w:eastAsia="Times Roman" w:hAnsi="Times Roman" w:cs="Times Roman"/>
          <w:b/>
          <w:bCs/>
        </w:rPr>
      </w:pPr>
      <w:r>
        <w:rPr>
          <w:rFonts w:ascii="Times Roman" w:hAnsi="Times Roman"/>
          <w:b/>
          <w:bCs/>
        </w:rPr>
        <w:t>Supplementary Figure S3 | Representative LWFA beam profile at the entrance of the water target.</w:t>
      </w:r>
    </w:p>
    <w:p w14:paraId="3EAD48EF" w14:textId="77777777" w:rsidR="002933E8" w:rsidRDefault="00000000" w:rsidP="002933E8">
      <w:pPr>
        <w:pStyle w:val="a5"/>
        <w:numPr>
          <w:ilvl w:val="1"/>
          <w:numId w:val="2"/>
        </w:numPr>
        <w:suppressAutoHyphens/>
        <w:spacing w:before="0" w:line="240" w:lineRule="auto"/>
        <w:ind w:left="426" w:hanging="426"/>
        <w:jc w:val="both"/>
        <w:rPr>
          <w:rFonts w:ascii="Times Roman" w:eastAsia="Times Roman" w:hAnsi="Times Roman" w:cs="Times Roman"/>
        </w:rPr>
      </w:pPr>
      <w:r>
        <w:rPr>
          <w:rFonts w:ascii="Times Roman" w:hAnsi="Times Roman"/>
        </w:rPr>
        <w:t xml:space="preserve">Representative </w:t>
      </w:r>
      <w:proofErr w:type="spellStart"/>
      <w:r>
        <w:rPr>
          <w:rFonts w:ascii="Times Roman" w:hAnsi="Times Roman"/>
        </w:rPr>
        <w:t>Gafchromic</w:t>
      </w:r>
      <w:proofErr w:type="spellEnd"/>
      <w:r>
        <w:rPr>
          <w:rFonts w:ascii="Times Roman" w:hAnsi="Times Roman"/>
        </w:rPr>
        <w:t xml:space="preserve"> film image accumulated over ten consecutive LWFA shots at the entrance of the water target during the deep-water propagation experiments.</w:t>
      </w:r>
    </w:p>
    <w:p w14:paraId="1A48567A" w14:textId="7AAFA080" w:rsidR="00665749" w:rsidRPr="002933E8" w:rsidRDefault="00000000" w:rsidP="002933E8">
      <w:pPr>
        <w:pStyle w:val="a5"/>
        <w:numPr>
          <w:ilvl w:val="1"/>
          <w:numId w:val="2"/>
        </w:numPr>
        <w:suppressAutoHyphens/>
        <w:spacing w:before="0" w:line="240" w:lineRule="auto"/>
        <w:ind w:left="426" w:hanging="426"/>
        <w:jc w:val="both"/>
        <w:rPr>
          <w:rFonts w:ascii="Times Roman" w:eastAsia="Times Roman" w:hAnsi="Times Roman" w:cs="Times Roman"/>
        </w:rPr>
      </w:pPr>
      <w:r w:rsidRPr="002933E8">
        <w:rPr>
          <w:rFonts w:ascii="Times Roman" w:hAnsi="Times Roman"/>
        </w:rPr>
        <w:t xml:space="preserve">Corresponding normalized lateral beam profile derived from the image shown in (a). The observed profile exhibited an apparent full width at half maximum (FWHM) of approximately 690 </w:t>
      </w:r>
      <w:proofErr w:type="spellStart"/>
      <w:r w:rsidRPr="002933E8">
        <w:rPr>
          <w:rFonts w:ascii="Times Roman" w:hAnsi="Times Roman"/>
        </w:rPr>
        <w:t>μm</w:t>
      </w:r>
      <w:proofErr w:type="spellEnd"/>
      <w:r w:rsidRPr="002933E8">
        <w:rPr>
          <w:rFonts w:ascii="Times Roman" w:hAnsi="Times Roman"/>
        </w:rPr>
        <w:t>.</w:t>
      </w:r>
    </w:p>
    <w:p w14:paraId="05D4FD41" w14:textId="77777777" w:rsidR="00665749" w:rsidRDefault="00665749">
      <w:pPr>
        <w:pStyle w:val="a5"/>
        <w:suppressAutoHyphens/>
        <w:spacing w:before="0" w:after="240" w:line="240" w:lineRule="auto"/>
        <w:jc w:val="both"/>
        <w:rPr>
          <w:rFonts w:ascii="Times Roman" w:eastAsia="Times Roman" w:hAnsi="Times Roman" w:cs="Times Roman"/>
          <w:sz w:val="20"/>
          <w:szCs w:val="20"/>
        </w:rPr>
      </w:pPr>
    </w:p>
    <w:p w14:paraId="57044A5A" w14:textId="77777777" w:rsidR="00665749" w:rsidRDefault="00000000">
      <w:pPr>
        <w:pStyle w:val="a5"/>
        <w:suppressAutoHyphens/>
        <w:spacing w:before="0" w:after="299" w:line="240" w:lineRule="auto"/>
        <w:jc w:val="both"/>
        <w:rPr>
          <w:rFonts w:ascii="Times Roman" w:eastAsia="Times Roman" w:hAnsi="Times Roman" w:cs="Times Roman"/>
          <w:b/>
          <w:bCs/>
        </w:rPr>
      </w:pPr>
      <w:r>
        <w:rPr>
          <w:rFonts w:ascii="Times Roman" w:hAnsi="Times Roman"/>
          <w:b/>
          <w:bCs/>
        </w:rPr>
        <w:t xml:space="preserve">Supplementary Figure S4 | Independent validation of </w:t>
      </w:r>
      <w:proofErr w:type="spellStart"/>
      <w:r>
        <w:rPr>
          <w:rFonts w:ascii="Times Roman" w:hAnsi="Times Roman"/>
          <w:b/>
          <w:bCs/>
        </w:rPr>
        <w:t>Gafchromic</w:t>
      </w:r>
      <w:proofErr w:type="spellEnd"/>
      <w:r>
        <w:rPr>
          <w:rFonts w:ascii="Times Roman" w:hAnsi="Times Roman"/>
          <w:b/>
          <w:bCs/>
        </w:rPr>
        <w:t xml:space="preserve"> film dose measurements using pulse-radiolysis-based KSCN chemical dosimetry.</w:t>
      </w:r>
    </w:p>
    <w:p w14:paraId="68F82BEE" w14:textId="13BA2B18" w:rsidR="002933E8" w:rsidRDefault="00000000" w:rsidP="002933E8">
      <w:pPr>
        <w:pStyle w:val="a5"/>
        <w:numPr>
          <w:ilvl w:val="2"/>
          <w:numId w:val="2"/>
        </w:numPr>
        <w:suppressAutoHyphens/>
        <w:spacing w:before="0" w:after="299" w:line="240" w:lineRule="auto"/>
        <w:ind w:left="426" w:hanging="426"/>
        <w:jc w:val="both"/>
        <w:rPr>
          <w:rFonts w:ascii="Times Roman" w:eastAsia="Times Roman" w:hAnsi="Times Roman" w:cs="Times Roman"/>
        </w:rPr>
      </w:pPr>
      <w:r>
        <w:rPr>
          <w:rFonts w:ascii="Times Roman" w:hAnsi="Times Roman"/>
        </w:rPr>
        <w:lastRenderedPageBreak/>
        <w:t>Photograph of the KSCN chemical dosimetry setup used for independent dose evaluation under LWFA electron-beam irradiation. Transient absorption induced in the irradiated KSCN solution was monitored using a 450 nm laser-diode probe.</w:t>
      </w:r>
    </w:p>
    <w:p w14:paraId="367E3F1D" w14:textId="34B075BD" w:rsidR="001069A9" w:rsidRPr="001069A9" w:rsidRDefault="00000000" w:rsidP="001069A9">
      <w:pPr>
        <w:pStyle w:val="a5"/>
        <w:numPr>
          <w:ilvl w:val="2"/>
          <w:numId w:val="2"/>
        </w:numPr>
        <w:suppressAutoHyphens/>
        <w:spacing w:before="0" w:after="299" w:line="240" w:lineRule="auto"/>
        <w:ind w:left="426" w:hanging="426"/>
        <w:jc w:val="both"/>
        <w:rPr>
          <w:rFonts w:ascii="Times Roman" w:eastAsia="Times Roman" w:hAnsi="Times Roman" w:cs="Times Roman"/>
        </w:rPr>
      </w:pPr>
      <w:r>
        <w:rPr>
          <w:rFonts w:ascii="Times Roman" w:hAnsi="Times Roman"/>
        </w:rPr>
        <w:t xml:space="preserve">Comparison between dose values independently evaluated using KSCN chemical dosimetry and the corresponding </w:t>
      </w:r>
      <w:proofErr w:type="spellStart"/>
      <w:r>
        <w:rPr>
          <w:rFonts w:ascii="Times Roman" w:hAnsi="Times Roman"/>
        </w:rPr>
        <w:t>Gafchromic</w:t>
      </w:r>
      <w:proofErr w:type="spellEnd"/>
      <w:r>
        <w:rPr>
          <w:rFonts w:ascii="Times Roman" w:hAnsi="Times Roman"/>
        </w:rPr>
        <w:t xml:space="preserve"> film measurements in the overlapping depth region (5–15 cm) under identical LWFA irradiation conditions. The </w:t>
      </w:r>
      <w:proofErr w:type="spellStart"/>
      <w:r>
        <w:rPr>
          <w:rFonts w:ascii="Times Roman" w:hAnsi="Times Roman"/>
        </w:rPr>
        <w:t>Gafchromic</w:t>
      </w:r>
      <w:proofErr w:type="spellEnd"/>
      <w:r>
        <w:rPr>
          <w:rFonts w:ascii="Times Roman" w:hAnsi="Times Roman"/>
        </w:rPr>
        <w:t xml:space="preserve"> film dose values were evaluated from a localized analysis region around the beam propagation axis, approximately corresponding to the region sampled by the optical probe beam used in the KSCN measurements. The </w:t>
      </w:r>
      <w:proofErr w:type="spellStart"/>
      <w:r>
        <w:rPr>
          <w:rFonts w:ascii="Times Roman" w:hAnsi="Times Roman"/>
        </w:rPr>
        <w:t>Gafchromic</w:t>
      </w:r>
      <w:proofErr w:type="spellEnd"/>
      <w:r>
        <w:rPr>
          <w:rFonts w:ascii="Times Roman" w:hAnsi="Times Roman"/>
        </w:rPr>
        <w:t xml:space="preserve"> film data represent the mean </w:t>
      </w:r>
      <w:r>
        <w:rPr>
          <w:rFonts w:ascii="Times Roman" w:hAnsi="Times Roman"/>
          <w:rtl/>
        </w:rPr>
        <w:t xml:space="preserve">± </w:t>
      </w:r>
      <w:proofErr w:type="spellStart"/>
      <w:r>
        <w:rPr>
          <w:rFonts w:ascii="Times Roman" w:hAnsi="Times Roman"/>
        </w:rPr>
        <w:t>s.d.</w:t>
      </w:r>
      <w:proofErr w:type="spellEnd"/>
      <w:r>
        <w:rPr>
          <w:rFonts w:ascii="Times Roman" w:hAnsi="Times Roman"/>
        </w:rPr>
        <w:t xml:space="preserve"> of three independent measurements at each depth (n = 3), whereas the KSCN value represents the mean dose obtained from ten independent measurements within the overlapping depth region (n = 10). The broadly consistent dose levels obtained from the two independent dosimetry methods support the validity of the film-based dose evaluation under the present LWFA irradiation conditions.</w:t>
      </w:r>
    </w:p>
    <w:p w14:paraId="4D4B5DF2" w14:textId="56A421B7" w:rsidR="00665749" w:rsidRDefault="001069A9" w:rsidP="001069A9">
      <w:pPr>
        <w:pStyle w:val="a5"/>
        <w:suppressAutoHyphens/>
        <w:spacing w:before="0" w:after="240" w:line="240" w:lineRule="auto"/>
        <w:jc w:val="both"/>
        <w:rPr>
          <w:rFonts w:ascii="ヒラギノ明朝 ProN W3" w:eastAsia="ヒラギノ明朝 ProN W3" w:hAnsi="ヒラギノ明朝 ProN W3" w:cs="ヒラギノ明朝 ProN W3"/>
        </w:rPr>
      </w:pPr>
      <w:r>
        <w:rPr>
          <w:rFonts w:ascii="Times Roman" w:hAnsi="Times Roman"/>
          <w:b/>
          <w:bCs/>
        </w:rPr>
        <w:t>Supplementary</w:t>
      </w:r>
      <w:r>
        <w:rPr>
          <w:rFonts w:ascii="Times New Roman" w:hAnsi="Times New Roman"/>
          <w:b/>
          <w:bCs/>
          <w:lang w:val="it-IT"/>
        </w:rPr>
        <w:t xml:space="preserve"> Figure </w:t>
      </w:r>
      <w:r>
        <w:rPr>
          <w:rFonts w:ascii="Times New Roman" w:hAnsi="Times New Roman"/>
          <w:b/>
          <w:bCs/>
        </w:rPr>
        <w:t>S5</w:t>
      </w:r>
    </w:p>
    <w:p w14:paraId="5F5FE40E" w14:textId="77777777" w:rsidR="00665749" w:rsidRDefault="00000000" w:rsidP="002933E8">
      <w:pPr>
        <w:pStyle w:val="a5"/>
        <w:suppressAutoHyphens/>
        <w:spacing w:before="0" w:line="240" w:lineRule="auto"/>
        <w:ind w:leftChars="-3" w:left="-7"/>
        <w:jc w:val="both"/>
        <w:rPr>
          <w:rFonts w:ascii="ヒラギノ明朝 ProN W3" w:eastAsia="ヒラギノ明朝 ProN W3" w:hAnsi="ヒラギノ明朝 ProN W3" w:cs="ヒラギノ明朝 ProN W3"/>
        </w:rPr>
      </w:pPr>
      <w:r>
        <w:rPr>
          <w:rFonts w:ascii="Times New Roman" w:hAnsi="Times New Roman"/>
        </w:rPr>
        <w:t>The reaction process of prodrug</w:t>
      </w:r>
      <w:r>
        <w:rPr>
          <w:rFonts w:ascii="Times New Roman" w:hAnsi="Times New Roman"/>
          <w:lang w:val="fr-FR"/>
        </w:rPr>
        <w:t> </w:t>
      </w:r>
      <w:r>
        <w:rPr>
          <w:rFonts w:ascii="Times New Roman" w:hAnsi="Times New Roman"/>
          <w:b/>
          <w:bCs/>
        </w:rPr>
        <w:t>3</w:t>
      </w:r>
      <w:r>
        <w:rPr>
          <w:rFonts w:ascii="Times New Roman" w:hAnsi="Times New Roman"/>
        </w:rPr>
        <w:t xml:space="preserve"> activation.</w:t>
      </w:r>
    </w:p>
    <w:p w14:paraId="7CBCD070" w14:textId="7FCF5C74" w:rsidR="00665749" w:rsidRDefault="00000000" w:rsidP="002933E8">
      <w:pPr>
        <w:pStyle w:val="a5"/>
        <w:numPr>
          <w:ilvl w:val="0"/>
          <w:numId w:val="7"/>
        </w:numPr>
        <w:suppressAutoHyphens/>
        <w:spacing w:before="0" w:line="240" w:lineRule="auto"/>
        <w:ind w:left="426" w:hanging="426"/>
        <w:jc w:val="both"/>
        <w:rPr>
          <w:rFonts w:ascii="ヒラギノ明朝 ProN W3" w:eastAsia="ヒラギノ明朝 ProN W3" w:hAnsi="ヒラギノ明朝 ProN W3" w:cs="ヒラギノ明朝 ProN W3"/>
        </w:rPr>
      </w:pPr>
      <w:r>
        <w:rPr>
          <w:rFonts w:ascii="Times New Roman" w:hAnsi="Times New Roman"/>
        </w:rPr>
        <w:t>Electron beam irradiation generates hydrated electrons (e</w:t>
      </w:r>
      <w:proofErr w:type="spellStart"/>
      <w:r>
        <w:rPr>
          <w:rFonts w:ascii="Times New Roman" w:hAnsi="Times New Roman"/>
          <w:vertAlign w:val="subscript"/>
          <w:lang w:val="pt-PT"/>
        </w:rPr>
        <w:t>aq</w:t>
      </w:r>
      <w:proofErr w:type="spellEnd"/>
      <w:r>
        <w:rPr>
          <w:rFonts w:ascii="Times New Roman" w:hAnsi="Times New Roman"/>
          <w:vertAlign w:val="subscript"/>
          <w:lang w:val="pt-PT"/>
        </w:rPr>
        <w:t>-</w:t>
      </w:r>
      <w:r>
        <w:rPr>
          <w:rFonts w:ascii="Times New Roman" w:hAnsi="Times New Roman"/>
        </w:rPr>
        <w:t>) and hydrogen radicals (H) from water molecules.</w:t>
      </w:r>
    </w:p>
    <w:p w14:paraId="72955358" w14:textId="610F8E63" w:rsidR="00665749" w:rsidRDefault="00000000" w:rsidP="002933E8">
      <w:pPr>
        <w:pStyle w:val="a5"/>
        <w:numPr>
          <w:ilvl w:val="0"/>
          <w:numId w:val="7"/>
        </w:numPr>
        <w:suppressAutoHyphens/>
        <w:spacing w:before="0" w:line="240" w:lineRule="auto"/>
        <w:ind w:left="426" w:hanging="426"/>
        <w:jc w:val="both"/>
        <w:rPr>
          <w:rFonts w:ascii="ヒラギノ明朝 ProN W3" w:eastAsia="ヒラギノ明朝 ProN W3" w:hAnsi="ヒラギノ明朝 ProN W3" w:cs="ヒラギノ明朝 ProN W3"/>
        </w:rPr>
      </w:pPr>
      <w:r>
        <w:rPr>
          <w:rFonts w:ascii="Times New Roman" w:hAnsi="Times New Roman"/>
        </w:rPr>
        <w:t xml:space="preserve">These hydrated electrons and hydrogen radicals reduce the </w:t>
      </w:r>
      <w:proofErr w:type="spellStart"/>
      <w:r>
        <w:rPr>
          <w:rFonts w:ascii="Times New Roman" w:hAnsi="Times New Roman"/>
        </w:rPr>
        <w:t>azide</w:t>
      </w:r>
      <w:proofErr w:type="spellEnd"/>
      <w:r>
        <w:rPr>
          <w:rFonts w:ascii="Times New Roman" w:hAnsi="Times New Roman"/>
        </w:rPr>
        <w:t xml:space="preserve"> group, producing the amine intermediate</w:t>
      </w:r>
      <w:r>
        <w:rPr>
          <w:rFonts w:ascii="Times New Roman" w:hAnsi="Times New Roman"/>
          <w:lang w:val="fr-FR"/>
        </w:rPr>
        <w:t> </w:t>
      </w:r>
      <w:r>
        <w:rPr>
          <w:rFonts w:ascii="Times New Roman" w:hAnsi="Times New Roman"/>
          <w:b/>
          <w:bCs/>
        </w:rPr>
        <w:t>4</w:t>
      </w:r>
      <w:r>
        <w:rPr>
          <w:rFonts w:ascii="Times New Roman" w:hAnsi="Times New Roman"/>
        </w:rPr>
        <w:t>.</w:t>
      </w:r>
    </w:p>
    <w:p w14:paraId="65AB3E25" w14:textId="2CD662A7" w:rsidR="00665749" w:rsidRDefault="00000000" w:rsidP="002933E8">
      <w:pPr>
        <w:pStyle w:val="a5"/>
        <w:numPr>
          <w:ilvl w:val="0"/>
          <w:numId w:val="7"/>
        </w:numPr>
        <w:suppressAutoHyphens/>
        <w:spacing w:before="0" w:line="240" w:lineRule="auto"/>
        <w:ind w:left="426" w:hanging="426"/>
        <w:jc w:val="both"/>
        <w:rPr>
          <w:rFonts w:ascii="Times New Roman" w:eastAsia="Times New Roman" w:hAnsi="Times New Roman" w:cs="Times New Roman"/>
        </w:rPr>
      </w:pPr>
      <w:r>
        <w:rPr>
          <w:rFonts w:ascii="Times New Roman" w:hAnsi="Times New Roman"/>
        </w:rPr>
        <w:t>Subsequent desorption of masking group</w:t>
      </w:r>
      <w:r>
        <w:rPr>
          <w:rFonts w:ascii="Times New Roman" w:hAnsi="Times New Roman"/>
          <w:lang w:val="fr-FR"/>
        </w:rPr>
        <w:t> </w:t>
      </w:r>
      <w:r>
        <w:rPr>
          <w:rFonts w:ascii="Times New Roman" w:hAnsi="Times New Roman"/>
          <w:b/>
          <w:bCs/>
        </w:rPr>
        <w:t>5</w:t>
      </w:r>
      <w:r>
        <w:rPr>
          <w:rFonts w:ascii="Times New Roman" w:hAnsi="Times New Roman"/>
        </w:rPr>
        <w:t xml:space="preserve"> and decarboxylation yield the active drug. </w:t>
      </w:r>
    </w:p>
    <w:p w14:paraId="2EB032D0" w14:textId="77777777" w:rsidR="00665749" w:rsidRDefault="00665749">
      <w:pPr>
        <w:pStyle w:val="a5"/>
        <w:suppressAutoHyphens/>
        <w:spacing w:before="0" w:line="240" w:lineRule="auto"/>
        <w:jc w:val="both"/>
        <w:rPr>
          <w:rFonts w:ascii="Times New Roman" w:eastAsia="Times New Roman" w:hAnsi="Times New Roman" w:cs="Times New Roman"/>
        </w:rPr>
      </w:pPr>
    </w:p>
    <w:p w14:paraId="0A3C8095" w14:textId="3B417DBE" w:rsidR="00665749" w:rsidRDefault="00000000" w:rsidP="001069A9">
      <w:pPr>
        <w:pStyle w:val="a5"/>
        <w:suppressAutoHyphens/>
        <w:spacing w:before="0" w:after="240" w:line="240" w:lineRule="auto"/>
        <w:jc w:val="both"/>
        <w:rPr>
          <w:rFonts w:ascii="Times Roman" w:eastAsia="Times Roman" w:hAnsi="Times Roman" w:cs="Times Roman"/>
          <w:b/>
          <w:bCs/>
        </w:rPr>
      </w:pPr>
      <w:r>
        <w:rPr>
          <w:rFonts w:ascii="Times Roman" w:hAnsi="Times Roman"/>
          <w:b/>
          <w:bCs/>
        </w:rPr>
        <w:t>Supplementary Figure S6 Histological evaluation of normal tissues adjacent to tumors after electron beam irradiation</w:t>
      </w:r>
    </w:p>
    <w:p w14:paraId="4E1D855B" w14:textId="77777777" w:rsidR="00665749" w:rsidRDefault="00000000" w:rsidP="001069A9">
      <w:pPr>
        <w:pStyle w:val="a5"/>
        <w:suppressAutoHyphens/>
        <w:spacing w:before="0" w:line="240" w:lineRule="auto"/>
        <w:jc w:val="both"/>
        <w:rPr>
          <w:rFonts w:ascii="Times Roman" w:eastAsia="Times Roman" w:hAnsi="Times Roman" w:cs="Times Roman"/>
        </w:rPr>
      </w:pPr>
      <w:r>
        <w:rPr>
          <w:rFonts w:ascii="Times Roman" w:hAnsi="Times Roman"/>
        </w:rPr>
        <w:t>Tissues were collected four weeks after treatment.</w:t>
      </w:r>
    </w:p>
    <w:p w14:paraId="5D91DADC" w14:textId="1E18FC75" w:rsidR="00665749" w:rsidRDefault="00000000" w:rsidP="001069A9">
      <w:pPr>
        <w:pStyle w:val="a5"/>
        <w:numPr>
          <w:ilvl w:val="0"/>
          <w:numId w:val="9"/>
        </w:numPr>
        <w:suppressAutoHyphens/>
        <w:spacing w:before="0" w:line="240" w:lineRule="auto"/>
        <w:jc w:val="both"/>
        <w:rPr>
          <w:rFonts w:ascii="Times Roman" w:eastAsia="Times Roman" w:hAnsi="Times Roman" w:cs="Times Roman"/>
        </w:rPr>
      </w:pPr>
      <w:r>
        <w:rPr>
          <w:rFonts w:ascii="Times Roman" w:hAnsi="Times Roman"/>
        </w:rPr>
        <w:t>Untreated control (CTRL);</w:t>
      </w:r>
    </w:p>
    <w:p w14:paraId="3F860BDA" w14:textId="5B9F2D70" w:rsidR="00665749" w:rsidRDefault="00000000" w:rsidP="001069A9">
      <w:pPr>
        <w:pStyle w:val="a5"/>
        <w:numPr>
          <w:ilvl w:val="0"/>
          <w:numId w:val="9"/>
        </w:numPr>
        <w:suppressAutoHyphens/>
        <w:spacing w:before="0" w:line="240" w:lineRule="auto"/>
        <w:jc w:val="both"/>
        <w:rPr>
          <w:rFonts w:ascii="Times Roman" w:eastAsia="Times Roman" w:hAnsi="Times Roman" w:cs="Times Roman"/>
        </w:rPr>
      </w:pPr>
      <w:r>
        <w:rPr>
          <w:rFonts w:ascii="Times Roman" w:hAnsi="Times Roman"/>
        </w:rPr>
        <w:t xml:space="preserve">prodrug </w:t>
      </w:r>
      <w:r>
        <w:rPr>
          <w:rFonts w:ascii="Times Roman" w:hAnsi="Times Roman"/>
          <w:b/>
          <w:bCs/>
        </w:rPr>
        <w:t xml:space="preserve">3 </w:t>
      </w:r>
      <w:r>
        <w:rPr>
          <w:rFonts w:ascii="Times Roman" w:hAnsi="Times Roman"/>
        </w:rPr>
        <w:t>only (Prodrug);</w:t>
      </w:r>
    </w:p>
    <w:p w14:paraId="1481938C" w14:textId="049F0E44" w:rsidR="00665749" w:rsidRDefault="00000000" w:rsidP="001069A9">
      <w:pPr>
        <w:pStyle w:val="a5"/>
        <w:numPr>
          <w:ilvl w:val="0"/>
          <w:numId w:val="9"/>
        </w:numPr>
        <w:suppressAutoHyphens/>
        <w:spacing w:before="0" w:line="240" w:lineRule="auto"/>
        <w:jc w:val="both"/>
        <w:rPr>
          <w:rFonts w:ascii="Times Roman" w:eastAsia="Times Roman" w:hAnsi="Times Roman" w:cs="Times Roman"/>
        </w:rPr>
      </w:pPr>
      <w:r>
        <w:rPr>
          <w:rFonts w:ascii="Times Roman" w:hAnsi="Times Roman"/>
        </w:rPr>
        <w:t>electron beam irradiation only (EB);</w:t>
      </w:r>
    </w:p>
    <w:p w14:paraId="4A06242C" w14:textId="64F2F262" w:rsidR="00665749" w:rsidRDefault="00000000" w:rsidP="001069A9">
      <w:pPr>
        <w:pStyle w:val="a5"/>
        <w:numPr>
          <w:ilvl w:val="0"/>
          <w:numId w:val="9"/>
        </w:numPr>
        <w:suppressAutoHyphens/>
        <w:spacing w:before="0" w:line="240" w:lineRule="auto"/>
        <w:jc w:val="both"/>
        <w:rPr>
          <w:rFonts w:ascii="Times Roman" w:eastAsia="Times Roman" w:hAnsi="Times Roman" w:cs="Times Roman"/>
        </w:rPr>
      </w:pPr>
      <w:r>
        <w:rPr>
          <w:rFonts w:ascii="Times Roman" w:hAnsi="Times Roman"/>
        </w:rPr>
        <w:t xml:space="preserve">combination of prodrug </w:t>
      </w:r>
      <w:r>
        <w:rPr>
          <w:rFonts w:ascii="Times Roman" w:hAnsi="Times Roman"/>
          <w:b/>
          <w:bCs/>
        </w:rPr>
        <w:t>3</w:t>
      </w:r>
      <w:r>
        <w:rPr>
          <w:rFonts w:ascii="Times Roman" w:hAnsi="Times Roman"/>
        </w:rPr>
        <w:t xml:space="preserve"> and electron beam irradiation (Prodrug + EB).</w:t>
      </w:r>
    </w:p>
    <w:p w14:paraId="68A67C4E" w14:textId="77777777" w:rsidR="00665749" w:rsidRDefault="00000000" w:rsidP="001069A9">
      <w:pPr>
        <w:pStyle w:val="a5"/>
        <w:suppressAutoHyphens/>
        <w:spacing w:before="0" w:line="240" w:lineRule="auto"/>
        <w:jc w:val="both"/>
        <w:rPr>
          <w:rFonts w:ascii="Times Roman" w:eastAsia="Times Roman" w:hAnsi="Times Roman" w:cs="Times Roman"/>
        </w:rPr>
      </w:pPr>
      <w:r>
        <w:rPr>
          <w:rFonts w:ascii="Times Roman" w:hAnsi="Times Roman"/>
        </w:rPr>
        <w:t xml:space="preserve">Irradiation was performed using the L-band RF electron linac. No significant </w:t>
      </w:r>
      <w:proofErr w:type="spellStart"/>
      <w:r>
        <w:rPr>
          <w:rFonts w:ascii="Times Roman" w:hAnsi="Times Roman"/>
        </w:rPr>
        <w:t>histomorphological</w:t>
      </w:r>
      <w:proofErr w:type="spellEnd"/>
      <w:r>
        <w:rPr>
          <w:rFonts w:ascii="Times Roman" w:hAnsi="Times Roman"/>
        </w:rPr>
        <w:t xml:space="preserve"> abnormalities attributable to electron beam irradiation were observed in any group.</w:t>
      </w:r>
    </w:p>
    <w:p w14:paraId="55FBB1BF" w14:textId="77777777" w:rsidR="00665749" w:rsidRDefault="00665749">
      <w:pPr>
        <w:pStyle w:val="a5"/>
        <w:suppressAutoHyphens/>
        <w:spacing w:before="0" w:after="240" w:line="240" w:lineRule="auto"/>
        <w:jc w:val="both"/>
        <w:rPr>
          <w:rFonts w:ascii="Times Roman" w:eastAsia="Times Roman" w:hAnsi="Times Roman" w:cs="Times Roman"/>
        </w:rPr>
      </w:pPr>
    </w:p>
    <w:p w14:paraId="33DEDE6E" w14:textId="51728502" w:rsidR="00665749" w:rsidRPr="001069A9" w:rsidRDefault="00000000" w:rsidP="001069A9">
      <w:pPr>
        <w:pStyle w:val="a5"/>
        <w:suppressAutoHyphens/>
        <w:spacing w:before="0" w:after="240" w:line="240" w:lineRule="auto"/>
        <w:rPr>
          <w:rFonts w:ascii="Times Roman" w:eastAsia="Times Roman" w:hAnsi="Times Roman" w:cs="Times Roman"/>
        </w:rPr>
      </w:pPr>
      <w:r>
        <w:rPr>
          <w:rFonts w:ascii="Times Roman" w:hAnsi="Times Roman"/>
          <w:b/>
          <w:bCs/>
        </w:rPr>
        <w:t>Supplementary Figure S7 | Conceptual schematic of a potential LWFA-based beam delivery configuration.</w:t>
      </w:r>
    </w:p>
    <w:p w14:paraId="0807E6F9" w14:textId="77777777" w:rsidR="00665749" w:rsidRDefault="00000000">
      <w:pPr>
        <w:pStyle w:val="a5"/>
        <w:suppressAutoHyphens/>
        <w:spacing w:before="0" w:line="240" w:lineRule="auto"/>
        <w:jc w:val="both"/>
        <w:rPr>
          <w:rFonts w:ascii="Times Roman" w:eastAsia="Times Roman" w:hAnsi="Times Roman" w:cs="Times Roman"/>
        </w:rPr>
      </w:pPr>
      <w:r>
        <w:rPr>
          <w:rFonts w:ascii="Times Roman" w:hAnsi="Times Roman"/>
        </w:rPr>
        <w:t xml:space="preserve">Illustration of a possible system layout for generating and delivering ultrashort, high-energy electron beams using laser </w:t>
      </w:r>
      <w:proofErr w:type="spellStart"/>
      <w:r>
        <w:rPr>
          <w:rFonts w:ascii="Times Roman" w:hAnsi="Times Roman"/>
        </w:rPr>
        <w:t>wakefield</w:t>
      </w:r>
      <w:proofErr w:type="spellEnd"/>
      <w:r>
        <w:rPr>
          <w:rFonts w:ascii="Times Roman" w:hAnsi="Times Roman"/>
        </w:rPr>
        <w:t xml:space="preserve"> acceleration (LWFA). Laser pulses from a high-power </w:t>
      </w:r>
      <w:proofErr w:type="spellStart"/>
      <w:proofErr w:type="gramStart"/>
      <w:r>
        <w:rPr>
          <w:rFonts w:ascii="Times Roman" w:hAnsi="Times Roman"/>
        </w:rPr>
        <w:t>Ti:sapphire</w:t>
      </w:r>
      <w:proofErr w:type="spellEnd"/>
      <w:proofErr w:type="gramEnd"/>
      <w:r>
        <w:rPr>
          <w:rFonts w:ascii="Times Roman" w:hAnsi="Times Roman"/>
        </w:rPr>
        <w:t xml:space="preserve"> system are transported to a plasma acceleration stage, where electron beams are generated and subsequently guided toward a target. This schematic is intended for conceptual illustration only and does not represent a clinical or fully engineered system.</w:t>
      </w:r>
    </w:p>
    <w:p w14:paraId="32349D19" w14:textId="77777777" w:rsidR="00665749" w:rsidRDefault="00665749">
      <w:pPr>
        <w:pStyle w:val="a5"/>
        <w:suppressAutoHyphens/>
        <w:spacing w:before="0" w:after="240" w:line="240" w:lineRule="auto"/>
        <w:jc w:val="both"/>
        <w:rPr>
          <w:rFonts w:hint="eastAsia"/>
        </w:rPr>
      </w:pPr>
    </w:p>
    <w:sectPr w:rsidR="00665749">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2AF741" w14:textId="77777777" w:rsidR="00A2765D" w:rsidRDefault="00A2765D">
      <w:r>
        <w:separator/>
      </w:r>
    </w:p>
  </w:endnote>
  <w:endnote w:type="continuationSeparator" w:id="0">
    <w:p w14:paraId="0B00F6C3" w14:textId="77777777" w:rsidR="00A2765D" w:rsidRDefault="00A2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N W3">
    <w:altName w:val="Cambria"/>
    <w:panose1 w:val="020B0300000000000000"/>
    <w:charset w:val="00"/>
    <w:family w:val="roman"/>
    <w:pitch w:val="default"/>
  </w:font>
  <w:font w:name="Times Roman">
    <w:altName w:val="Times New Roman"/>
    <w:panose1 w:val="020B0604020202020204"/>
    <w:charset w:val="00"/>
    <w:family w:val="roman"/>
    <w:pitch w:val="default"/>
  </w:font>
  <w:font w:name="ヒラギノ明朝 ProN W3">
    <w:altName w:val="Cambria"/>
    <w:panose1 w:val="02020300000000000000"/>
    <w:charset w:val="0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ヒラギノ角ゴ ProN W6">
    <w:altName w:val="Yu Gothic"/>
    <w:panose1 w:val="020B0600000000000000"/>
    <w:charset w:val="80"/>
    <w:family w:val="roman"/>
    <w:notTrueType/>
    <w:pitch w:val="default"/>
  </w:font>
  <w:font w:name="ＭＳ 明朝">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FDA59" w14:textId="77777777" w:rsidR="00665749" w:rsidRDefault="006657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09743C" w14:textId="77777777" w:rsidR="00A2765D" w:rsidRDefault="00A2765D">
      <w:r>
        <w:separator/>
      </w:r>
    </w:p>
  </w:footnote>
  <w:footnote w:type="continuationSeparator" w:id="0">
    <w:p w14:paraId="10EC4676" w14:textId="77777777" w:rsidR="00A2765D" w:rsidRDefault="00A27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3D0C8" w14:textId="77777777" w:rsidR="00665749" w:rsidRDefault="006657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D7E9F"/>
    <w:multiLevelType w:val="hybridMultilevel"/>
    <w:tmpl w:val="118A4EA2"/>
    <w:numStyleLink w:val="a"/>
  </w:abstractNum>
  <w:abstractNum w:abstractNumId="1" w15:restartNumberingAfterBreak="0">
    <w:nsid w:val="100F4C01"/>
    <w:multiLevelType w:val="hybridMultilevel"/>
    <w:tmpl w:val="118A4EA2"/>
    <w:styleLink w:val="a"/>
    <w:lvl w:ilvl="0" w:tplc="22522516">
      <w:start w:val="1"/>
      <w:numFmt w:val="lowerLetter"/>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38E4F932">
      <w:start w:val="1"/>
      <w:numFmt w:val="low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89282CE6">
      <w:start w:val="1"/>
      <w:numFmt w:val="low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CD90829C">
      <w:start w:val="1"/>
      <w:numFmt w:val="low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285CC626">
      <w:start w:val="1"/>
      <w:numFmt w:val="low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44CCCBFA">
      <w:start w:val="1"/>
      <w:numFmt w:val="low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C55CFEE2">
      <w:start w:val="1"/>
      <w:numFmt w:val="low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51E38B4">
      <w:start w:val="1"/>
      <w:numFmt w:val="low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AA5E69B4">
      <w:start w:val="1"/>
      <w:numFmt w:val="low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735131C"/>
    <w:multiLevelType w:val="hybridMultilevel"/>
    <w:tmpl w:val="A392C89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423480D"/>
    <w:multiLevelType w:val="hybridMultilevel"/>
    <w:tmpl w:val="573AE4AC"/>
    <w:lvl w:ilvl="0" w:tplc="9BCC74B8">
      <w:start w:val="1"/>
      <w:numFmt w:val="lowerLetter"/>
      <w:lvlText w:val="(%1)"/>
      <w:lvlJc w:val="left"/>
      <w:pPr>
        <w:ind w:left="360" w:hanging="360"/>
      </w:pPr>
      <w:rPr>
        <w:rFonts w:eastAsia="Arial Unicode MS" w:cs="Arial Unicode M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712472E"/>
    <w:multiLevelType w:val="hybridMultilevel"/>
    <w:tmpl w:val="B9D004FC"/>
    <w:lvl w:ilvl="0" w:tplc="03FE65B8">
      <w:start w:val="1"/>
      <w:numFmt w:val="lowerLetter"/>
      <w:lvlText w:val="(%1)"/>
      <w:lvlJc w:val="left"/>
      <w:pPr>
        <w:ind w:left="360" w:hanging="360"/>
      </w:pPr>
      <w:rPr>
        <w:rFonts w:eastAsia="Arial Unicode MS" w:cs="Arial Unicode M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671791E"/>
    <w:multiLevelType w:val="hybridMultilevel"/>
    <w:tmpl w:val="85B29C60"/>
    <w:lvl w:ilvl="0" w:tplc="9BCC74B8">
      <w:start w:val="1"/>
      <w:numFmt w:val="lowerLetter"/>
      <w:lvlText w:val="(%1)"/>
      <w:lvlJc w:val="left"/>
      <w:pPr>
        <w:ind w:left="360" w:hanging="360"/>
      </w:pPr>
      <w:rPr>
        <w:rFonts w:eastAsia="Arial Unicode MS" w:cs="Arial Unicode M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A47730A"/>
    <w:multiLevelType w:val="hybridMultilevel"/>
    <w:tmpl w:val="36D843DA"/>
    <w:lvl w:ilvl="0" w:tplc="505C3B4C">
      <w:start w:val="1"/>
      <w:numFmt w:val="lowerRoman"/>
      <w:lvlText w:val="(%1)"/>
      <w:lvlJc w:val="left"/>
      <w:pPr>
        <w:ind w:left="720" w:hanging="720"/>
      </w:pPr>
      <w:rPr>
        <w:rFonts w:ascii="Times New Roman" w:eastAsia="Arial Unicode MS" w:hAnsi="Times New Roman" w:cs="Arial Unicode M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F3A6306"/>
    <w:multiLevelType w:val="hybridMultilevel"/>
    <w:tmpl w:val="4AA4D0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2241003"/>
    <w:multiLevelType w:val="hybridMultilevel"/>
    <w:tmpl w:val="452888DC"/>
    <w:lvl w:ilvl="0" w:tplc="505C3B4C">
      <w:start w:val="1"/>
      <w:numFmt w:val="lowerRoman"/>
      <w:lvlText w:val="(%1)"/>
      <w:lvlJc w:val="left"/>
      <w:pPr>
        <w:ind w:left="720" w:hanging="720"/>
      </w:pPr>
      <w:rPr>
        <w:rFonts w:ascii="Times New Roman" w:eastAsia="Arial Unicode MS" w:hAnsi="Times New Roman" w:cs="Arial Unicode M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0171242">
    <w:abstractNumId w:val="1"/>
  </w:num>
  <w:num w:numId="2" w16cid:durableId="77362343">
    <w:abstractNumId w:val="0"/>
  </w:num>
  <w:num w:numId="3" w16cid:durableId="1240795029">
    <w:abstractNumId w:val="2"/>
  </w:num>
  <w:num w:numId="4" w16cid:durableId="168721057">
    <w:abstractNumId w:val="3"/>
  </w:num>
  <w:num w:numId="5" w16cid:durableId="105779993">
    <w:abstractNumId w:val="5"/>
  </w:num>
  <w:num w:numId="6" w16cid:durableId="997148385">
    <w:abstractNumId w:val="7"/>
  </w:num>
  <w:num w:numId="7" w16cid:durableId="1427262015">
    <w:abstractNumId w:val="8"/>
  </w:num>
  <w:num w:numId="8" w16cid:durableId="290405812">
    <w:abstractNumId w:val="6"/>
  </w:num>
  <w:num w:numId="9" w16cid:durableId="163782927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749"/>
    <w:rsid w:val="001069A9"/>
    <w:rsid w:val="002933E8"/>
    <w:rsid w:val="00310B7D"/>
    <w:rsid w:val="00665749"/>
    <w:rsid w:val="00A2765D"/>
    <w:rsid w:val="00AA5C89"/>
    <w:rsid w:val="00CB1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0BD8675"/>
  <w15:docId w15:val="{FDB3714E-1134-124D-B801-2C37F5A9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デフォルト"/>
    <w:pPr>
      <w:spacing w:before="160" w:line="288" w:lineRule="auto"/>
    </w:pPr>
    <w:rPr>
      <w:rFonts w:ascii="ヒラギノ角ゴ ProN W3" w:hAnsi="ヒラギノ角ゴ ProN W3" w:cs="Arial Unicode MS"/>
      <w:color w:val="000000"/>
      <w:sz w:val="24"/>
      <w:szCs w:val="24"/>
      <w14:textOutline w14:w="0" w14:cap="flat" w14:cmpd="sng" w14:algn="ctr">
        <w14:noFill/>
        <w14:prstDash w14:val="solid"/>
        <w14:bevel/>
      </w14:textOutline>
    </w:rPr>
  </w:style>
  <w:style w:type="numbering" w:customStyle="1" w:styleId="a">
    <w:name w:val="テキスト"/>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781</Words>
  <Characters>4453</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細貝 知直</cp:lastModifiedBy>
  <cp:revision>3</cp:revision>
  <dcterms:created xsi:type="dcterms:W3CDTF">2026-06-19T06:55:00Z</dcterms:created>
  <dcterms:modified xsi:type="dcterms:W3CDTF">2026-06-19T07:34:00Z</dcterms:modified>
</cp:coreProperties>
</file>