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36A39F">
      <w:pPr>
        <w:spacing w:line="480" w:lineRule="auto"/>
        <w:jc w:val="center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SUPPLEMENTARY MATERIALS</w:t>
      </w:r>
    </w:p>
    <w:p w14:paraId="0E5451B6">
      <w:pPr>
        <w:spacing w:line="360" w:lineRule="auto"/>
        <w:ind w:left="-283" w:leftChars="-118" w:right="-197" w:rightChars="-82"/>
        <w:jc w:val="center"/>
        <w:rPr>
          <w:rFonts w:hint="default" w:ascii="Times New Roman" w:hAnsi="Times New Roman" w:cs="Times New Roman" w:eastAsiaTheme="minorEastAsia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NPC-EVs promote anti-inflammation and facilitate microglial phagocytosis via regulating lipid metabolism dependent on TREM2-centric pathway in stroke mice</w:t>
      </w:r>
    </w:p>
    <w:p w14:paraId="274F35EB">
      <w:pPr>
        <w:spacing w:line="360" w:lineRule="auto"/>
        <w:ind w:left="-283" w:leftChars="-118" w:right="-197" w:rightChars="-82"/>
        <w:jc w:val="center"/>
        <w:rPr>
          <w:rFonts w:hint="default" w:ascii="Times New Roman" w:hAnsi="Times New Roman" w:cs="Times New Roman" w:eastAsiaTheme="minorEastAsia"/>
          <w:b/>
          <w:sz w:val="24"/>
          <w:szCs w:val="24"/>
        </w:rPr>
      </w:pPr>
    </w:p>
    <w:p w14:paraId="7BBB5DFB">
      <w:pPr>
        <w:spacing w:line="360" w:lineRule="auto"/>
        <w:jc w:val="center"/>
        <w:rPr>
          <w:rFonts w:hint="default" w:ascii="Times New Roman" w:hAnsi="Times New Roman" w:cs="Times New Roman" w:eastAsiaTheme="minorEastAsia"/>
          <w:sz w:val="24"/>
          <w:szCs w:val="24"/>
          <w:vertAlign w:val="superscript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Lin Zhang</w:t>
      </w: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/>
        </w:rPr>
        <w:t>1#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, Wei Wei</w:t>
      </w: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/>
        </w:rPr>
        <w:t>2,3#</w:t>
      </w:r>
      <w:r>
        <w:rPr>
          <w:rFonts w:hint="default" w:ascii="Times New Roman" w:hAnsi="Times New Roman" w:eastAsia="等线" w:cs="Times New Roman"/>
          <w:sz w:val="24"/>
          <w:szCs w:val="24"/>
          <w:lang w:val="en-US" w:bidi="ar"/>
        </w:rPr>
        <w:t>, Wenqiang X</w:t>
      </w:r>
      <w:r>
        <w:rPr>
          <w:rFonts w:hint="default" w:ascii="Times New Roman" w:hAnsi="Times New Roman" w:eastAsia="等线" w:cs="Times New Roman"/>
          <w:sz w:val="24"/>
          <w:szCs w:val="24"/>
          <w:lang w:val="en-US" w:bidi="ar"/>
        </w:rPr>
        <w:t>in</w:t>
      </w: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/>
        </w:rPr>
        <w:t>2,3#</w:t>
      </w:r>
      <w:r>
        <w:rPr>
          <w:rFonts w:hint="default" w:ascii="Times New Roman" w:hAnsi="Times New Roman" w:eastAsia="等线" w:cs="Times New Roman"/>
          <w:sz w:val="24"/>
          <w:szCs w:val="24"/>
          <w:lang w:val="en-US" w:bidi="ar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Guoqiang Hou</w:t>
      </w: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, Xinhang Xu</w:t>
      </w: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, </w:t>
      </w:r>
      <w:bookmarkStart w:id="0" w:name="_Hlk211937723"/>
      <w:r>
        <w:rPr>
          <w:rFonts w:hint="default" w:ascii="Times New Roman" w:hAnsi="Times New Roman" w:cs="Times New Roman" w:eastAsiaTheme="minorEastAsia"/>
          <w:sz w:val="24"/>
          <w:szCs w:val="24"/>
          <w:lang w:val="en-US"/>
        </w:rPr>
        <w:t>Xiaolan Yang</w:t>
      </w: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/>
        </w:rPr>
        <w:t>1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/>
        </w:rPr>
        <w:t xml:space="preserve">, </w:t>
      </w:r>
      <w:bookmarkEnd w:id="0"/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>Yaohua Pan</w:t>
      </w: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/>
        </w:rPr>
        <w:t>1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*</w:t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Feng Jia</w:t>
      </w: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/>
        </w:rPr>
        <w:t>1,4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*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, and Xiaohua Zh</w:t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>ang</w:t>
      </w: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/>
        </w:rPr>
        <w:t>1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*</w:t>
      </w:r>
    </w:p>
    <w:p w14:paraId="37B96F5E">
      <w:pPr>
        <w:spacing w:line="360" w:lineRule="auto"/>
        <w:jc w:val="center"/>
        <w:rPr>
          <w:rFonts w:hint="default" w:ascii="Times New Roman" w:hAnsi="Times New Roman" w:cs="Times New Roman" w:eastAsiaTheme="minorEastAsia"/>
          <w:b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 w14:paraId="5A016714">
      <w:pPr>
        <w:spacing w:line="360" w:lineRule="auto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Department of Neurosurgery, Ren Ji Hospital, Shanghai Jiao Tong University School of Medicine, Shangha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/>
        </w:rPr>
        <w:t>i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, China</w:t>
      </w:r>
    </w:p>
    <w:p w14:paraId="02DC4755">
      <w:pPr>
        <w:spacing w:line="360" w:lineRule="auto"/>
        <w:jc w:val="both"/>
        <w:rPr>
          <w:rFonts w:hint="default" w:ascii="Times New Roman" w:hAnsi="Times New Roman" w:cs="Times New Roman"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Department of Neurosurgery</w:t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>, The First Affiliated Hospital, Jiangxi Medical College, Nanchang University, Nanchang, Jiangxi, China</w:t>
      </w:r>
    </w:p>
    <w:p w14:paraId="57A92BEB">
      <w:pPr>
        <w:spacing w:line="360" w:lineRule="auto"/>
        <w:jc w:val="both"/>
        <w:rPr>
          <w:rFonts w:hint="default" w:ascii="Times New Roman" w:hAnsi="Times New Roman" w:cs="Times New Roman" w:eastAsiaTheme="minorEastAsia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/>
        </w:rPr>
        <w:t xml:space="preserve">3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Jiangxi Key Laboratory of Neurological Diseases, The First Affiliated Hospital, Jiangxi Medical College, Nanchang University, Nanchang, Jiangxi, China</w:t>
      </w:r>
    </w:p>
    <w:p w14:paraId="1006BE61">
      <w:pPr>
        <w:spacing w:line="360" w:lineRule="auto"/>
        <w:jc w:val="both"/>
        <w:rPr>
          <w:rFonts w:hint="default" w:ascii="Times New Roman" w:hAnsi="Times New Roman" w:cs="Times New Roman" w:eastAsiaTheme="minorEastAsia"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Cs/>
          <w:sz w:val="24"/>
          <w:szCs w:val="24"/>
          <w:vertAlign w:val="superscript"/>
          <w:lang w:val="en-US"/>
        </w:rPr>
        <w:t>4</w:t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 xml:space="preserve"> Department of Neurosurgery, Nantong First People’s Hospital, Affiliated Hospital 2 of Nantong University, Nantong, Jiangsu, China</w:t>
      </w:r>
    </w:p>
    <w:p w14:paraId="6DC237D9">
      <w:pPr>
        <w:spacing w:line="360" w:lineRule="auto"/>
        <w:jc w:val="both"/>
        <w:rPr>
          <w:rFonts w:hint="default" w:ascii="Times New Roman" w:hAnsi="Times New Roman" w:cs="Times New Roman"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Cs/>
          <w:sz w:val="24"/>
          <w:szCs w:val="24"/>
          <w:vertAlign w:val="superscript"/>
          <w:lang w:val="en-US"/>
        </w:rPr>
        <w:t xml:space="preserve"># </w:t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>These authors contributed equally to this work.</w:t>
      </w:r>
    </w:p>
    <w:p w14:paraId="4EE56AE7">
      <w:pPr>
        <w:spacing w:line="360" w:lineRule="auto"/>
        <w:jc w:val="both"/>
        <w:rPr>
          <w:rFonts w:hint="default" w:ascii="Times New Roman" w:hAnsi="Times New Roman" w:cs="Times New Roman" w:eastAsiaTheme="minorEastAsia"/>
          <w:b/>
          <w:sz w:val="24"/>
          <w:szCs w:val="24"/>
          <w:lang w:val="en-US"/>
        </w:rPr>
      </w:pPr>
    </w:p>
    <w:p w14:paraId="52430F7C">
      <w:pPr>
        <w:spacing w:line="360" w:lineRule="auto"/>
        <w:jc w:val="both"/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*Correspondence: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ab/>
      </w:r>
    </w:p>
    <w:p w14:paraId="71B5F3A4">
      <w:pPr>
        <w:spacing w:line="360" w:lineRule="auto"/>
        <w:jc w:val="both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Yaohua Pan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, MD.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Department of Neurosurgery, Ren Ji Hospital, Shanghai Jiao Tong University School of Medicine, No.1630 Dongfang Road, 200127 Shanghai, China, Phone: +86-021-683837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/>
        </w:rPr>
        <w:t>10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, E-mail: </w:t>
      </w:r>
      <w:r>
        <w:rPr>
          <w:rFonts w:hint="default" w:ascii="Times New Roman" w:hAnsi="Times New Roman" w:cs="Times New Roman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sz w:val="24"/>
          <w:szCs w:val="24"/>
        </w:rPr>
        <w:instrText xml:space="preserve"> HYPERLINK "mailto:1542612058@qq.com" </w:instrText>
      </w:r>
      <w:r>
        <w:rPr>
          <w:rFonts w:hint="default" w:ascii="Times New Roman" w:hAnsi="Times New Roman" w:cs="Times New Roman"/>
          <w:sz w:val="24"/>
          <w:szCs w:val="24"/>
        </w:rPr>
        <w:fldChar w:fldCharType="separate"/>
      </w:r>
      <w:r>
        <w:rPr>
          <w:rStyle w:val="9"/>
          <w:rFonts w:hint="default" w:ascii="Times New Roman" w:hAnsi="Times New Roman" w:cs="Times New Roman"/>
          <w:sz w:val="24"/>
          <w:szCs w:val="24"/>
          <w:lang w:val="en-US"/>
        </w:rPr>
        <w:t>1542612058@qq.com</w:t>
      </w:r>
      <w:r>
        <w:rPr>
          <w:rStyle w:val="9"/>
          <w:rFonts w:hint="default" w:ascii="Times New Roman" w:hAnsi="Times New Roman" w:cs="Times New Roman"/>
          <w:sz w:val="24"/>
          <w:szCs w:val="24"/>
          <w:lang w:val="en-US"/>
        </w:rPr>
        <w:fldChar w:fldCharType="end"/>
      </w:r>
    </w:p>
    <w:p w14:paraId="6C50D47C">
      <w:pPr>
        <w:spacing w:line="360" w:lineRule="auto"/>
        <w:jc w:val="both"/>
        <w:rPr>
          <w:rFonts w:hint="default" w:ascii="Times New Roman" w:hAnsi="Times New Roman" w:cs="Times New Roman" w:eastAsiaTheme="minorEastAsia"/>
          <w:b/>
          <w:sz w:val="24"/>
          <w:szCs w:val="24"/>
          <w:lang w:val="en-US"/>
        </w:rPr>
      </w:pPr>
      <w:r>
        <w:rPr>
          <w:rFonts w:hint="default" w:ascii="Times New Roman" w:hAnsi="Times New Roman" w:cs="Times New Roman" w:eastAsiaTheme="minorEastAsia"/>
          <w:b/>
          <w:sz w:val="24"/>
          <w:szCs w:val="24"/>
          <w:lang w:val="en-US"/>
        </w:rPr>
        <w:t>Feng Jia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/>
        </w:rPr>
        <w:t>, Ph.D.,</w:t>
      </w:r>
      <w:r>
        <w:rPr>
          <w:rFonts w:hint="default" w:ascii="Times New Roman" w:hAnsi="Times New Roman" w:cs="Times New Roman" w:eastAsiaTheme="minorEastAsia"/>
          <w:b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Department of Neurosurgery, Ren Ji Hospital, Shanghai Jiao Tong University School of Medicine, No.1630 Dongfang Road, 200127 Shanghai, China, Phone: +86-021-68383710, E-mail: </w:t>
      </w:r>
      <w:r>
        <w:rPr>
          <w:rFonts w:hint="default" w:ascii="Times New Roman" w:hAnsi="Times New Roman" w:cs="Times New Roman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sz w:val="24"/>
          <w:szCs w:val="24"/>
        </w:rPr>
        <w:instrText xml:space="preserve"> HYPERLINK "mailto:projiafeng@163.com" </w:instrText>
      </w:r>
      <w:r>
        <w:rPr>
          <w:rFonts w:hint="default" w:ascii="Times New Roman" w:hAnsi="Times New Roman" w:cs="Times New Roman"/>
          <w:sz w:val="24"/>
          <w:szCs w:val="24"/>
        </w:rPr>
        <w:fldChar w:fldCharType="separate"/>
      </w:r>
      <w:r>
        <w:rPr>
          <w:rStyle w:val="9"/>
          <w:rFonts w:hint="default" w:ascii="Times New Roman" w:hAnsi="Times New Roman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projiafeng@163.com</w:t>
      </w:r>
      <w:r>
        <w:rPr>
          <w:rStyle w:val="9"/>
          <w:rFonts w:hint="default" w:ascii="Times New Roman" w:hAnsi="Times New Roman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 </w:t>
      </w:r>
    </w:p>
    <w:p w14:paraId="73F48743">
      <w:pPr>
        <w:spacing w:line="360" w:lineRule="auto"/>
        <w:jc w:val="both"/>
        <w:rPr>
          <w:rStyle w:val="9"/>
          <w:rFonts w:hint="default" w:ascii="Times New Roman" w:hAnsi="Times New Roman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Xiaohua Zhang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, MD.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Department of Neurosurgery, Ren Ji Hospital, Shanghai Jiao Tong University School of Medicine, No.1630 Dongfang Road, 200127 Shanghai, China, Phone: +86-021-683837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/>
        </w:rPr>
        <w:t>10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, E-mail: </w:t>
      </w:r>
      <w:r>
        <w:rPr>
          <w:rFonts w:hint="default" w:ascii="Times New Roman" w:hAnsi="Times New Roman" w:cs="Times New Roman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sz w:val="24"/>
          <w:szCs w:val="24"/>
        </w:rPr>
        <w:instrText xml:space="preserve"> HYPERLINK "mailto:zxh1969@aliyun.com" </w:instrText>
      </w:r>
      <w:r>
        <w:rPr>
          <w:rFonts w:hint="default" w:ascii="Times New Roman" w:hAnsi="Times New Roman" w:cs="Times New Roman"/>
          <w:sz w:val="24"/>
          <w:szCs w:val="24"/>
        </w:rPr>
        <w:fldChar w:fldCharType="separate"/>
      </w:r>
      <w:r>
        <w:rPr>
          <w:rStyle w:val="9"/>
          <w:rFonts w:hint="default" w:ascii="Times New Roman" w:hAnsi="Times New Roman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zxh1969@aliyun.com</w:t>
      </w:r>
      <w:r>
        <w:rPr>
          <w:rStyle w:val="9"/>
          <w:rFonts w:hint="default" w:ascii="Times New Roman" w:hAnsi="Times New Roman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fldChar w:fldCharType="end"/>
      </w:r>
    </w:p>
    <w:p w14:paraId="58FBE6AA">
      <w:pPr>
        <w:spacing w:line="480" w:lineRule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br w:type="page"/>
      </w:r>
    </w:p>
    <w:p w14:paraId="1AF505FD">
      <w:pPr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Supplementary Table 1</w:t>
      </w:r>
      <w:r>
        <w:rPr>
          <w:rFonts w:hint="default" w:ascii="Times New Roman" w:hAnsi="Times New Roman" w:cs="Times New Roman"/>
          <w:b/>
          <w:sz w:val="24"/>
          <w:szCs w:val="24"/>
          <w:lang w:val="de-DE"/>
        </w:rPr>
        <w:t>—</w:t>
      </w:r>
      <w:r>
        <w:rPr>
          <w:rFonts w:hint="default" w:ascii="Times New Roman" w:hAnsi="Times New Roman" w:cs="Times New Roman"/>
          <w:b/>
          <w:sz w:val="24"/>
          <w:szCs w:val="24"/>
        </w:rPr>
        <w:t>Major Resources</w:t>
      </w:r>
    </w:p>
    <w:p w14:paraId="3C8E7D5D">
      <w:pPr>
        <w:rPr>
          <w:rFonts w:hint="default" w:ascii="Times New Roman" w:hAnsi="Times New Roman" w:cs="Times New Roman"/>
          <w:b/>
          <w:sz w:val="24"/>
          <w:szCs w:val="24"/>
          <w:lang w:val="de-DE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4"/>
        <w:gridCol w:w="1862"/>
        <w:gridCol w:w="1750"/>
        <w:gridCol w:w="2106"/>
      </w:tblGrid>
      <w:tr w14:paraId="5E6DA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</w:tcPr>
          <w:p w14:paraId="44F37534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REAGENT/RESOURCE</w:t>
            </w:r>
          </w:p>
        </w:tc>
        <w:tc>
          <w:tcPr>
            <w:tcW w:w="1929" w:type="dxa"/>
          </w:tcPr>
          <w:p w14:paraId="4AE431DE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SOURCE</w:t>
            </w:r>
          </w:p>
        </w:tc>
        <w:tc>
          <w:tcPr>
            <w:tcW w:w="1608" w:type="dxa"/>
          </w:tcPr>
          <w:p w14:paraId="2F59F3A8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IDENTIFIER</w:t>
            </w:r>
          </w:p>
        </w:tc>
        <w:tc>
          <w:tcPr>
            <w:tcW w:w="2159" w:type="dxa"/>
          </w:tcPr>
          <w:p w14:paraId="28E53DFD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APPLICATION</w:t>
            </w:r>
          </w:p>
          <w:p w14:paraId="7D87D119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0E2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</w:tcPr>
          <w:p w14:paraId="2F188E0C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Ⅰ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 Antibodies</w:t>
            </w:r>
          </w:p>
        </w:tc>
      </w:tr>
      <w:tr w14:paraId="2C0BE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</w:tcPr>
          <w:p w14:paraId="307FAC1C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CD68</w:t>
            </w:r>
          </w:p>
        </w:tc>
        <w:tc>
          <w:tcPr>
            <w:tcW w:w="1929" w:type="dxa"/>
          </w:tcPr>
          <w:p w14:paraId="2CFA767B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BioRad</w:t>
            </w:r>
          </w:p>
        </w:tc>
        <w:tc>
          <w:tcPr>
            <w:tcW w:w="1608" w:type="dxa"/>
          </w:tcPr>
          <w:p w14:paraId="1FA00B07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MCA341F</w:t>
            </w:r>
          </w:p>
        </w:tc>
        <w:tc>
          <w:tcPr>
            <w:tcW w:w="2159" w:type="dxa"/>
          </w:tcPr>
          <w:p w14:paraId="59D3C3D0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 µg/ml (for IF)</w:t>
            </w:r>
          </w:p>
        </w:tc>
      </w:tr>
      <w:tr w14:paraId="7C362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</w:tcPr>
          <w:p w14:paraId="24FDD22E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Iba1</w:t>
            </w:r>
          </w:p>
        </w:tc>
        <w:tc>
          <w:tcPr>
            <w:tcW w:w="1929" w:type="dxa"/>
          </w:tcPr>
          <w:p w14:paraId="3875027B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WAKO</w:t>
            </w:r>
          </w:p>
        </w:tc>
        <w:tc>
          <w:tcPr>
            <w:tcW w:w="1608" w:type="dxa"/>
          </w:tcPr>
          <w:p w14:paraId="7BED055E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011-27911</w:t>
            </w:r>
          </w:p>
        </w:tc>
        <w:tc>
          <w:tcPr>
            <w:tcW w:w="2159" w:type="dxa"/>
          </w:tcPr>
          <w:p w14:paraId="4EF3DB70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 µg/ml (for IF)</w:t>
            </w:r>
          </w:p>
        </w:tc>
      </w:tr>
      <w:tr w14:paraId="42F89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</w:tcPr>
          <w:p w14:paraId="4F62D0E8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NeuN</w:t>
            </w:r>
          </w:p>
        </w:tc>
        <w:tc>
          <w:tcPr>
            <w:tcW w:w="1929" w:type="dxa"/>
          </w:tcPr>
          <w:p w14:paraId="1CF52D39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Abcam</w:t>
            </w:r>
          </w:p>
        </w:tc>
        <w:tc>
          <w:tcPr>
            <w:tcW w:w="1608" w:type="dxa"/>
          </w:tcPr>
          <w:p w14:paraId="04D4AE7D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ab104225</w:t>
            </w:r>
          </w:p>
        </w:tc>
        <w:tc>
          <w:tcPr>
            <w:tcW w:w="2159" w:type="dxa"/>
          </w:tcPr>
          <w:p w14:paraId="6E36AF86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 µg/ml (for IF)</w:t>
            </w:r>
          </w:p>
        </w:tc>
      </w:tr>
      <w:tr w14:paraId="289FF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</w:tcPr>
          <w:p w14:paraId="2AA75780">
            <w:pPr>
              <w:rPr>
                <w:rFonts w:hint="default" w:ascii="Times New Roman" w:hAnsi="Times New Roman" w:cs="Times New Roman" w:eastAsiaTheme="minorEastAsia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Tuj-1</w:t>
            </w:r>
          </w:p>
        </w:tc>
        <w:tc>
          <w:tcPr>
            <w:tcW w:w="1929" w:type="dxa"/>
          </w:tcPr>
          <w:p w14:paraId="70D49C4B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Abcam</w:t>
            </w:r>
          </w:p>
        </w:tc>
        <w:tc>
          <w:tcPr>
            <w:tcW w:w="1608" w:type="dxa"/>
          </w:tcPr>
          <w:p w14:paraId="277CDE70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ab18207</w:t>
            </w:r>
          </w:p>
        </w:tc>
        <w:tc>
          <w:tcPr>
            <w:tcW w:w="2159" w:type="dxa"/>
          </w:tcPr>
          <w:p w14:paraId="7C6E2575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 µg/ml (for IF)</w:t>
            </w:r>
          </w:p>
        </w:tc>
      </w:tr>
      <w:tr w14:paraId="650BA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</w:tcPr>
          <w:p w14:paraId="4C84FC6A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CD206</w:t>
            </w:r>
          </w:p>
        </w:tc>
        <w:tc>
          <w:tcPr>
            <w:tcW w:w="1929" w:type="dxa"/>
          </w:tcPr>
          <w:p w14:paraId="24D4468D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Abcam</w:t>
            </w:r>
          </w:p>
        </w:tc>
        <w:tc>
          <w:tcPr>
            <w:tcW w:w="1608" w:type="dxa"/>
          </w:tcPr>
          <w:p w14:paraId="7EA3531B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ab64693</w:t>
            </w:r>
          </w:p>
        </w:tc>
        <w:tc>
          <w:tcPr>
            <w:tcW w:w="2159" w:type="dxa"/>
          </w:tcPr>
          <w:p w14:paraId="5AB82260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 µg/ml (for IF)</w:t>
            </w:r>
          </w:p>
        </w:tc>
      </w:tr>
      <w:tr w14:paraId="46F1F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</w:tcPr>
          <w:p w14:paraId="49E109B8">
            <w:pPr>
              <w:rPr>
                <w:rFonts w:hint="default" w:ascii="Times New Roman" w:hAnsi="Times New Roman" w:cs="Times New Roman" w:eastAsiaTheme="minorEastAsia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Nile Red</w:t>
            </w:r>
          </w:p>
        </w:tc>
        <w:tc>
          <w:tcPr>
            <w:tcW w:w="1929" w:type="dxa"/>
          </w:tcPr>
          <w:p w14:paraId="593EB20E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Thermo Fisher Scientific</w:t>
            </w:r>
          </w:p>
        </w:tc>
        <w:tc>
          <w:tcPr>
            <w:tcW w:w="1608" w:type="dxa"/>
          </w:tcPr>
          <w:p w14:paraId="5541B799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N1142</w:t>
            </w:r>
          </w:p>
        </w:tc>
        <w:tc>
          <w:tcPr>
            <w:tcW w:w="2159" w:type="dxa"/>
          </w:tcPr>
          <w:p w14:paraId="552D53BB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0.1 μg/m</w:t>
            </w:r>
            <w:r>
              <w:rPr>
                <w:rFonts w:hint="default" w:ascii="Times New Roman" w:hAnsi="Times New Roman" w:cs="Times New Roman" w:eastAsiaTheme="minorEastAsia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(for analysis of phagocytosis)</w:t>
            </w:r>
          </w:p>
        </w:tc>
      </w:tr>
      <w:tr w14:paraId="4D0FA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</w:tcPr>
          <w:p w14:paraId="166936D7">
            <w:pPr>
              <w:rPr>
                <w:rFonts w:hint="default" w:ascii="Times New Roman" w:hAnsi="Times New Roman" w:cs="Times New Roman" w:eastAsiaTheme="minorEastAsia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LRP1</w:t>
            </w:r>
          </w:p>
        </w:tc>
        <w:tc>
          <w:tcPr>
            <w:tcW w:w="1929" w:type="dxa"/>
          </w:tcPr>
          <w:p w14:paraId="5D698875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Cell Signaling Technology</w:t>
            </w:r>
          </w:p>
        </w:tc>
        <w:tc>
          <w:tcPr>
            <w:tcW w:w="1608" w:type="dxa"/>
          </w:tcPr>
          <w:p w14:paraId="34A4CCBE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#64099</w:t>
            </w:r>
          </w:p>
        </w:tc>
        <w:tc>
          <w:tcPr>
            <w:tcW w:w="2159" w:type="dxa"/>
          </w:tcPr>
          <w:p w14:paraId="314F5F81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0.5 µg/ml (for WB)</w:t>
            </w:r>
          </w:p>
        </w:tc>
      </w:tr>
      <w:tr w14:paraId="28EF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</w:tcPr>
          <w:p w14:paraId="3F0C08F2">
            <w:pPr>
              <w:rPr>
                <w:rFonts w:hint="default" w:ascii="Times New Roman" w:hAnsi="Times New Roman" w:cs="Times New Roman" w:eastAsiaTheme="minorEastAsia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MerTK</w:t>
            </w:r>
          </w:p>
        </w:tc>
        <w:tc>
          <w:tcPr>
            <w:tcW w:w="1929" w:type="dxa"/>
          </w:tcPr>
          <w:p w14:paraId="4BBFF485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Abcam</w:t>
            </w:r>
          </w:p>
        </w:tc>
        <w:tc>
          <w:tcPr>
            <w:tcW w:w="1608" w:type="dxa"/>
          </w:tcPr>
          <w:p w14:paraId="1E146C88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ab300136</w:t>
            </w:r>
          </w:p>
        </w:tc>
        <w:tc>
          <w:tcPr>
            <w:tcW w:w="2159" w:type="dxa"/>
          </w:tcPr>
          <w:p w14:paraId="10946B8F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0.5 µg/ml (for WB)</w:t>
            </w:r>
          </w:p>
        </w:tc>
      </w:tr>
      <w:tr w14:paraId="62F01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</w:tcPr>
          <w:p w14:paraId="138617D5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CX3CR1</w:t>
            </w:r>
          </w:p>
        </w:tc>
        <w:tc>
          <w:tcPr>
            <w:tcW w:w="1929" w:type="dxa"/>
          </w:tcPr>
          <w:p w14:paraId="1A4D0F5D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Thermo Fisher Scientific</w:t>
            </w:r>
          </w:p>
        </w:tc>
        <w:tc>
          <w:tcPr>
            <w:tcW w:w="1608" w:type="dxa"/>
          </w:tcPr>
          <w:p w14:paraId="1953131E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PA5-19910</w:t>
            </w:r>
          </w:p>
        </w:tc>
        <w:tc>
          <w:tcPr>
            <w:tcW w:w="2159" w:type="dxa"/>
          </w:tcPr>
          <w:p w14:paraId="23111F72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 µg/ml (for WB)</w:t>
            </w:r>
          </w:p>
        </w:tc>
      </w:tr>
      <w:tr w14:paraId="6EE1A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</w:tcPr>
          <w:p w14:paraId="1CFC0CA4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β-actin</w:t>
            </w:r>
          </w:p>
        </w:tc>
        <w:tc>
          <w:tcPr>
            <w:tcW w:w="1929" w:type="dxa"/>
          </w:tcPr>
          <w:p w14:paraId="0C7D9E1D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Abcam</w:t>
            </w:r>
          </w:p>
        </w:tc>
        <w:tc>
          <w:tcPr>
            <w:tcW w:w="1608" w:type="dxa"/>
          </w:tcPr>
          <w:p w14:paraId="4A276A4B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ab6276</w:t>
            </w:r>
          </w:p>
        </w:tc>
        <w:tc>
          <w:tcPr>
            <w:tcW w:w="2159" w:type="dxa"/>
          </w:tcPr>
          <w:p w14:paraId="65259C15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0.2 µg/ml (for WB)</w:t>
            </w:r>
          </w:p>
        </w:tc>
      </w:tr>
      <w:tr w14:paraId="46A90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</w:tcPr>
          <w:p w14:paraId="0B4EA489">
            <w:pPr>
              <w:rPr>
                <w:rFonts w:hint="default" w:ascii="Times New Roman" w:hAnsi="Times New Roman" w:cs="Times New Roman" w:eastAsiaTheme="minorEastAsia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Caspase-3</w:t>
            </w:r>
          </w:p>
        </w:tc>
        <w:tc>
          <w:tcPr>
            <w:tcW w:w="1929" w:type="dxa"/>
          </w:tcPr>
          <w:p w14:paraId="630AD9A9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Thermo Fisher Scientific</w:t>
            </w:r>
          </w:p>
        </w:tc>
        <w:tc>
          <w:tcPr>
            <w:tcW w:w="1608" w:type="dxa"/>
          </w:tcPr>
          <w:p w14:paraId="324D0395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700182</w:t>
            </w:r>
          </w:p>
        </w:tc>
        <w:tc>
          <w:tcPr>
            <w:tcW w:w="2159" w:type="dxa"/>
          </w:tcPr>
          <w:p w14:paraId="4F8F4724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 µg/ml (for IF)</w:t>
            </w:r>
          </w:p>
        </w:tc>
      </w:tr>
      <w:tr w14:paraId="4929D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</w:tcPr>
          <w:p w14:paraId="4EE29202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Bcl-2</w:t>
            </w:r>
          </w:p>
        </w:tc>
        <w:tc>
          <w:tcPr>
            <w:tcW w:w="1929" w:type="dxa"/>
          </w:tcPr>
          <w:p w14:paraId="6508494A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Cell Signaling Technology</w:t>
            </w:r>
          </w:p>
        </w:tc>
        <w:tc>
          <w:tcPr>
            <w:tcW w:w="1608" w:type="dxa"/>
          </w:tcPr>
          <w:p w14:paraId="09F091AC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#3498</w:t>
            </w:r>
          </w:p>
        </w:tc>
        <w:tc>
          <w:tcPr>
            <w:tcW w:w="2159" w:type="dxa"/>
          </w:tcPr>
          <w:p w14:paraId="6D113BA3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0.5 µg/ml (for WB)</w:t>
            </w:r>
          </w:p>
        </w:tc>
      </w:tr>
      <w:tr w14:paraId="47968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</w:tcPr>
          <w:p w14:paraId="6583EBFE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Bax</w:t>
            </w:r>
          </w:p>
        </w:tc>
        <w:tc>
          <w:tcPr>
            <w:tcW w:w="1929" w:type="dxa"/>
          </w:tcPr>
          <w:p w14:paraId="1101661D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Abcam</w:t>
            </w:r>
          </w:p>
        </w:tc>
        <w:tc>
          <w:tcPr>
            <w:tcW w:w="1608" w:type="dxa"/>
          </w:tcPr>
          <w:p w14:paraId="7DB71D28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ab7977</w:t>
            </w:r>
          </w:p>
        </w:tc>
        <w:tc>
          <w:tcPr>
            <w:tcW w:w="2159" w:type="dxa"/>
          </w:tcPr>
          <w:p w14:paraId="74E67154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0.5 µg/ml (for WB)</w:t>
            </w:r>
          </w:p>
        </w:tc>
      </w:tr>
      <w:tr w14:paraId="4071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</w:tcPr>
          <w:p w14:paraId="5FDFDFF8">
            <w:pPr>
              <w:rPr>
                <w:rFonts w:hint="default" w:ascii="Times New Roman" w:hAnsi="Times New Roman" w:cs="Times New Roman" w:eastAsiaTheme="minorEastAsia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Caspase-3</w:t>
            </w:r>
          </w:p>
        </w:tc>
        <w:tc>
          <w:tcPr>
            <w:tcW w:w="1929" w:type="dxa"/>
          </w:tcPr>
          <w:p w14:paraId="2AA01938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Cell Signaling Technology</w:t>
            </w:r>
          </w:p>
        </w:tc>
        <w:tc>
          <w:tcPr>
            <w:tcW w:w="1608" w:type="dxa"/>
          </w:tcPr>
          <w:p w14:paraId="5AF430F0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#9662</w:t>
            </w:r>
          </w:p>
        </w:tc>
        <w:tc>
          <w:tcPr>
            <w:tcW w:w="2159" w:type="dxa"/>
          </w:tcPr>
          <w:p w14:paraId="65065ED9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0.5 µg/ml (for WB)</w:t>
            </w:r>
          </w:p>
        </w:tc>
      </w:tr>
      <w:tr w14:paraId="7D5D3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</w:tcPr>
          <w:p w14:paraId="6083759D">
            <w:pPr>
              <w:rPr>
                <w:rFonts w:hint="default" w:ascii="Times New Roman" w:hAnsi="Times New Roman" w:cs="Times New Roman" w:eastAsiaTheme="minorEastAsia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cleaved Caspase-3</w:t>
            </w:r>
          </w:p>
        </w:tc>
        <w:tc>
          <w:tcPr>
            <w:tcW w:w="1929" w:type="dxa"/>
          </w:tcPr>
          <w:p w14:paraId="2E43EADE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Cell Signaling Technology</w:t>
            </w:r>
          </w:p>
        </w:tc>
        <w:tc>
          <w:tcPr>
            <w:tcW w:w="1608" w:type="dxa"/>
          </w:tcPr>
          <w:p w14:paraId="7E961086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#9661</w:t>
            </w:r>
          </w:p>
        </w:tc>
        <w:tc>
          <w:tcPr>
            <w:tcW w:w="2159" w:type="dxa"/>
          </w:tcPr>
          <w:p w14:paraId="5E04E8A0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0.5 µg/ml (for WB)</w:t>
            </w:r>
          </w:p>
        </w:tc>
      </w:tr>
      <w:tr w14:paraId="41315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</w:tcPr>
          <w:p w14:paraId="6CA7D44A">
            <w:pPr>
              <w:rPr>
                <w:rFonts w:hint="default" w:ascii="Times New Roman" w:hAnsi="Times New Roman" w:cs="Times New Roman" w:eastAsiaTheme="minorEastAsia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TREM2</w:t>
            </w:r>
          </w:p>
        </w:tc>
        <w:tc>
          <w:tcPr>
            <w:tcW w:w="1929" w:type="dxa"/>
          </w:tcPr>
          <w:p w14:paraId="7D880354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Abcam</w:t>
            </w:r>
          </w:p>
        </w:tc>
        <w:tc>
          <w:tcPr>
            <w:tcW w:w="1608" w:type="dxa"/>
          </w:tcPr>
          <w:p w14:paraId="65F4B5CF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ab305103</w:t>
            </w:r>
          </w:p>
        </w:tc>
        <w:tc>
          <w:tcPr>
            <w:tcW w:w="2159" w:type="dxa"/>
          </w:tcPr>
          <w:p w14:paraId="77EFAF9F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0.5 µg/ml (for WB)</w:t>
            </w:r>
          </w:p>
        </w:tc>
      </w:tr>
      <w:tr w14:paraId="349E8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</w:tcPr>
          <w:p w14:paraId="10611ACC">
            <w:pPr>
              <w:rPr>
                <w:rFonts w:hint="default" w:ascii="Times New Roman" w:hAnsi="Times New Roman" w:cs="Times New Roman" w:eastAsiaTheme="minorEastAsia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ABCA1</w:t>
            </w:r>
          </w:p>
        </w:tc>
        <w:tc>
          <w:tcPr>
            <w:tcW w:w="1929" w:type="dxa"/>
          </w:tcPr>
          <w:p w14:paraId="784DB183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Abcam</w:t>
            </w:r>
          </w:p>
        </w:tc>
        <w:tc>
          <w:tcPr>
            <w:tcW w:w="1608" w:type="dxa"/>
          </w:tcPr>
          <w:p w14:paraId="579FF1A3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ab7360</w:t>
            </w:r>
          </w:p>
        </w:tc>
        <w:tc>
          <w:tcPr>
            <w:tcW w:w="2159" w:type="dxa"/>
          </w:tcPr>
          <w:p w14:paraId="2E05EE94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0.5 µg/ml (for WB)</w:t>
            </w:r>
          </w:p>
        </w:tc>
      </w:tr>
      <w:tr w14:paraId="2F13F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</w:tcPr>
          <w:p w14:paraId="7FDCF651">
            <w:pPr>
              <w:rPr>
                <w:rFonts w:hint="default" w:ascii="Times New Roman" w:hAnsi="Times New Roman" w:cs="Times New Roman" w:eastAsiaTheme="minorEastAsia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LXR </w:t>
            </w:r>
            <w:r>
              <w:rPr>
                <w:rFonts w:hint="default" w:ascii="Times New Roman" w:hAnsi="Times New Roman" w:eastAsia="等线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α</w:t>
            </w:r>
          </w:p>
        </w:tc>
        <w:tc>
          <w:tcPr>
            <w:tcW w:w="1929" w:type="dxa"/>
          </w:tcPr>
          <w:p w14:paraId="5AE2806E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Abcam</w:t>
            </w:r>
          </w:p>
        </w:tc>
        <w:tc>
          <w:tcPr>
            <w:tcW w:w="1608" w:type="dxa"/>
          </w:tcPr>
          <w:p w14:paraId="3E65D14E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ab41902</w:t>
            </w:r>
          </w:p>
        </w:tc>
        <w:tc>
          <w:tcPr>
            <w:tcW w:w="2159" w:type="dxa"/>
          </w:tcPr>
          <w:p w14:paraId="631B72E7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0.5 µg/ml (for WB)</w:t>
            </w:r>
          </w:p>
        </w:tc>
      </w:tr>
      <w:tr w14:paraId="0BF26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</w:tcPr>
          <w:p w14:paraId="2B5D494F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CD206</w:t>
            </w:r>
          </w:p>
        </w:tc>
        <w:tc>
          <w:tcPr>
            <w:tcW w:w="1929" w:type="dxa"/>
          </w:tcPr>
          <w:p w14:paraId="34D231CB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Abcam</w:t>
            </w:r>
          </w:p>
        </w:tc>
        <w:tc>
          <w:tcPr>
            <w:tcW w:w="1608" w:type="dxa"/>
          </w:tcPr>
          <w:p w14:paraId="7ECD0744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ab64693</w:t>
            </w:r>
          </w:p>
        </w:tc>
        <w:tc>
          <w:tcPr>
            <w:tcW w:w="2159" w:type="dxa"/>
          </w:tcPr>
          <w:p w14:paraId="1A9CC9B2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 µg/ml (for IF)</w:t>
            </w:r>
          </w:p>
        </w:tc>
      </w:tr>
      <w:tr w14:paraId="7C1CF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</w:tcPr>
          <w:p w14:paraId="05E6A38D">
            <w:pPr>
              <w:rPr>
                <w:rFonts w:hint="default" w:ascii="Times New Roman" w:hAnsi="Times New Roman" w:cs="Times New Roman"/>
                <w:b/>
                <w:color w:val="FF000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Ⅱ. Chemicals and Recombinant Proteins</w:t>
            </w:r>
          </w:p>
        </w:tc>
      </w:tr>
      <w:tr w14:paraId="61E78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</w:tcPr>
          <w:p w14:paraId="7EC18171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L-glutamine</w:t>
            </w:r>
          </w:p>
        </w:tc>
        <w:tc>
          <w:tcPr>
            <w:tcW w:w="1929" w:type="dxa"/>
          </w:tcPr>
          <w:p w14:paraId="608FC090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Thermo Fisher Scientific</w:t>
            </w:r>
          </w:p>
        </w:tc>
        <w:tc>
          <w:tcPr>
            <w:tcW w:w="1608" w:type="dxa"/>
          </w:tcPr>
          <w:p w14:paraId="05DB3F8A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25030024</w:t>
            </w:r>
          </w:p>
        </w:tc>
        <w:tc>
          <w:tcPr>
            <w:tcW w:w="2159" w:type="dxa"/>
          </w:tcPr>
          <w:p w14:paraId="472141D6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:lang w:val="de-D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:lang w:val="de-DE"/>
                <w14:textFill>
                  <w14:solidFill>
                    <w14:schemeClr w14:val="tx1"/>
                  </w14:solidFill>
                </w14:textFill>
              </w:rPr>
              <w:t xml:space="preserve">100 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μ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:lang w:val="de-DE"/>
                <w14:textFill>
                  <w14:solidFill>
                    <w14:schemeClr w14:val="tx1"/>
                  </w14:solidFill>
                </w14:textFill>
              </w:rPr>
              <w:t>l L-glutamine in 10 ml medium</w:t>
            </w:r>
          </w:p>
        </w:tc>
      </w:tr>
      <w:tr w14:paraId="78011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</w:tcPr>
          <w:p w14:paraId="5E9AB793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Trypsin-EDTA 0.25%</w:t>
            </w:r>
          </w:p>
        </w:tc>
        <w:tc>
          <w:tcPr>
            <w:tcW w:w="1929" w:type="dxa"/>
          </w:tcPr>
          <w:p w14:paraId="70815EC9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Thermo Fisher Scientific</w:t>
            </w:r>
          </w:p>
        </w:tc>
        <w:tc>
          <w:tcPr>
            <w:tcW w:w="1608" w:type="dxa"/>
          </w:tcPr>
          <w:p w14:paraId="2E1E43CD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25200-056</w:t>
            </w:r>
          </w:p>
        </w:tc>
        <w:tc>
          <w:tcPr>
            <w:tcW w:w="2159" w:type="dxa"/>
          </w:tcPr>
          <w:p w14:paraId="5A1BCFD6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undiluted</w:t>
            </w:r>
          </w:p>
        </w:tc>
      </w:tr>
      <w:tr w14:paraId="286AE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</w:tcPr>
          <w:p w14:paraId="5E2A29DC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Poly-D-lysine</w:t>
            </w:r>
          </w:p>
        </w:tc>
        <w:tc>
          <w:tcPr>
            <w:tcW w:w="1929" w:type="dxa"/>
          </w:tcPr>
          <w:p w14:paraId="1294C54D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Sigma-Aldrich</w:t>
            </w:r>
          </w:p>
        </w:tc>
        <w:tc>
          <w:tcPr>
            <w:tcW w:w="1608" w:type="dxa"/>
          </w:tcPr>
          <w:p w14:paraId="7061CF6B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P6407</w:t>
            </w:r>
          </w:p>
        </w:tc>
        <w:tc>
          <w:tcPr>
            <w:tcW w:w="2159" w:type="dxa"/>
          </w:tcPr>
          <w:p w14:paraId="735F41C4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:lang w:val="de-D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:lang w:val="de-DE"/>
                <w14:textFill>
                  <w14:solidFill>
                    <w14:schemeClr w14:val="tx1"/>
                  </w14:solidFill>
                </w14:textFill>
              </w:rPr>
              <w:t>5mg PDL in 50 ml H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:vertAlign w:val="subscript"/>
                <w:lang w:val="de-DE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:lang w:val="de-DE"/>
                <w14:textFill>
                  <w14:solidFill>
                    <w14:schemeClr w14:val="tx1"/>
                  </w14:solidFill>
                </w14:textFill>
              </w:rPr>
              <w:t>O (0.1 mg/mL)</w:t>
            </w:r>
          </w:p>
        </w:tc>
      </w:tr>
      <w:tr w14:paraId="03FE7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</w:tcPr>
          <w:p w14:paraId="290C0E6E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Poly-L-ornithine</w:t>
            </w:r>
          </w:p>
        </w:tc>
        <w:tc>
          <w:tcPr>
            <w:tcW w:w="1929" w:type="dxa"/>
          </w:tcPr>
          <w:p w14:paraId="4E925924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Sigma-Aldrich</w:t>
            </w:r>
          </w:p>
        </w:tc>
        <w:tc>
          <w:tcPr>
            <w:tcW w:w="1608" w:type="dxa"/>
          </w:tcPr>
          <w:p w14:paraId="5F72A958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P3655</w:t>
            </w:r>
          </w:p>
        </w:tc>
        <w:tc>
          <w:tcPr>
            <w:tcW w:w="2159" w:type="dxa"/>
          </w:tcPr>
          <w:p w14:paraId="4CD78B0E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5mg PLO in 50 ml H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:vertAlign w:val="subscript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O (0.1 mg/mL)</w:t>
            </w:r>
          </w:p>
        </w:tc>
      </w:tr>
      <w:tr w14:paraId="7DFF0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</w:tcPr>
          <w:p w14:paraId="54EC512E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Laminin</w:t>
            </w:r>
          </w:p>
        </w:tc>
        <w:tc>
          <w:tcPr>
            <w:tcW w:w="1929" w:type="dxa"/>
          </w:tcPr>
          <w:p w14:paraId="08F33A17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Sigma-Aldrich</w:t>
            </w:r>
          </w:p>
        </w:tc>
        <w:tc>
          <w:tcPr>
            <w:tcW w:w="1608" w:type="dxa"/>
          </w:tcPr>
          <w:p w14:paraId="760838CD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L2020</w:t>
            </w:r>
          </w:p>
        </w:tc>
        <w:tc>
          <w:tcPr>
            <w:tcW w:w="2159" w:type="dxa"/>
          </w:tcPr>
          <w:p w14:paraId="3478165F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:lang w:val="de-D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:lang w:val="de-DE"/>
                <w14:textFill>
                  <w14:solidFill>
                    <w14:schemeClr w14:val="tx1"/>
                  </w14:solidFill>
                </w14:textFill>
              </w:rPr>
              <w:t xml:space="preserve">2 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μ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:lang w:val="de-DE"/>
                <w14:textFill>
                  <w14:solidFill>
                    <w14:schemeClr w14:val="tx1"/>
                  </w14:solidFill>
                </w14:textFill>
              </w:rPr>
              <w:t>g/ml in PBS</w:t>
            </w:r>
          </w:p>
        </w:tc>
      </w:tr>
      <w:tr w14:paraId="3827E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</w:tcPr>
          <w:p w14:paraId="3B66AD44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Penicillin/streptomycin</w:t>
            </w:r>
          </w:p>
        </w:tc>
        <w:tc>
          <w:tcPr>
            <w:tcW w:w="1929" w:type="dxa"/>
          </w:tcPr>
          <w:p w14:paraId="6D11F06D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Thermo Fisher Scientific</w:t>
            </w:r>
          </w:p>
        </w:tc>
        <w:tc>
          <w:tcPr>
            <w:tcW w:w="1608" w:type="dxa"/>
          </w:tcPr>
          <w:p w14:paraId="644186EC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15140122</w:t>
            </w:r>
          </w:p>
        </w:tc>
        <w:tc>
          <w:tcPr>
            <w:tcW w:w="2159" w:type="dxa"/>
          </w:tcPr>
          <w:p w14:paraId="40E1F95B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500 μl pen/strep in 50 ml medium</w:t>
            </w:r>
          </w:p>
        </w:tc>
      </w:tr>
      <w:tr w14:paraId="632F0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</w:tcPr>
          <w:p w14:paraId="6DF9876D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B27</w:t>
            </w:r>
          </w:p>
        </w:tc>
        <w:tc>
          <w:tcPr>
            <w:tcW w:w="1929" w:type="dxa"/>
          </w:tcPr>
          <w:p w14:paraId="18CD4501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Thermo Fisher Scientific</w:t>
            </w:r>
          </w:p>
        </w:tc>
        <w:tc>
          <w:tcPr>
            <w:tcW w:w="1608" w:type="dxa"/>
          </w:tcPr>
          <w:p w14:paraId="15DCFA21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17504001</w:t>
            </w:r>
          </w:p>
        </w:tc>
        <w:tc>
          <w:tcPr>
            <w:tcW w:w="2159" w:type="dxa"/>
          </w:tcPr>
          <w:p w14:paraId="59747165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:lang w:val="de-D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:lang w:val="de-DE"/>
                <w14:textFill>
                  <w14:solidFill>
                    <w14:schemeClr w14:val="tx1"/>
                  </w14:solidFill>
                </w14:textFill>
              </w:rPr>
              <w:t>1ml B27 in 50 ml medium</w:t>
            </w:r>
          </w:p>
        </w:tc>
      </w:tr>
      <w:tr w14:paraId="3DBFB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</w:tcPr>
          <w:p w14:paraId="02783570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DAPI</w:t>
            </w:r>
          </w:p>
        </w:tc>
        <w:tc>
          <w:tcPr>
            <w:tcW w:w="1929" w:type="dxa"/>
          </w:tcPr>
          <w:p w14:paraId="58A6AEB3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AppliChem</w:t>
            </w:r>
          </w:p>
        </w:tc>
        <w:tc>
          <w:tcPr>
            <w:tcW w:w="1608" w:type="dxa"/>
          </w:tcPr>
          <w:p w14:paraId="0D88FEE5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A1001</w:t>
            </w:r>
          </w:p>
        </w:tc>
        <w:tc>
          <w:tcPr>
            <w:tcW w:w="2159" w:type="dxa"/>
          </w:tcPr>
          <w:p w14:paraId="5BA756F4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 µg/ml in PBS/TBS</w:t>
            </w:r>
          </w:p>
        </w:tc>
      </w:tr>
      <w:tr w14:paraId="464B7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</w:tcPr>
          <w:p w14:paraId="53B1093D">
            <w:pPr>
              <w:rPr>
                <w:rFonts w:hint="default" w:ascii="Times New Roman" w:hAnsi="Times New Roman" w:cs="Times New Roman" w:eastAsiaTheme="minorEastAsia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Cytotoxicity Detection Kit (LDH releasing assay)</w:t>
            </w:r>
          </w:p>
        </w:tc>
        <w:tc>
          <w:tcPr>
            <w:tcW w:w="1929" w:type="dxa"/>
          </w:tcPr>
          <w:p w14:paraId="49BC470C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Roche</w:t>
            </w:r>
            <w:r>
              <w:rPr>
                <w:rFonts w:hint="default" w:ascii="Times New Roman" w:hAnsi="Times New Roman" w:eastAsia="微软雅黑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Merck Group</w:t>
            </w:r>
          </w:p>
        </w:tc>
        <w:tc>
          <w:tcPr>
            <w:tcW w:w="1608" w:type="dxa"/>
          </w:tcPr>
          <w:p w14:paraId="56FE61B0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No.04744926001</w:t>
            </w:r>
          </w:p>
        </w:tc>
        <w:tc>
          <w:tcPr>
            <w:tcW w:w="2159" w:type="dxa"/>
          </w:tcPr>
          <w:p w14:paraId="77F67DF7">
            <w:pPr>
              <w:rPr>
                <w:rFonts w:hint="default" w:ascii="Times New Roman" w:hAnsi="Times New Roman" w:cs="Times New Roman" w:eastAsiaTheme="minorEastAsia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According to the manufacturer’s instruction</w:t>
            </w:r>
          </w:p>
        </w:tc>
      </w:tr>
      <w:tr w14:paraId="1A1D2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0" w:type="dxa"/>
          </w:tcPr>
          <w:p w14:paraId="67D931C6">
            <w:pPr>
              <w:rPr>
                <w:rFonts w:hint="default" w:ascii="Times New Roman" w:hAnsi="Times New Roman" w:cs="Times New Roman" w:eastAsiaTheme="minorEastAsia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In Situ Cell Death Detection Kit (TUNEL staining)</w:t>
            </w:r>
          </w:p>
        </w:tc>
        <w:tc>
          <w:tcPr>
            <w:tcW w:w="1929" w:type="dxa"/>
          </w:tcPr>
          <w:p w14:paraId="125762A8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Roche</w:t>
            </w:r>
            <w:r>
              <w:rPr>
                <w:rFonts w:hint="default" w:ascii="Times New Roman" w:hAnsi="Times New Roman" w:eastAsia="微软雅黑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Merck Group</w:t>
            </w:r>
          </w:p>
        </w:tc>
        <w:tc>
          <w:tcPr>
            <w:tcW w:w="1608" w:type="dxa"/>
          </w:tcPr>
          <w:p w14:paraId="3D7085D2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No.12156792910</w:t>
            </w:r>
          </w:p>
        </w:tc>
        <w:tc>
          <w:tcPr>
            <w:tcW w:w="2159" w:type="dxa"/>
          </w:tcPr>
          <w:p w14:paraId="20CAAB5F">
            <w:pP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Add total volume (50 μl) of Enzyme Solution to the remaining 450 μl Label Solution to obtain 500 μl TUNEL reaction mixture.</w:t>
            </w:r>
          </w:p>
        </w:tc>
      </w:tr>
    </w:tbl>
    <w:p w14:paraId="7FFF4233">
      <w:pPr>
        <w:rPr>
          <w:rFonts w:hint="default" w:ascii="Times New Roman" w:hAnsi="Times New Roman" w:cs="Times New Roman"/>
          <w:b/>
          <w:sz w:val="24"/>
          <w:szCs w:val="24"/>
        </w:rPr>
      </w:pPr>
    </w:p>
    <w:p w14:paraId="7E9BAA31">
      <w:pPr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WB: Western blot</w:t>
      </w:r>
    </w:p>
    <w:p w14:paraId="73F93C25">
      <w:pPr>
        <w:rPr>
          <w:rFonts w:hint="default" w:ascii="Times New Roman" w:hAnsi="Times New Roman" w:cs="Times New Roman" w:eastAsiaTheme="minorEastAsia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IF: Immunofluorescence staining</w:t>
      </w:r>
    </w:p>
    <w:p w14:paraId="5FECD0DC">
      <w:pPr>
        <w:spacing w:line="480" w:lineRule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br w:type="page"/>
      </w:r>
      <w:r>
        <w:rPr>
          <w:rFonts w:hint="default" w:ascii="Times New Roman" w:hAnsi="Times New Roman" w:cs="Times New Roman"/>
          <w:b/>
          <w:sz w:val="24"/>
          <w:szCs w:val="24"/>
        </w:rPr>
        <w:t>Supplementary Table 2—Primer sequence</w:t>
      </w:r>
    </w:p>
    <w:p w14:paraId="400400D9">
      <w:pPr>
        <w:spacing w:line="480" w:lineRule="auto"/>
        <w:rPr>
          <w:rFonts w:hint="default" w:ascii="Times New Roman" w:hAnsi="Times New Roman" w:cs="Times New Roman"/>
          <w:b/>
          <w:sz w:val="24"/>
          <w:szCs w:val="24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3678"/>
        <w:gridCol w:w="3854"/>
      </w:tblGrid>
      <w:tr w14:paraId="16A55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3" w:type="dxa"/>
          </w:tcPr>
          <w:p w14:paraId="0042A08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</w:tcPr>
          <w:p w14:paraId="17155F85">
            <w:pPr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Forward (5′-3′)</w:t>
            </w:r>
          </w:p>
        </w:tc>
        <w:tc>
          <w:tcPr>
            <w:tcW w:w="3527" w:type="dxa"/>
          </w:tcPr>
          <w:p w14:paraId="29FE2A31">
            <w:pPr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Reverse (5′-3′)</w:t>
            </w:r>
          </w:p>
        </w:tc>
      </w:tr>
      <w:tr w14:paraId="57A2B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3" w:type="dxa"/>
            <w:vAlign w:val="center"/>
          </w:tcPr>
          <w:p w14:paraId="0543EB8E">
            <w:pPr>
              <w:rPr>
                <w:rFonts w:hint="default" w:ascii="Times New Roman" w:hAnsi="Times New Roman" w:eastAsia="MS PGothic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MS PGothic" w:cs="Times New Roman"/>
                <w:b/>
                <w:color w:val="000000"/>
                <w:sz w:val="24"/>
                <w:szCs w:val="24"/>
              </w:rPr>
              <w:t>IL-1β</w:t>
            </w:r>
          </w:p>
        </w:tc>
        <w:tc>
          <w:tcPr>
            <w:tcW w:w="3536" w:type="dxa"/>
            <w:vAlign w:val="bottom"/>
          </w:tcPr>
          <w:p w14:paraId="19B0489B">
            <w:pPr>
              <w:rPr>
                <w:rFonts w:hint="default" w:ascii="Times New Roman" w:hAnsi="Times New Roman" w:eastAsia="MS PGothic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GCAACTGTTCCTGAACTCAACT</w:t>
            </w:r>
          </w:p>
        </w:tc>
        <w:tc>
          <w:tcPr>
            <w:tcW w:w="3527" w:type="dxa"/>
            <w:vAlign w:val="bottom"/>
          </w:tcPr>
          <w:p w14:paraId="1ADE279F">
            <w:pPr>
              <w:rPr>
                <w:rFonts w:hint="default" w:ascii="Times New Roman" w:hAnsi="Times New Roman" w:eastAsia="MS PGothic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ATCTTTTGGGGTCCGTCCAACT</w:t>
            </w:r>
          </w:p>
        </w:tc>
      </w:tr>
      <w:tr w14:paraId="757FD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3" w:type="dxa"/>
            <w:vAlign w:val="center"/>
          </w:tcPr>
          <w:p w14:paraId="27EE1DA3">
            <w:pPr>
              <w:rPr>
                <w:rFonts w:hint="default" w:ascii="Times New Roman" w:hAnsi="Times New Roman" w:eastAsia="MS PGothic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MS PGothic" w:cs="Times New Roman"/>
                <w:b/>
                <w:color w:val="000000"/>
                <w:sz w:val="24"/>
                <w:szCs w:val="24"/>
              </w:rPr>
              <w:t>IL-10</w:t>
            </w:r>
          </w:p>
        </w:tc>
        <w:tc>
          <w:tcPr>
            <w:tcW w:w="3536" w:type="dxa"/>
            <w:vAlign w:val="bottom"/>
          </w:tcPr>
          <w:p w14:paraId="74F3C1AA">
            <w:pPr>
              <w:rPr>
                <w:rFonts w:hint="default" w:ascii="Times New Roman" w:hAnsi="Times New Roman" w:eastAsia="MS PGothic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AGAAAAGAGAGCTCCATCATGC</w:t>
            </w:r>
          </w:p>
        </w:tc>
        <w:tc>
          <w:tcPr>
            <w:tcW w:w="3527" w:type="dxa"/>
            <w:vAlign w:val="bottom"/>
          </w:tcPr>
          <w:p w14:paraId="46599397">
            <w:pPr>
              <w:rPr>
                <w:rFonts w:hint="default" w:ascii="Times New Roman" w:hAnsi="Times New Roman" w:eastAsia="MS PGothic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TTATTGTCTTCCCGGCTGTACT</w:t>
            </w:r>
          </w:p>
        </w:tc>
      </w:tr>
      <w:tr w14:paraId="0A321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3" w:type="dxa"/>
            <w:vAlign w:val="center"/>
          </w:tcPr>
          <w:p w14:paraId="43CED4AF">
            <w:pPr>
              <w:rPr>
                <w:rFonts w:hint="default" w:ascii="Times New Roman" w:hAnsi="Times New Roman" w:eastAsia="MS PGothic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MS PGothic" w:cs="Times New Roman"/>
                <w:b/>
                <w:color w:val="000000"/>
                <w:sz w:val="24"/>
                <w:szCs w:val="24"/>
              </w:rPr>
              <w:t>TNFα</w:t>
            </w:r>
          </w:p>
        </w:tc>
        <w:tc>
          <w:tcPr>
            <w:tcW w:w="3536" w:type="dxa"/>
            <w:vAlign w:val="bottom"/>
          </w:tcPr>
          <w:p w14:paraId="70C21935">
            <w:pPr>
              <w:rPr>
                <w:rFonts w:hint="default" w:ascii="Times New Roman" w:hAnsi="Times New Roman" w:eastAsia="MS PGothic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AAGCCTGTAGCCCACGTCGTA</w:t>
            </w:r>
          </w:p>
        </w:tc>
        <w:tc>
          <w:tcPr>
            <w:tcW w:w="3527" w:type="dxa"/>
            <w:vAlign w:val="bottom"/>
          </w:tcPr>
          <w:p w14:paraId="614E0C13">
            <w:pPr>
              <w:rPr>
                <w:rFonts w:hint="default" w:ascii="Times New Roman" w:hAnsi="Times New Roman" w:eastAsia="MS PGothic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GGCACCACTAGTTGGTTGTCTTTG</w:t>
            </w:r>
          </w:p>
        </w:tc>
      </w:tr>
      <w:tr w14:paraId="1B132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3" w:type="dxa"/>
            <w:vAlign w:val="center"/>
          </w:tcPr>
          <w:p w14:paraId="3FCDC547">
            <w:pPr>
              <w:rPr>
                <w:rFonts w:hint="default" w:ascii="Times New Roman" w:hAnsi="Times New Roman" w:eastAsia="MS PGothic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MS PGothic" w:cs="Times New Roman"/>
                <w:b/>
                <w:color w:val="000000"/>
                <w:sz w:val="24"/>
                <w:szCs w:val="24"/>
              </w:rPr>
              <w:t>TGF-β1</w:t>
            </w:r>
          </w:p>
        </w:tc>
        <w:tc>
          <w:tcPr>
            <w:tcW w:w="3536" w:type="dxa"/>
            <w:vAlign w:val="bottom"/>
          </w:tcPr>
          <w:p w14:paraId="541616E0">
            <w:pPr>
              <w:rPr>
                <w:rFonts w:hint="default" w:ascii="Times New Roman" w:hAnsi="Times New Roman" w:eastAsia="MS PGothic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CCTGTCCAAACTAAGGC</w:t>
            </w:r>
          </w:p>
        </w:tc>
        <w:tc>
          <w:tcPr>
            <w:tcW w:w="3527" w:type="dxa"/>
            <w:vAlign w:val="bottom"/>
          </w:tcPr>
          <w:p w14:paraId="6E78604C">
            <w:pPr>
              <w:rPr>
                <w:rFonts w:hint="default" w:ascii="Times New Roman" w:hAnsi="Times New Roman" w:eastAsia="MS PGothic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GGTTTTCTCATAGATGGCG</w:t>
            </w:r>
          </w:p>
        </w:tc>
      </w:tr>
      <w:tr w14:paraId="6CFA4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3" w:type="dxa"/>
            <w:vAlign w:val="center"/>
          </w:tcPr>
          <w:p w14:paraId="210C2D77">
            <w:pPr>
              <w:rPr>
                <w:rFonts w:hint="default" w:ascii="Times New Roman" w:hAnsi="Times New Roman" w:eastAsia="MS PGothic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MS PGothic" w:cs="Times New Roman"/>
                <w:b/>
                <w:color w:val="000000"/>
                <w:sz w:val="24"/>
                <w:szCs w:val="24"/>
              </w:rPr>
              <w:t>β-actin</w:t>
            </w:r>
          </w:p>
        </w:tc>
        <w:tc>
          <w:tcPr>
            <w:tcW w:w="3536" w:type="dxa"/>
            <w:vAlign w:val="bottom"/>
          </w:tcPr>
          <w:p w14:paraId="6B38ED18">
            <w:pPr>
              <w:rPr>
                <w:rFonts w:hint="default" w:ascii="Times New Roman" w:hAnsi="Times New Roman" w:eastAsia="MS PGothic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CGTGCGTGACATCAA AGAGA</w:t>
            </w:r>
          </w:p>
        </w:tc>
        <w:tc>
          <w:tcPr>
            <w:tcW w:w="3527" w:type="dxa"/>
            <w:vAlign w:val="bottom"/>
          </w:tcPr>
          <w:p w14:paraId="01EC9AC6">
            <w:pPr>
              <w:rPr>
                <w:rFonts w:hint="default" w:ascii="Times New Roman" w:hAnsi="Times New Roman" w:eastAsia="MS PGothic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CCC AAGAAGGAAGGCTGG A</w:t>
            </w:r>
          </w:p>
        </w:tc>
      </w:tr>
    </w:tbl>
    <w:p w14:paraId="1F375D4C">
      <w:pPr>
        <w:rPr>
          <w:rFonts w:hint="default" w:ascii="Times New Roman" w:hAnsi="Times New Roman" w:cs="Times New Roman"/>
          <w:sz w:val="24"/>
          <w:szCs w:val="24"/>
        </w:rPr>
      </w:pPr>
    </w:p>
    <w:p w14:paraId="44A10A0C">
      <w:pPr>
        <w:spacing w:line="480" w:lineRule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br w:type="page"/>
      </w:r>
    </w:p>
    <w:p w14:paraId="02838918">
      <w:pPr>
        <w:spacing w:line="480" w:lineRule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Supplementary Table 3—Score sheet for tightrope test</w:t>
      </w:r>
    </w:p>
    <w:p w14:paraId="3C45EAA2">
      <w:pPr>
        <w:spacing w:line="480" w:lineRule="auto"/>
        <w:rPr>
          <w:rFonts w:hint="default" w:ascii="Times New Roman" w:hAnsi="Times New Roman" w:cs="Times New Roman"/>
          <w:b/>
          <w:sz w:val="24"/>
          <w:szCs w:val="24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2127"/>
        <w:gridCol w:w="2693"/>
      </w:tblGrid>
      <w:tr w14:paraId="2B22B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3" w:type="dxa"/>
          </w:tcPr>
          <w:p w14:paraId="0B2F0762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Cs/>
                <w:sz w:val="24"/>
                <w:szCs w:val="24"/>
              </w:rPr>
              <w:t>Score</w:t>
            </w:r>
          </w:p>
        </w:tc>
        <w:tc>
          <w:tcPr>
            <w:tcW w:w="2127" w:type="dxa"/>
          </w:tcPr>
          <w:p w14:paraId="263AEDC8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Cs/>
                <w:sz w:val="24"/>
                <w:szCs w:val="24"/>
              </w:rPr>
              <w:t>Time (s)</w:t>
            </w:r>
          </w:p>
        </w:tc>
        <w:tc>
          <w:tcPr>
            <w:tcW w:w="2693" w:type="dxa"/>
          </w:tcPr>
          <w:p w14:paraId="3DC0DE73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Cs/>
                <w:sz w:val="24"/>
                <w:szCs w:val="24"/>
              </w:rPr>
              <w:t>Platform arrival</w:t>
            </w:r>
          </w:p>
        </w:tc>
      </w:tr>
      <w:tr w14:paraId="49281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3" w:type="dxa"/>
          </w:tcPr>
          <w:p w14:paraId="6D46CC65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20</w:t>
            </w:r>
          </w:p>
        </w:tc>
        <w:tc>
          <w:tcPr>
            <w:tcW w:w="2127" w:type="dxa"/>
          </w:tcPr>
          <w:p w14:paraId="501C3CF2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1-6</w:t>
            </w:r>
          </w:p>
        </w:tc>
        <w:tc>
          <w:tcPr>
            <w:tcW w:w="2693" w:type="dxa"/>
          </w:tcPr>
          <w:p w14:paraId="665AEC4C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+</w:t>
            </w:r>
          </w:p>
        </w:tc>
      </w:tr>
      <w:tr w14:paraId="62F2F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3" w:type="dxa"/>
          </w:tcPr>
          <w:p w14:paraId="2322A2B2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19</w:t>
            </w:r>
          </w:p>
        </w:tc>
        <w:tc>
          <w:tcPr>
            <w:tcW w:w="2127" w:type="dxa"/>
          </w:tcPr>
          <w:p w14:paraId="02C83B45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7-12</w:t>
            </w:r>
          </w:p>
        </w:tc>
        <w:tc>
          <w:tcPr>
            <w:tcW w:w="2693" w:type="dxa"/>
          </w:tcPr>
          <w:p w14:paraId="569666CF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+</w:t>
            </w:r>
          </w:p>
        </w:tc>
      </w:tr>
      <w:tr w14:paraId="300D6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3" w:type="dxa"/>
          </w:tcPr>
          <w:p w14:paraId="1EA7485A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18</w:t>
            </w:r>
          </w:p>
        </w:tc>
        <w:tc>
          <w:tcPr>
            <w:tcW w:w="2127" w:type="dxa"/>
          </w:tcPr>
          <w:p w14:paraId="128F58EC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13-18</w:t>
            </w:r>
          </w:p>
        </w:tc>
        <w:tc>
          <w:tcPr>
            <w:tcW w:w="2693" w:type="dxa"/>
          </w:tcPr>
          <w:p w14:paraId="2053205D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+</w:t>
            </w:r>
          </w:p>
        </w:tc>
      </w:tr>
      <w:tr w14:paraId="2121E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3" w:type="dxa"/>
          </w:tcPr>
          <w:p w14:paraId="0D1B767E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17</w:t>
            </w:r>
          </w:p>
        </w:tc>
        <w:tc>
          <w:tcPr>
            <w:tcW w:w="2127" w:type="dxa"/>
          </w:tcPr>
          <w:p w14:paraId="719D684F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19-24</w:t>
            </w:r>
          </w:p>
        </w:tc>
        <w:tc>
          <w:tcPr>
            <w:tcW w:w="2693" w:type="dxa"/>
          </w:tcPr>
          <w:p w14:paraId="3EB782CE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+</w:t>
            </w:r>
          </w:p>
        </w:tc>
      </w:tr>
      <w:tr w14:paraId="6041B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3" w:type="dxa"/>
          </w:tcPr>
          <w:p w14:paraId="2C84BE3F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16</w:t>
            </w:r>
          </w:p>
        </w:tc>
        <w:tc>
          <w:tcPr>
            <w:tcW w:w="2127" w:type="dxa"/>
          </w:tcPr>
          <w:p w14:paraId="7B835212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25-30</w:t>
            </w:r>
          </w:p>
        </w:tc>
        <w:tc>
          <w:tcPr>
            <w:tcW w:w="2693" w:type="dxa"/>
          </w:tcPr>
          <w:p w14:paraId="77F07EE9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+</w:t>
            </w:r>
          </w:p>
        </w:tc>
      </w:tr>
      <w:tr w14:paraId="40A0D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3" w:type="dxa"/>
          </w:tcPr>
          <w:p w14:paraId="537AC2F5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15</w:t>
            </w:r>
          </w:p>
        </w:tc>
        <w:tc>
          <w:tcPr>
            <w:tcW w:w="2127" w:type="dxa"/>
          </w:tcPr>
          <w:p w14:paraId="27961110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31-36</w:t>
            </w:r>
          </w:p>
        </w:tc>
        <w:tc>
          <w:tcPr>
            <w:tcW w:w="2693" w:type="dxa"/>
          </w:tcPr>
          <w:p w14:paraId="43196768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+</w:t>
            </w:r>
          </w:p>
        </w:tc>
      </w:tr>
      <w:tr w14:paraId="1C41A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3" w:type="dxa"/>
          </w:tcPr>
          <w:p w14:paraId="765A32A5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14</w:t>
            </w:r>
          </w:p>
        </w:tc>
        <w:tc>
          <w:tcPr>
            <w:tcW w:w="2127" w:type="dxa"/>
          </w:tcPr>
          <w:p w14:paraId="7D55E4AA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37-42</w:t>
            </w:r>
          </w:p>
        </w:tc>
        <w:tc>
          <w:tcPr>
            <w:tcW w:w="2693" w:type="dxa"/>
          </w:tcPr>
          <w:p w14:paraId="6332505B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+</w:t>
            </w:r>
          </w:p>
        </w:tc>
      </w:tr>
      <w:tr w14:paraId="2ACBF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3" w:type="dxa"/>
          </w:tcPr>
          <w:p w14:paraId="1D3C7D66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13</w:t>
            </w:r>
          </w:p>
        </w:tc>
        <w:tc>
          <w:tcPr>
            <w:tcW w:w="2127" w:type="dxa"/>
          </w:tcPr>
          <w:p w14:paraId="34A361C9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43-48</w:t>
            </w:r>
          </w:p>
        </w:tc>
        <w:tc>
          <w:tcPr>
            <w:tcW w:w="2693" w:type="dxa"/>
          </w:tcPr>
          <w:p w14:paraId="7AEB2A8B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+</w:t>
            </w:r>
          </w:p>
        </w:tc>
      </w:tr>
      <w:tr w14:paraId="2B32F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3" w:type="dxa"/>
          </w:tcPr>
          <w:p w14:paraId="6EE0CD31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12</w:t>
            </w:r>
          </w:p>
        </w:tc>
        <w:tc>
          <w:tcPr>
            <w:tcW w:w="2127" w:type="dxa"/>
          </w:tcPr>
          <w:p w14:paraId="412CBA26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49-54</w:t>
            </w:r>
          </w:p>
        </w:tc>
        <w:tc>
          <w:tcPr>
            <w:tcW w:w="2693" w:type="dxa"/>
          </w:tcPr>
          <w:p w14:paraId="6BEE2CA1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+</w:t>
            </w:r>
          </w:p>
        </w:tc>
      </w:tr>
      <w:tr w14:paraId="48357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3" w:type="dxa"/>
          </w:tcPr>
          <w:p w14:paraId="5DCA5EB5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11</w:t>
            </w:r>
          </w:p>
        </w:tc>
        <w:tc>
          <w:tcPr>
            <w:tcW w:w="2127" w:type="dxa"/>
          </w:tcPr>
          <w:p w14:paraId="37A0201E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55-60</w:t>
            </w:r>
          </w:p>
        </w:tc>
        <w:tc>
          <w:tcPr>
            <w:tcW w:w="2693" w:type="dxa"/>
          </w:tcPr>
          <w:p w14:paraId="14FCFAFD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+</w:t>
            </w:r>
          </w:p>
        </w:tc>
      </w:tr>
      <w:tr w14:paraId="1BAAD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3" w:type="dxa"/>
          </w:tcPr>
          <w:p w14:paraId="465ACAFD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10</w:t>
            </w:r>
          </w:p>
        </w:tc>
        <w:tc>
          <w:tcPr>
            <w:tcW w:w="2127" w:type="dxa"/>
          </w:tcPr>
          <w:p w14:paraId="242A2560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55-60</w:t>
            </w:r>
          </w:p>
        </w:tc>
        <w:tc>
          <w:tcPr>
            <w:tcW w:w="2693" w:type="dxa"/>
          </w:tcPr>
          <w:p w14:paraId="7FE8A911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−</w:t>
            </w:r>
          </w:p>
        </w:tc>
      </w:tr>
      <w:tr w14:paraId="27F4F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3" w:type="dxa"/>
          </w:tcPr>
          <w:p w14:paraId="05406757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9</w:t>
            </w:r>
          </w:p>
        </w:tc>
        <w:tc>
          <w:tcPr>
            <w:tcW w:w="2127" w:type="dxa"/>
          </w:tcPr>
          <w:p w14:paraId="12C92B9B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49-54</w:t>
            </w:r>
          </w:p>
        </w:tc>
        <w:tc>
          <w:tcPr>
            <w:tcW w:w="2693" w:type="dxa"/>
          </w:tcPr>
          <w:p w14:paraId="4A9A9939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−</w:t>
            </w:r>
          </w:p>
        </w:tc>
      </w:tr>
      <w:tr w14:paraId="19C70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3" w:type="dxa"/>
          </w:tcPr>
          <w:p w14:paraId="7BBD2589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8</w:t>
            </w:r>
          </w:p>
        </w:tc>
        <w:tc>
          <w:tcPr>
            <w:tcW w:w="2127" w:type="dxa"/>
          </w:tcPr>
          <w:p w14:paraId="22560530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43-48</w:t>
            </w:r>
          </w:p>
        </w:tc>
        <w:tc>
          <w:tcPr>
            <w:tcW w:w="2693" w:type="dxa"/>
          </w:tcPr>
          <w:p w14:paraId="5911C533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−</w:t>
            </w:r>
          </w:p>
        </w:tc>
      </w:tr>
      <w:tr w14:paraId="14E28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3" w:type="dxa"/>
          </w:tcPr>
          <w:p w14:paraId="03BC854D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7</w:t>
            </w:r>
          </w:p>
        </w:tc>
        <w:tc>
          <w:tcPr>
            <w:tcW w:w="2127" w:type="dxa"/>
          </w:tcPr>
          <w:p w14:paraId="72528288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37-42</w:t>
            </w:r>
          </w:p>
        </w:tc>
        <w:tc>
          <w:tcPr>
            <w:tcW w:w="2693" w:type="dxa"/>
          </w:tcPr>
          <w:p w14:paraId="62669803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−</w:t>
            </w:r>
          </w:p>
        </w:tc>
      </w:tr>
      <w:tr w14:paraId="241CE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3" w:type="dxa"/>
          </w:tcPr>
          <w:p w14:paraId="5179EB7A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14:paraId="4D4B85CE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31-36</w:t>
            </w:r>
          </w:p>
        </w:tc>
        <w:tc>
          <w:tcPr>
            <w:tcW w:w="2693" w:type="dxa"/>
          </w:tcPr>
          <w:p w14:paraId="65590B8C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−</w:t>
            </w:r>
          </w:p>
        </w:tc>
      </w:tr>
      <w:tr w14:paraId="26779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3" w:type="dxa"/>
          </w:tcPr>
          <w:p w14:paraId="02D535FA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14:paraId="4884690C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25-30</w:t>
            </w:r>
          </w:p>
        </w:tc>
        <w:tc>
          <w:tcPr>
            <w:tcW w:w="2693" w:type="dxa"/>
          </w:tcPr>
          <w:p w14:paraId="1ABED82A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−</w:t>
            </w:r>
          </w:p>
        </w:tc>
      </w:tr>
      <w:tr w14:paraId="2CDF0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3" w:type="dxa"/>
          </w:tcPr>
          <w:p w14:paraId="54BBC64C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14:paraId="42B33B1C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19-24</w:t>
            </w:r>
          </w:p>
        </w:tc>
        <w:tc>
          <w:tcPr>
            <w:tcW w:w="2693" w:type="dxa"/>
          </w:tcPr>
          <w:p w14:paraId="70EF716B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−</w:t>
            </w:r>
          </w:p>
        </w:tc>
      </w:tr>
      <w:tr w14:paraId="7BE84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3" w:type="dxa"/>
          </w:tcPr>
          <w:p w14:paraId="02B56761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14:paraId="044BA073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13-18</w:t>
            </w:r>
          </w:p>
        </w:tc>
        <w:tc>
          <w:tcPr>
            <w:tcW w:w="2693" w:type="dxa"/>
          </w:tcPr>
          <w:p w14:paraId="645715B3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−</w:t>
            </w:r>
          </w:p>
        </w:tc>
      </w:tr>
      <w:tr w14:paraId="600FA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3" w:type="dxa"/>
          </w:tcPr>
          <w:p w14:paraId="1A0B32CB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14:paraId="3AA85CB4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7-12</w:t>
            </w:r>
          </w:p>
        </w:tc>
        <w:tc>
          <w:tcPr>
            <w:tcW w:w="2693" w:type="dxa"/>
          </w:tcPr>
          <w:p w14:paraId="67F93FC1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−</w:t>
            </w:r>
          </w:p>
        </w:tc>
      </w:tr>
      <w:tr w14:paraId="1970A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3" w:type="dxa"/>
          </w:tcPr>
          <w:p w14:paraId="5427A66F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14:paraId="1028C12D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1-6</w:t>
            </w:r>
          </w:p>
        </w:tc>
        <w:tc>
          <w:tcPr>
            <w:tcW w:w="2693" w:type="dxa"/>
          </w:tcPr>
          <w:p w14:paraId="06878E74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−</w:t>
            </w:r>
          </w:p>
        </w:tc>
      </w:tr>
      <w:tr w14:paraId="3228D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3" w:type="dxa"/>
          </w:tcPr>
          <w:p w14:paraId="11C26617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14:paraId="69D34CB5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14:paraId="6A32991D">
            <w:pPr>
              <w:spacing w:line="27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−</w:t>
            </w:r>
          </w:p>
        </w:tc>
      </w:tr>
    </w:tbl>
    <w:p w14:paraId="6352AA14">
      <w:pPr>
        <w:rPr>
          <w:rFonts w:hint="default" w:ascii="Times New Roman" w:hAnsi="Times New Roman" w:cs="Times New Roman"/>
          <w:bCs/>
          <w:sz w:val="24"/>
          <w:szCs w:val="24"/>
        </w:rPr>
      </w:pPr>
    </w:p>
    <w:p w14:paraId="195F7912">
      <w:pPr>
        <w:rPr>
          <w:rFonts w:hint="default" w:ascii="Times New Roman" w:hAnsi="Times New Roman" w:cs="Times New Roman"/>
          <w:sz w:val="24"/>
          <w:szCs w:val="24"/>
        </w:rPr>
      </w:pPr>
    </w:p>
    <w:p w14:paraId="7553A119">
      <w:pPr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The tightrope test was performed three times on each test day, and the mean values were calculated. </w:t>
      </w:r>
      <w:r>
        <w:rPr>
          <w:rFonts w:hint="default" w:ascii="Times New Roman" w:hAnsi="Times New Roman" w:cs="Times New Roman"/>
          <w:bCs/>
          <w:sz w:val="24"/>
          <w:szCs w:val="24"/>
        </w:rPr>
        <w:t>The results were assessed according to both time on the rope (in seconds) and platform arrival (“+” for arrival and “−” for non-arrival). The scores ranged from 0 (minimum) to 20 (maximum).</w:t>
      </w:r>
    </w:p>
    <w:p w14:paraId="63891D33">
      <w:pPr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br w:type="page"/>
      </w:r>
    </w:p>
    <w:p w14:paraId="657946D8">
      <w:pPr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Supplementary full scans of Western blots</w:t>
      </w:r>
    </w:p>
    <w:p w14:paraId="3B223F68">
      <w:pPr>
        <w:rPr>
          <w:rFonts w:hint="default" w:ascii="Times New Roman" w:hAnsi="Times New Roman" w:cs="Times New Roman"/>
          <w:b/>
          <w:sz w:val="24"/>
          <w:szCs w:val="24"/>
        </w:rPr>
      </w:pPr>
      <w:bookmarkStart w:id="1" w:name="_GoBack"/>
      <w:bookmarkEnd w:id="1"/>
    </w:p>
    <w:p w14:paraId="3BF90915">
      <w:pP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drawing>
          <wp:inline distT="0" distB="0" distL="114300" distR="114300">
            <wp:extent cx="5219700" cy="6753860"/>
            <wp:effectExtent l="0" t="0" r="0" b="254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rcRect r="8627" b="2085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675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F5B5D">
      <w:pPr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hint="default" w:ascii="Times New Roman" w:hAnsi="Times New Roman" w:cs="Times New Roman" w:eastAsiaTheme="minorEastAsia"/>
          <w:b/>
          <w:sz w:val="24"/>
          <w:szCs w:val="24"/>
        </w:rPr>
        <w:t>1</w:t>
      </w:r>
      <w:r>
        <w:rPr>
          <w:rFonts w:hint="default" w:ascii="Times New Roman" w:hAnsi="Times New Roman" w:cs="Times New Roman"/>
          <w:b/>
          <w:sz w:val="24"/>
          <w:szCs w:val="24"/>
        </w:rPr>
        <w:t>-</w:t>
      </w:r>
      <w:r>
        <w:rPr>
          <w:rFonts w:hint="default" w:ascii="Times New Roman" w:hAnsi="Times New Roman" w:cs="Times New Roman" w:eastAsiaTheme="minorEastAsia"/>
          <w:b/>
          <w:sz w:val="24"/>
          <w:szCs w:val="24"/>
        </w:rPr>
        <w:t>B</w:t>
      </w:r>
      <w:r>
        <w:rPr>
          <w:rFonts w:hint="default" w:ascii="Times New Roman" w:hAnsi="Times New Roman" w:cs="Times New Roman"/>
          <w:b/>
          <w:sz w:val="24"/>
          <w:szCs w:val="24"/>
        </w:rPr>
        <w:t>.</w:t>
      </w:r>
    </w:p>
    <w:p w14:paraId="727B7E89">
      <w:pPr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br w:type="page"/>
      </w:r>
    </w:p>
    <w:p w14:paraId="1FB3C429">
      <w:pPr>
        <w:jc w:val="center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drawing>
          <wp:inline distT="0" distB="0" distL="114300" distR="114300">
            <wp:extent cx="5219700" cy="7817485"/>
            <wp:effectExtent l="0" t="0" r="0" b="571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781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F4297">
      <w:pPr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hint="default" w:ascii="Times New Roman" w:hAnsi="Times New Roman" w:cs="Times New Roman" w:eastAsiaTheme="minorEastAsia"/>
          <w:b/>
          <w:sz w:val="24"/>
          <w:szCs w:val="24"/>
        </w:rPr>
        <w:t>5</w:t>
      </w:r>
      <w:r>
        <w:rPr>
          <w:rFonts w:hint="default" w:ascii="Times New Roman" w:hAnsi="Times New Roman" w:cs="Times New Roman"/>
          <w:b/>
          <w:sz w:val="24"/>
          <w:szCs w:val="24"/>
        </w:rPr>
        <w:t>-</w:t>
      </w:r>
      <w:r>
        <w:rPr>
          <w:rFonts w:hint="default" w:ascii="Times New Roman" w:hAnsi="Times New Roman" w:cs="Times New Roman" w:eastAsiaTheme="minorEastAsia"/>
          <w:b/>
          <w:sz w:val="24"/>
          <w:szCs w:val="24"/>
        </w:rPr>
        <w:t>D</w:t>
      </w:r>
      <w:r>
        <w:rPr>
          <w:rFonts w:hint="default" w:ascii="Times New Roman" w:hAnsi="Times New Roman" w:cs="Times New Roman"/>
          <w:b/>
          <w:sz w:val="24"/>
          <w:szCs w:val="24"/>
        </w:rPr>
        <w:t>.</w:t>
      </w:r>
    </w:p>
    <w:p w14:paraId="7F3BDCD9">
      <w:pPr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br w:type="page"/>
      </w:r>
    </w:p>
    <w:p w14:paraId="6913C4DA">
      <w:pPr>
        <w:spacing w:line="48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drawing>
          <wp:inline distT="0" distB="0" distL="114300" distR="114300">
            <wp:extent cx="5219700" cy="6885940"/>
            <wp:effectExtent l="0" t="0" r="0" b="1016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688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798712"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hint="default" w:ascii="Times New Roman" w:hAnsi="Times New Roman" w:cs="Times New Roman" w:eastAsiaTheme="minorEastAsia"/>
          <w:b/>
          <w:sz w:val="24"/>
          <w:szCs w:val="24"/>
        </w:rPr>
        <w:t>6</w:t>
      </w:r>
      <w:r>
        <w:rPr>
          <w:rFonts w:hint="default" w:ascii="Times New Roman" w:hAnsi="Times New Roman" w:cs="Times New Roman"/>
          <w:b/>
          <w:sz w:val="24"/>
          <w:szCs w:val="24"/>
        </w:rPr>
        <w:t>-</w:t>
      </w:r>
      <w:r>
        <w:rPr>
          <w:rFonts w:hint="default" w:ascii="Times New Roman" w:hAnsi="Times New Roman" w:cs="Times New Roman" w:eastAsiaTheme="minorEastAsia"/>
          <w:b/>
          <w:sz w:val="24"/>
          <w:szCs w:val="24"/>
        </w:rPr>
        <w:t>G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. </w:t>
      </w:r>
    </w:p>
    <w:p w14:paraId="7A644AC2"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drawing>
          <wp:inline distT="0" distB="0" distL="0" distR="0">
            <wp:extent cx="2861310" cy="3599815"/>
            <wp:effectExtent l="0" t="0" r="8890" b="6985"/>
            <wp:docPr id="118007435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074358" name="图片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1332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40447">
      <w:pPr>
        <w:spacing w:line="480" w:lineRule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hint="default" w:ascii="Times New Roman" w:hAnsi="Times New Roman" w:cs="Times New Roman" w:eastAsiaTheme="minorEastAsia"/>
          <w:b/>
          <w:sz w:val="24"/>
          <w:szCs w:val="24"/>
        </w:rPr>
        <w:t>6</w:t>
      </w:r>
      <w:r>
        <w:rPr>
          <w:rFonts w:hint="default" w:ascii="Times New Roman" w:hAnsi="Times New Roman" w:cs="Times New Roman"/>
          <w:b/>
          <w:sz w:val="24"/>
          <w:szCs w:val="24"/>
        </w:rPr>
        <w:t>-</w:t>
      </w:r>
      <w:r>
        <w:rPr>
          <w:rFonts w:hint="default" w:ascii="Times New Roman" w:hAnsi="Times New Roman" w:cs="Times New Roman" w:eastAsiaTheme="minorEastAsia"/>
          <w:b/>
          <w:sz w:val="24"/>
          <w:szCs w:val="24"/>
        </w:rPr>
        <w:t>G</w:t>
      </w:r>
      <w:r>
        <w:rPr>
          <w:rFonts w:hint="default" w:ascii="Times New Roman" w:hAnsi="Times New Roman" w:cs="Times New Roman"/>
          <w:b/>
          <w:sz w:val="24"/>
          <w:szCs w:val="24"/>
        </w:rPr>
        <w:t>.</w:t>
      </w:r>
    </w:p>
    <w:p w14:paraId="4AA4CEAE">
      <w:pPr>
        <w:spacing w:line="480" w:lineRule="auto"/>
        <w:jc w:val="center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drawing>
          <wp:inline distT="0" distB="0" distL="114300" distR="114300">
            <wp:extent cx="5272405" cy="2976245"/>
            <wp:effectExtent l="0" t="0" r="10795" b="825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7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36920"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hint="default" w:ascii="Times New Roman" w:hAnsi="Times New Roman" w:cs="Times New Roman" w:eastAsiaTheme="minorEastAsia"/>
          <w:b/>
          <w:sz w:val="24"/>
          <w:szCs w:val="24"/>
        </w:rPr>
        <w:t>7</w:t>
      </w:r>
      <w:r>
        <w:rPr>
          <w:rFonts w:hint="default" w:ascii="Times New Roman" w:hAnsi="Times New Roman" w:cs="Times New Roman"/>
          <w:b/>
          <w:sz w:val="24"/>
          <w:szCs w:val="24"/>
        </w:rPr>
        <w:t>-</w:t>
      </w:r>
      <w:r>
        <w:rPr>
          <w:rFonts w:hint="default" w:ascii="Times New Roman" w:hAnsi="Times New Roman" w:cs="Times New Roman" w:eastAsiaTheme="minorEastAsia"/>
          <w:b/>
          <w:sz w:val="24"/>
          <w:szCs w:val="24"/>
        </w:rPr>
        <w:t>F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sz w:val="24"/>
          <w:szCs w:val="24"/>
        </w:rPr>
        <w:br w:type="page"/>
      </w:r>
    </w:p>
    <w:p w14:paraId="3C5BB93B">
      <w:pPr>
        <w:spacing w:line="48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drawing>
          <wp:inline distT="0" distB="0" distL="114300" distR="114300">
            <wp:extent cx="5271135" cy="3110865"/>
            <wp:effectExtent l="0" t="0" r="12065" b="63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11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E5C4FA">
      <w:pPr>
        <w:spacing w:line="480" w:lineRule="auto"/>
        <w:rPr>
          <w:rFonts w:hint="default" w:ascii="Times New Roman" w:hAnsi="Times New Roman" w:cs="Times New Roman" w:eastAsiaTheme="minorEastAsia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hint="default" w:ascii="Times New Roman" w:hAnsi="Times New Roman" w:cs="Times New Roman" w:eastAsiaTheme="minorEastAsia"/>
          <w:b/>
          <w:sz w:val="24"/>
          <w:szCs w:val="24"/>
        </w:rPr>
        <w:t>7</w:t>
      </w:r>
      <w:r>
        <w:rPr>
          <w:rFonts w:hint="default" w:ascii="Times New Roman" w:hAnsi="Times New Roman" w:cs="Times New Roman"/>
          <w:b/>
          <w:sz w:val="24"/>
          <w:szCs w:val="24"/>
        </w:rPr>
        <w:t>-</w:t>
      </w:r>
      <w:r>
        <w:rPr>
          <w:rFonts w:hint="default" w:ascii="Times New Roman" w:hAnsi="Times New Roman" w:eastAsia="宋体" w:cs="Times New Roman"/>
          <w:b/>
          <w:sz w:val="24"/>
          <w:szCs w:val="24"/>
          <w:lang w:val="en-US" w:eastAsia="zh-CN"/>
        </w:rPr>
        <w:t>F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. </w:t>
      </w:r>
    </w:p>
    <w:p w14:paraId="1AFCDEC7">
      <w:pPr>
        <w:spacing w:line="480" w:lineRule="auto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22EE7E93">
      <w:pPr>
        <w:spacing w:line="48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drawing>
          <wp:inline distT="0" distB="0" distL="114300" distR="114300">
            <wp:extent cx="5267960" cy="2841625"/>
            <wp:effectExtent l="0" t="0" r="2540" b="317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84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C06E5"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hint="default" w:ascii="Times New Roman" w:hAnsi="Times New Roman" w:cs="Times New Roman" w:eastAsiaTheme="minorEastAsia"/>
          <w:b/>
          <w:sz w:val="24"/>
          <w:szCs w:val="24"/>
        </w:rPr>
        <w:t>7</w:t>
      </w:r>
      <w:r>
        <w:rPr>
          <w:rFonts w:hint="default" w:ascii="Times New Roman" w:hAnsi="Times New Roman" w:cs="Times New Roman"/>
          <w:b/>
          <w:sz w:val="24"/>
          <w:szCs w:val="24"/>
        </w:rPr>
        <w:t>-</w:t>
      </w:r>
      <w:r>
        <w:rPr>
          <w:rFonts w:hint="default" w:ascii="Times New Roman" w:hAnsi="Times New Roman" w:eastAsia="宋体" w:cs="Times New Roman"/>
          <w:b/>
          <w:sz w:val="24"/>
          <w:szCs w:val="24"/>
          <w:lang w:val="en-US" w:eastAsia="zh-CN"/>
        </w:rPr>
        <w:t>K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sz w:val="24"/>
          <w:szCs w:val="24"/>
        </w:rPr>
        <w:br w:type="page"/>
      </w:r>
    </w:p>
    <w:p w14:paraId="1704D562">
      <w:pPr>
        <w:spacing w:line="48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drawing>
          <wp:inline distT="0" distB="0" distL="114300" distR="114300">
            <wp:extent cx="5271770" cy="2474595"/>
            <wp:effectExtent l="0" t="0" r="11430" b="1905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47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4A865">
      <w:pPr>
        <w:spacing w:line="48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hint="default" w:ascii="Times New Roman" w:hAnsi="Times New Roman" w:cs="Times New Roman" w:eastAsiaTheme="minorEastAsia"/>
          <w:b/>
          <w:sz w:val="24"/>
          <w:szCs w:val="24"/>
        </w:rPr>
        <w:t>7</w:t>
      </w:r>
      <w:r>
        <w:rPr>
          <w:rFonts w:hint="default" w:ascii="Times New Roman" w:hAnsi="Times New Roman" w:cs="Times New Roman"/>
          <w:b/>
          <w:sz w:val="24"/>
          <w:szCs w:val="24"/>
        </w:rPr>
        <w:t>-</w:t>
      </w:r>
      <w:r>
        <w:rPr>
          <w:rFonts w:hint="default" w:ascii="Times New Roman" w:hAnsi="Times New Roman" w:eastAsia="宋体" w:cs="Times New Roman"/>
          <w:b/>
          <w:sz w:val="24"/>
          <w:szCs w:val="24"/>
          <w:lang w:val="en-US" w:eastAsia="zh-CN"/>
        </w:rPr>
        <w:t>K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. </w:t>
      </w:r>
    </w:p>
    <w:sectPr>
      <w:footerReference r:id="rId3" w:type="default"/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PGothic">
    <w:panose1 w:val="020B0600070205080204"/>
    <w:charset w:val="80"/>
    <w:family w:val="swiss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648411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D5B1DC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LqlSDcAgAAJAYAAA4AAABkcnMvZTJvRG9jLnhtbK1UzW7UMBC+I/EO&#10;lu9pkm26TVbNVttNg5AqWqkgzl7H2UQ4tmV7fwriCm/AiQt3nqvPwdjZ7LYFoUqwh+zYM/483zfj&#10;OTvfdhytmTatFDmOjyKMmKCyasUyx+/elkGKkbFEVIRLwXJ8xww+n758cbZREzaSjeQV0whAhJls&#10;VI4ba9UkDA1tWEfMkVRMgLOWuiMWlnoZVppsAL3j4SiKxuFG6kppSZkxsFv0TrxD1M8BlHXdUlZI&#10;uuqYsD2qZpxYoGSaVhk89dnWNaP2uq4Ns4jnGJha/4VLwF64bzg9I5OlJqpp6S4F8pwUnnDqSCvg&#10;0j1UQSxBK93+BtW1VEsja3tEZRf2RLwiwCKOnmhz2xDFPBeQ2qi96Ob/wdI36xuN2irHGUaCdFDw&#10;+29f77//vP/xBWVOno0yE4i6VRBntxdyC00z7BvYdKy3te7cP/BB4Adx7/bisq1F1B1KR2kagYuC&#10;b1gAfng4rrSxr5jskDNyrKF6XlSyvjK2Dx1C3G1Cli3nvoJcoE2Ox8cnkT+w9wA4Fy4WsgCMndVX&#10;5lMWZZfpZZoEyWh8GSRRUQSzcp4E4zI+PSmOi/m8iD87vDiZNG1VMeHuG7okTp5XhV2n9PXd94mR&#10;vK0cnEvJ6OVizjVaE+jS0v+cwpD8g7DwcRreDayeUIpHSXQxyoJynJ4GSZmcBNlplAZRnF1k4yjJ&#10;kqJ8TOmqFezfKT1S/0HSZOIKtue24IR++Cs1l86BGigwFC50fdj3m7PsdrEFiZy5kNUd9KaW/eM2&#10;ipYtXHpFjL0hGl4z9BzMO3sNn5pL6BO5szBqpP74p30XD+UFL0YbmA45FjAMMeKvBTw+ALSDoQdj&#10;MRhi1c0lFDKGOaqoN+GAtnwway279zAEZ+4OcBFB4aYc28Gc235CwRClbDbzQSul22XTH4DRoYi9&#10;EreKumt8C6nZysJ78M/koApI6RYwPLyou0HnptPDtY8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Ci6pUg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D5B1DC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jA3NzY2NTY2MLU0NDJS0lEKTi0uzszPAymwqAUAxikWeiwAAAA="/>
  </w:docVars>
  <w:rsids>
    <w:rsidRoot w:val="00833447"/>
    <w:rsid w:val="00081B78"/>
    <w:rsid w:val="000E32FA"/>
    <w:rsid w:val="000E4440"/>
    <w:rsid w:val="0015298B"/>
    <w:rsid w:val="001C4893"/>
    <w:rsid w:val="00271997"/>
    <w:rsid w:val="002B698E"/>
    <w:rsid w:val="002E0E1A"/>
    <w:rsid w:val="002F6CCC"/>
    <w:rsid w:val="00374758"/>
    <w:rsid w:val="00377200"/>
    <w:rsid w:val="003802C7"/>
    <w:rsid w:val="003C6FD0"/>
    <w:rsid w:val="003E7FEF"/>
    <w:rsid w:val="00495356"/>
    <w:rsid w:val="00741307"/>
    <w:rsid w:val="00773607"/>
    <w:rsid w:val="00774253"/>
    <w:rsid w:val="0077455C"/>
    <w:rsid w:val="007C6984"/>
    <w:rsid w:val="00833447"/>
    <w:rsid w:val="0084628B"/>
    <w:rsid w:val="00860E9A"/>
    <w:rsid w:val="0086744D"/>
    <w:rsid w:val="008B6FE3"/>
    <w:rsid w:val="00A10A5B"/>
    <w:rsid w:val="00A3012B"/>
    <w:rsid w:val="00A868BA"/>
    <w:rsid w:val="00A963C2"/>
    <w:rsid w:val="00B46374"/>
    <w:rsid w:val="00B83A17"/>
    <w:rsid w:val="00C44CB0"/>
    <w:rsid w:val="00C72CDB"/>
    <w:rsid w:val="00CB4A55"/>
    <w:rsid w:val="00CC0E1F"/>
    <w:rsid w:val="00CC1DA9"/>
    <w:rsid w:val="00D15930"/>
    <w:rsid w:val="00D234B3"/>
    <w:rsid w:val="00D2511A"/>
    <w:rsid w:val="00D3318F"/>
    <w:rsid w:val="00DC7E5F"/>
    <w:rsid w:val="00F90926"/>
    <w:rsid w:val="0EB22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kern w:val="0"/>
      <w:sz w:val="24"/>
      <w:szCs w:val="24"/>
      <w:lang w:val="en-GB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unhideWhenUsed/>
    <w:uiPriority w:val="99"/>
    <w:rPr>
      <w:sz w:val="20"/>
      <w:szCs w:val="20"/>
    </w:rPr>
  </w:style>
  <w:style w:type="paragraph" w:styleId="3">
    <w:name w:val="Balloon Text"/>
    <w:basedOn w:val="1"/>
    <w:link w:val="14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/>
    </w:rPr>
  </w:style>
  <w:style w:type="paragraph" w:styleId="5">
    <w:name w:val="header"/>
    <w:basedOn w:val="1"/>
    <w:link w:val="11"/>
    <w:unhideWhenUsed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/>
    </w:rPr>
  </w:style>
  <w:style w:type="table" w:styleId="7">
    <w:name w:val="Table Grid"/>
    <w:basedOn w:val="6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uiPriority w:val="99"/>
    <w:rPr>
      <w:color w:val="0000FF"/>
      <w:u w:val="single"/>
    </w:rPr>
  </w:style>
  <w:style w:type="character" w:styleId="10">
    <w:name w:val="annotation reference"/>
    <w:basedOn w:val="8"/>
    <w:semiHidden/>
    <w:unhideWhenUsed/>
    <w:uiPriority w:val="99"/>
    <w:rPr>
      <w:sz w:val="16"/>
      <w:szCs w:val="16"/>
    </w:rPr>
  </w:style>
  <w:style w:type="character" w:customStyle="1" w:styleId="11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批注文字 字符"/>
    <w:basedOn w:val="8"/>
    <w:link w:val="2"/>
    <w:uiPriority w:val="99"/>
    <w:rPr>
      <w:rFonts w:ascii="Times New Roman" w:hAnsi="Times New Roman" w:eastAsia="Times New Roman" w:cs="Times New Roman"/>
      <w:kern w:val="0"/>
      <w:sz w:val="20"/>
      <w:szCs w:val="20"/>
      <w:lang w:val="en-GB"/>
    </w:rPr>
  </w:style>
  <w:style w:type="character" w:customStyle="1" w:styleId="14">
    <w:name w:val="批注框文本 字符"/>
    <w:basedOn w:val="8"/>
    <w:link w:val="3"/>
    <w:semiHidden/>
    <w:uiPriority w:val="99"/>
    <w:rPr>
      <w:rFonts w:ascii="Times New Roman" w:hAnsi="Times New Roman" w:eastAsia="Times New Roman" w:cs="Times New Roman"/>
      <w:kern w:val="0"/>
      <w:sz w:val="18"/>
      <w:szCs w:val="18"/>
      <w:lang w:val="en-GB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646</Words>
  <Characters>3748</Characters>
  <Lines>32</Lines>
  <Paragraphs>9</Paragraphs>
  <TotalTime>2</TotalTime>
  <ScaleCrop>false</ScaleCrop>
  <LinksUpToDate>false</LinksUpToDate>
  <CharactersWithSpaces>4170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2023-05-17T05:02:00Z</dcterms:created>
  <dc:creator>Evan</dc:creator>
  <cp:lastModifiedBy>WEI</cp:lastModifiedBy>
  <dcterms:modified xsi:type="dcterms:W3CDTF">2026-08-24T09:34:50Z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eyJoZGlkIjoiMDQ3ODZjOTE0ZGRkMTE0MTk1ODFmNWI1Y2NkYmE2MTIiLCJ1c2VySWQiOiIyODkyMTAwMzIifQ==</vt:lpwstr>
  </property>
  <property fmtid="{D5CDD505-2E9C-101B-9397-08002B2CF9AE}" pid="3" name="KSOProductBuildVer">
    <vt:lpwstr>2052-12.1.0.28022</vt:lpwstr>
  </property>
  <property fmtid="{D5CDD505-2E9C-101B-9397-08002B2CF9AE}" pid="4" name="ICV">
    <vt:lpwstr>83DDE50251E147B6AE081C0C65327A83_12</vt:lpwstr>
  </property>
</Properties>
</file>