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2CC11">
      <w:pPr>
        <w:jc w:val="center"/>
        <w:rPr>
          <w:rFonts w:ascii="Times New Roman" w:hAnsi="Times New Roman" w:eastAsia="黑体" w:cs="Times New Roman"/>
          <w:b/>
          <w:bCs/>
          <w:sz w:val="28"/>
          <w:szCs w:val="28"/>
        </w:rPr>
      </w:pPr>
      <w:bookmarkStart w:id="0" w:name="_GoBack"/>
      <w:bookmarkEnd w:id="0"/>
      <w:r>
        <w:rPr>
          <w:rFonts w:ascii="Times New Roman" w:hAnsi="Times New Roman" w:eastAsia="黑体" w:cs="Times New Roman"/>
          <w:b/>
          <w:bCs/>
          <w:sz w:val="28"/>
          <w:szCs w:val="28"/>
        </w:rPr>
        <w:t>Summary of Expert Comments from the Expert Review Meeting</w:t>
      </w:r>
    </w:p>
    <w:p w14:paraId="35BB75A7">
      <w:pPr>
        <w:spacing w:after="40" w:line="264" w:lineRule="auto"/>
      </w:pPr>
      <w:r>
        <w:rPr>
          <w:rFonts w:ascii="Calibri" w:hAnsi="Calibri" w:eastAsia="宋体"/>
          <w:b/>
          <w:color w:val="000000"/>
          <w:sz w:val="21"/>
        </w:rPr>
        <w:t xml:space="preserve">Manuscript title: </w:t>
      </w:r>
      <w:r>
        <w:rPr>
          <w:rFonts w:ascii="Calibri" w:hAnsi="Calibri" w:eastAsia="宋体"/>
          <w:color w:val="000000"/>
          <w:sz w:val="21"/>
        </w:rPr>
        <w:t>Expert Consensus on Artificial Intelligence Proficiency for Medical Educators (CAIP-ME, 2025 Edition)</w:t>
      </w:r>
    </w:p>
    <w:p w14:paraId="739D5A76">
      <w:pPr>
        <w:spacing w:after="40" w:line="264" w:lineRule="auto"/>
      </w:pPr>
      <w:r>
        <w:rPr>
          <w:rFonts w:ascii="Calibri" w:hAnsi="Calibri" w:eastAsia="宋体"/>
          <w:b/>
          <w:color w:val="000000"/>
          <w:sz w:val="21"/>
        </w:rPr>
        <w:t xml:space="preserve">Document type: </w:t>
      </w:r>
      <w:r>
        <w:rPr>
          <w:rFonts w:ascii="Calibri" w:hAnsi="Calibri" w:eastAsia="宋体"/>
          <w:color w:val="000000"/>
          <w:sz w:val="21"/>
        </w:rPr>
        <w:t>Supplementary appendix / Expert review meeting comment summary</w:t>
      </w:r>
    </w:p>
    <w:p w14:paraId="76A4560D">
      <w:pPr>
        <w:spacing w:after="40" w:line="264" w:lineRule="auto"/>
      </w:pPr>
      <w:r>
        <w:rPr>
          <w:rFonts w:ascii="Calibri" w:hAnsi="Calibri" w:eastAsia="宋体"/>
          <w:b/>
          <w:color w:val="000000"/>
          <w:sz w:val="21"/>
        </w:rPr>
        <w:t xml:space="preserve">Meeting stage: </w:t>
      </w:r>
      <w:r>
        <w:rPr>
          <w:rFonts w:ascii="Calibri" w:hAnsi="Calibri" w:eastAsia="宋体"/>
          <w:color w:val="000000"/>
          <w:sz w:val="21"/>
        </w:rPr>
        <w:t>Expert review meeting conducted before formal study implementation</w:t>
      </w:r>
    </w:p>
    <w:p w14:paraId="19863439">
      <w:pPr>
        <w:spacing w:after="40" w:line="264" w:lineRule="auto"/>
      </w:pPr>
      <w:r>
        <w:rPr>
          <w:rFonts w:ascii="Calibri" w:hAnsi="Calibri" w:eastAsia="宋体"/>
          <w:b/>
          <w:color w:val="000000"/>
          <w:sz w:val="21"/>
        </w:rPr>
        <w:t xml:space="preserve">Meeting date: </w:t>
      </w:r>
      <w:r>
        <w:rPr>
          <w:rFonts w:ascii="Calibri" w:hAnsi="Calibri" w:eastAsia="宋体"/>
          <w:color w:val="000000"/>
          <w:sz w:val="21"/>
        </w:rPr>
        <w:t>December 15, 2025</w:t>
      </w:r>
    </w:p>
    <w:p w14:paraId="4C8E4027">
      <w:pPr>
        <w:spacing w:after="120" w:line="264" w:lineRule="auto"/>
      </w:pPr>
    </w:p>
    <w:p w14:paraId="08400305">
      <w:pPr>
        <w:rPr>
          <w:b/>
          <w:bCs/>
        </w:rPr>
      </w:pPr>
      <w:r>
        <w:rPr>
          <w:b/>
          <w:bCs/>
        </w:rPr>
        <w:t>Note to the Editor</w:t>
      </w:r>
    </w:p>
    <w:p w14:paraId="1AC08B0B">
      <w:pPr>
        <w:spacing w:after="200" w:line="264" w:lineRule="auto"/>
      </w:pPr>
      <w:r>
        <w:rPr>
          <w:rFonts w:ascii="Calibri" w:hAnsi="Calibri" w:eastAsia="宋体"/>
          <w:color w:val="000000"/>
        </w:rPr>
        <w:t>This supplementary appendix provides the original Chinese summary of expert comments from the expert review meeting conducted prior to the formal implementation of the study. Based on the experts' comments and recommendations, the competency items were revised and expanded from 20 to 25 items. The expert comment summary is presented in the original Chinese text and has been preserved without substantive changes.</w:t>
      </w:r>
    </w:p>
    <w:p w14:paraId="67A2EF9F">
      <w:pPr>
        <w:spacing w:after="0" w:line="264" w:lineRule="auto"/>
      </w:pPr>
    </w:p>
    <w:p w14:paraId="70CFA3AA">
      <w:pPr>
        <w:rPr>
          <w:b/>
          <w:bCs/>
        </w:rPr>
      </w:pPr>
      <w:r>
        <w:rPr>
          <w:b/>
          <w:bCs/>
        </w:rPr>
        <w:t>Overview of the Pre-study Revision</w:t>
      </w:r>
    </w:p>
    <w:tbl>
      <w:tblPr>
        <w:tblStyle w:val="13"/>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2448"/>
        <w:gridCol w:w="3096"/>
        <w:gridCol w:w="3816"/>
      </w:tblGrid>
      <w:tr w14:paraId="24C3FB1E">
        <w:tc>
          <w:tcPr>
            <w:tcW w:w="2448" w:type="dxa"/>
            <w:shd w:val="clear" w:color="auto" w:fill="F2F4F7"/>
            <w:tcMar>
              <w:top w:w="120" w:type="dxa"/>
              <w:left w:w="160" w:type="dxa"/>
              <w:bottom w:w="120" w:type="dxa"/>
              <w:right w:w="160" w:type="dxa"/>
            </w:tcMar>
            <w:vAlign w:val="center"/>
          </w:tcPr>
          <w:p w14:paraId="68C6A917">
            <w:pPr>
              <w:spacing w:after="0" w:line="264" w:lineRule="auto"/>
              <w:rPr>
                <w:color w:val="000000" w:themeColor="text1"/>
                <w14:textFill>
                  <w14:solidFill>
                    <w14:schemeClr w14:val="tx1"/>
                  </w14:solidFill>
                </w14:textFill>
              </w:rPr>
            </w:pPr>
            <w:r>
              <w:rPr>
                <w:rFonts w:ascii="Calibri" w:hAnsi="Calibri" w:eastAsia="宋体"/>
                <w:b/>
                <w:color w:val="000000" w:themeColor="text1"/>
                <w:sz w:val="21"/>
                <w14:textFill>
                  <w14:solidFill>
                    <w14:schemeClr w14:val="tx1"/>
                  </w14:solidFill>
                </w14:textFill>
              </w:rPr>
              <w:t>Item</w:t>
            </w:r>
          </w:p>
        </w:tc>
        <w:tc>
          <w:tcPr>
            <w:tcW w:w="3096" w:type="dxa"/>
            <w:shd w:val="clear" w:color="auto" w:fill="F2F4F7"/>
            <w:tcMar>
              <w:top w:w="120" w:type="dxa"/>
              <w:left w:w="160" w:type="dxa"/>
              <w:bottom w:w="120" w:type="dxa"/>
              <w:right w:w="160" w:type="dxa"/>
            </w:tcMar>
            <w:vAlign w:val="center"/>
          </w:tcPr>
          <w:p w14:paraId="2851CC9F">
            <w:pPr>
              <w:spacing w:after="0" w:line="264" w:lineRule="auto"/>
              <w:rPr>
                <w:color w:val="000000" w:themeColor="text1"/>
                <w14:textFill>
                  <w14:solidFill>
                    <w14:schemeClr w14:val="tx1"/>
                  </w14:solidFill>
                </w14:textFill>
              </w:rPr>
            </w:pPr>
            <w:r>
              <w:rPr>
                <w:rFonts w:ascii="Calibri" w:hAnsi="Calibri" w:eastAsia="宋体"/>
                <w:b/>
                <w:color w:val="000000" w:themeColor="text1"/>
                <w:sz w:val="21"/>
                <w14:textFill>
                  <w14:solidFill>
                    <w14:schemeClr w14:val="tx1"/>
                  </w14:solidFill>
                </w14:textFill>
              </w:rPr>
              <w:t>Before expert consultation</w:t>
            </w:r>
          </w:p>
        </w:tc>
        <w:tc>
          <w:tcPr>
            <w:tcW w:w="3816" w:type="dxa"/>
            <w:shd w:val="clear" w:color="auto" w:fill="F2F4F7"/>
            <w:tcMar>
              <w:top w:w="120" w:type="dxa"/>
              <w:left w:w="160" w:type="dxa"/>
              <w:bottom w:w="120" w:type="dxa"/>
              <w:right w:w="160" w:type="dxa"/>
            </w:tcMar>
            <w:vAlign w:val="center"/>
          </w:tcPr>
          <w:p w14:paraId="6523AD80">
            <w:pPr>
              <w:spacing w:after="0" w:line="264" w:lineRule="auto"/>
              <w:rPr>
                <w:color w:val="000000" w:themeColor="text1"/>
                <w14:textFill>
                  <w14:solidFill>
                    <w14:schemeClr w14:val="tx1"/>
                  </w14:solidFill>
                </w14:textFill>
              </w:rPr>
            </w:pPr>
            <w:r>
              <w:rPr>
                <w:rFonts w:ascii="Calibri" w:hAnsi="Calibri" w:eastAsia="宋体"/>
                <w:b/>
                <w:color w:val="000000" w:themeColor="text1"/>
                <w:sz w:val="21"/>
                <w14:textFill>
                  <w14:solidFill>
                    <w14:schemeClr w14:val="tx1"/>
                  </w14:solidFill>
                </w14:textFill>
              </w:rPr>
              <w:t>After expert consultation</w:t>
            </w:r>
          </w:p>
        </w:tc>
      </w:tr>
      <w:tr w14:paraId="5A6AAEA9">
        <w:tc>
          <w:tcPr>
            <w:tcW w:w="2448" w:type="dxa"/>
            <w:tcMar>
              <w:top w:w="120" w:type="dxa"/>
              <w:left w:w="160" w:type="dxa"/>
              <w:bottom w:w="120" w:type="dxa"/>
              <w:right w:w="160" w:type="dxa"/>
            </w:tcMar>
            <w:vAlign w:val="center"/>
          </w:tcPr>
          <w:p w14:paraId="0D856BCB">
            <w:pPr>
              <w:spacing w:after="0" w:line="264" w:lineRule="auto"/>
            </w:pPr>
            <w:r>
              <w:rPr>
                <w:rFonts w:ascii="Calibri" w:hAnsi="Calibri" w:eastAsia="宋体"/>
                <w:b/>
                <w:color w:val="000000"/>
                <w:sz w:val="21"/>
              </w:rPr>
              <w:t>Number of competency items</w:t>
            </w:r>
          </w:p>
        </w:tc>
        <w:tc>
          <w:tcPr>
            <w:tcW w:w="3096" w:type="dxa"/>
            <w:tcMar>
              <w:top w:w="120" w:type="dxa"/>
              <w:left w:w="160" w:type="dxa"/>
              <w:bottom w:w="120" w:type="dxa"/>
              <w:right w:w="160" w:type="dxa"/>
            </w:tcMar>
            <w:vAlign w:val="center"/>
          </w:tcPr>
          <w:p w14:paraId="5284FF92">
            <w:pPr>
              <w:spacing w:after="0" w:line="264" w:lineRule="auto"/>
            </w:pPr>
            <w:r>
              <w:rPr>
                <w:rFonts w:ascii="Calibri" w:hAnsi="Calibri" w:eastAsia="宋体"/>
                <w:color w:val="000000"/>
                <w:sz w:val="21"/>
              </w:rPr>
              <w:t>20</w:t>
            </w:r>
          </w:p>
        </w:tc>
        <w:tc>
          <w:tcPr>
            <w:tcW w:w="3816" w:type="dxa"/>
            <w:tcMar>
              <w:top w:w="120" w:type="dxa"/>
              <w:left w:w="160" w:type="dxa"/>
              <w:bottom w:w="120" w:type="dxa"/>
              <w:right w:w="160" w:type="dxa"/>
            </w:tcMar>
            <w:vAlign w:val="center"/>
          </w:tcPr>
          <w:p w14:paraId="534D600D">
            <w:pPr>
              <w:spacing w:after="0" w:line="264" w:lineRule="auto"/>
            </w:pPr>
            <w:r>
              <w:rPr>
                <w:rFonts w:ascii="Calibri" w:hAnsi="Calibri" w:eastAsia="宋体"/>
                <w:color w:val="000000"/>
                <w:sz w:val="21"/>
              </w:rPr>
              <w:t>25</w:t>
            </w:r>
          </w:p>
        </w:tc>
      </w:tr>
      <w:tr w14:paraId="7070AE97">
        <w:tc>
          <w:tcPr>
            <w:tcW w:w="2448" w:type="dxa"/>
            <w:tcMar>
              <w:top w:w="120" w:type="dxa"/>
              <w:left w:w="160" w:type="dxa"/>
              <w:bottom w:w="120" w:type="dxa"/>
              <w:right w:w="160" w:type="dxa"/>
            </w:tcMar>
            <w:vAlign w:val="center"/>
          </w:tcPr>
          <w:p w14:paraId="49BB5E5D">
            <w:pPr>
              <w:spacing w:after="0" w:line="264" w:lineRule="auto"/>
            </w:pPr>
            <w:r>
              <w:rPr>
                <w:rFonts w:ascii="Calibri" w:hAnsi="Calibri" w:eastAsia="宋体"/>
                <w:b/>
                <w:color w:val="000000"/>
                <w:sz w:val="21"/>
              </w:rPr>
              <w:t>Revision stage</w:t>
            </w:r>
          </w:p>
        </w:tc>
        <w:tc>
          <w:tcPr>
            <w:tcW w:w="3096" w:type="dxa"/>
            <w:tcMar>
              <w:top w:w="120" w:type="dxa"/>
              <w:left w:w="160" w:type="dxa"/>
              <w:bottom w:w="120" w:type="dxa"/>
              <w:right w:w="160" w:type="dxa"/>
            </w:tcMar>
            <w:vAlign w:val="center"/>
          </w:tcPr>
          <w:p w14:paraId="341FEEE0">
            <w:pPr>
              <w:spacing w:after="0" w:line="264" w:lineRule="auto"/>
            </w:pPr>
            <w:r>
              <w:rPr>
                <w:rFonts w:ascii="Calibri" w:hAnsi="Calibri" w:eastAsia="宋体"/>
                <w:color w:val="000000"/>
                <w:sz w:val="21"/>
              </w:rPr>
              <w:t>Initial framework</w:t>
            </w:r>
          </w:p>
        </w:tc>
        <w:tc>
          <w:tcPr>
            <w:tcW w:w="3816" w:type="dxa"/>
            <w:tcMar>
              <w:top w:w="120" w:type="dxa"/>
              <w:left w:w="160" w:type="dxa"/>
              <w:bottom w:w="120" w:type="dxa"/>
              <w:right w:w="160" w:type="dxa"/>
            </w:tcMar>
            <w:vAlign w:val="center"/>
          </w:tcPr>
          <w:p w14:paraId="481BE017">
            <w:pPr>
              <w:spacing w:after="0" w:line="264" w:lineRule="auto"/>
            </w:pPr>
            <w:r>
              <w:rPr>
                <w:rFonts w:ascii="Calibri" w:hAnsi="Calibri" w:eastAsia="宋体"/>
                <w:color w:val="000000"/>
                <w:sz w:val="21"/>
              </w:rPr>
              <w:t>Framework revised after the expert review meeting</w:t>
            </w:r>
          </w:p>
        </w:tc>
      </w:tr>
      <w:tr w14:paraId="64F3ED53">
        <w:tc>
          <w:tcPr>
            <w:tcW w:w="2448" w:type="dxa"/>
            <w:tcMar>
              <w:top w:w="120" w:type="dxa"/>
              <w:left w:w="160" w:type="dxa"/>
              <w:bottom w:w="120" w:type="dxa"/>
              <w:right w:w="160" w:type="dxa"/>
            </w:tcMar>
            <w:vAlign w:val="center"/>
          </w:tcPr>
          <w:p w14:paraId="2DE6C7B3">
            <w:pPr>
              <w:spacing w:after="0" w:line="264" w:lineRule="auto"/>
            </w:pPr>
            <w:r>
              <w:rPr>
                <w:rFonts w:ascii="Calibri" w:hAnsi="Calibri" w:eastAsia="宋体"/>
                <w:b/>
                <w:color w:val="000000"/>
                <w:sz w:val="21"/>
              </w:rPr>
              <w:t>Basis for revision</w:t>
            </w:r>
          </w:p>
        </w:tc>
        <w:tc>
          <w:tcPr>
            <w:tcW w:w="3096" w:type="dxa"/>
            <w:tcMar>
              <w:top w:w="120" w:type="dxa"/>
              <w:left w:w="160" w:type="dxa"/>
              <w:bottom w:w="120" w:type="dxa"/>
              <w:right w:w="160" w:type="dxa"/>
            </w:tcMar>
            <w:vAlign w:val="center"/>
          </w:tcPr>
          <w:p w14:paraId="0987E6A3">
            <w:pPr>
              <w:spacing w:after="0" w:line="264" w:lineRule="auto"/>
            </w:pPr>
            <w:r>
              <w:rPr>
                <w:rFonts w:ascii="Calibri" w:hAnsi="Calibri" w:eastAsia="宋体"/>
                <w:color w:val="000000"/>
                <w:sz w:val="21"/>
              </w:rPr>
              <w:t>Preliminary competency extraction</w:t>
            </w:r>
          </w:p>
        </w:tc>
        <w:tc>
          <w:tcPr>
            <w:tcW w:w="3816" w:type="dxa"/>
            <w:tcMar>
              <w:top w:w="120" w:type="dxa"/>
              <w:left w:w="160" w:type="dxa"/>
              <w:bottom w:w="120" w:type="dxa"/>
              <w:right w:w="160" w:type="dxa"/>
            </w:tcMar>
            <w:vAlign w:val="center"/>
          </w:tcPr>
          <w:p w14:paraId="3DA7AF11">
            <w:pPr>
              <w:spacing w:after="0" w:line="264" w:lineRule="auto"/>
            </w:pPr>
            <w:r>
              <w:rPr>
                <w:rFonts w:ascii="Calibri" w:hAnsi="Calibri" w:eastAsia="宋体"/>
                <w:color w:val="000000"/>
                <w:sz w:val="21"/>
              </w:rPr>
              <w:t>Expert comments and recommendations</w:t>
            </w:r>
          </w:p>
        </w:tc>
      </w:tr>
      <w:tr w14:paraId="2D32D946">
        <w:tc>
          <w:tcPr>
            <w:tcW w:w="2448" w:type="dxa"/>
            <w:tcMar>
              <w:top w:w="120" w:type="dxa"/>
              <w:left w:w="160" w:type="dxa"/>
              <w:bottom w:w="120" w:type="dxa"/>
              <w:right w:w="160" w:type="dxa"/>
            </w:tcMar>
            <w:vAlign w:val="center"/>
          </w:tcPr>
          <w:p w14:paraId="7CE4744C">
            <w:pPr>
              <w:spacing w:after="0" w:line="264" w:lineRule="auto"/>
            </w:pPr>
            <w:r>
              <w:rPr>
                <w:rFonts w:ascii="Calibri" w:hAnsi="Calibri" w:eastAsia="宋体"/>
                <w:b/>
                <w:color w:val="000000"/>
                <w:sz w:val="21"/>
              </w:rPr>
              <w:t>Detailed comment summary</w:t>
            </w:r>
          </w:p>
        </w:tc>
        <w:tc>
          <w:tcPr>
            <w:tcW w:w="3096" w:type="dxa"/>
            <w:tcMar>
              <w:top w:w="120" w:type="dxa"/>
              <w:left w:w="160" w:type="dxa"/>
              <w:bottom w:w="120" w:type="dxa"/>
              <w:right w:w="160" w:type="dxa"/>
            </w:tcMar>
            <w:vAlign w:val="center"/>
          </w:tcPr>
          <w:p w14:paraId="634E7E12">
            <w:pPr>
              <w:spacing w:after="0" w:line="264" w:lineRule="auto"/>
            </w:pPr>
            <w:r>
              <w:rPr>
                <w:rFonts w:ascii="Calibri" w:hAnsi="Calibri" w:eastAsia="宋体"/>
                <w:color w:val="000000"/>
                <w:sz w:val="21"/>
              </w:rPr>
              <w:t>Not applicable</w:t>
            </w:r>
          </w:p>
        </w:tc>
        <w:tc>
          <w:tcPr>
            <w:tcW w:w="3816" w:type="dxa"/>
            <w:tcMar>
              <w:top w:w="120" w:type="dxa"/>
              <w:left w:w="160" w:type="dxa"/>
              <w:bottom w:w="120" w:type="dxa"/>
              <w:right w:w="160" w:type="dxa"/>
            </w:tcMar>
            <w:vAlign w:val="center"/>
          </w:tcPr>
          <w:p w14:paraId="5547591F">
            <w:pPr>
              <w:spacing w:after="0" w:line="264" w:lineRule="auto"/>
            </w:pPr>
            <w:r>
              <w:rPr>
                <w:rFonts w:ascii="Calibri" w:hAnsi="Calibri" w:eastAsia="宋体"/>
                <w:color w:val="000000"/>
                <w:sz w:val="21"/>
              </w:rPr>
              <w:t>Original Chinese comment summary retained in full in the following section</w:t>
            </w:r>
          </w:p>
        </w:tc>
      </w:tr>
    </w:tbl>
    <w:p w14:paraId="12C61232">
      <w:pPr>
        <w:spacing w:line="264" w:lineRule="auto"/>
      </w:pPr>
    </w:p>
    <w:p w14:paraId="53B4D1BE">
      <w:pPr>
        <w:rPr>
          <w:b/>
          <w:bCs/>
        </w:rPr>
      </w:pPr>
      <w:r>
        <w:rPr>
          <w:b/>
          <w:bCs/>
        </w:rPr>
        <w:t>Expert Comment Summary</w:t>
      </w:r>
    </w:p>
    <w:p w14:paraId="5ADF4E19">
      <w:pPr>
        <w:spacing w:after="80" w:line="264" w:lineRule="auto"/>
      </w:pPr>
      <w:r>
        <w:rPr>
          <w:rFonts w:ascii="Calibri" w:hAnsi="Calibri" w:eastAsia="宋体"/>
          <w:i/>
          <w:color w:val="595959"/>
          <w:sz w:val="21"/>
        </w:rPr>
        <w:t>The following section reproduces the expert review meeting comment summary in the original Chinese. No substantive changes have been made to the wording of the comments.</w:t>
      </w:r>
    </w:p>
    <w:p w14:paraId="43C3FA63">
      <w:pPr>
        <w:spacing w:after="0" w:line="264" w:lineRule="auto"/>
      </w:pPr>
    </w:p>
    <w:p w14:paraId="5069719E">
      <w:pPr>
        <w:rPr>
          <w:b/>
          <w:bCs/>
        </w:rPr>
      </w:pPr>
      <w:r>
        <w:rPr>
          <w:b/>
          <w:bCs/>
        </w:rPr>
        <w:t>Summary of Opinions from the Expert Review Meeting</w:t>
      </w:r>
    </w:p>
    <w:p w14:paraId="7838A970">
      <w:pPr>
        <w:spacing w:after="0" w:line="264" w:lineRule="auto"/>
      </w:pPr>
      <w:r>
        <w:rPr>
          <w:rFonts w:ascii="Calibri" w:hAnsi="Calibri" w:eastAsia="宋体"/>
          <w:b/>
          <w:color w:val="1F4D78"/>
          <w:sz w:val="32"/>
        </w:rPr>
        <w:t>专家点评会意见汇总（中文原文）</w:t>
      </w:r>
    </w:p>
    <w:p w14:paraId="30C9353C">
      <w:pPr>
        <w:spacing w:after="240" w:line="264" w:lineRule="auto"/>
      </w:pPr>
      <w:r>
        <w:rPr>
          <w:rFonts w:ascii="Calibri" w:hAnsi="Calibri" w:eastAsia="宋体"/>
          <w:color w:val="595959"/>
          <w:sz w:val="21"/>
        </w:rPr>
        <w:t>以下为专家点评会意见汇总的中文原文，意见文字保持不变。</w:t>
      </w:r>
    </w:p>
    <w:p w14:paraId="320C08E7">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w:t>
      </w:r>
    </w:p>
    <w:p w14:paraId="12BE520C">
      <w:pPr>
        <w:rPr>
          <w:rFonts w:ascii="宋体" w:hAnsi="宋体" w:eastAsia="宋体"/>
        </w:rPr>
      </w:pPr>
      <w:r>
        <w:rPr>
          <w:rStyle w:val="15"/>
          <w:rFonts w:ascii="宋体" w:hAnsi="宋体" w:eastAsia="宋体" w:cs="Segoe UI"/>
          <w:b w:val="0"/>
          <w:bCs w:val="0"/>
          <w:color w:val="0F1115"/>
        </w:rPr>
        <w:t>一、关于教学内容的具体补充建议</w:t>
      </w:r>
      <w:r>
        <w:rPr>
          <w:rFonts w:ascii="宋体" w:hAnsi="宋体" w:eastAsia="宋体"/>
        </w:rPr>
        <w:br w:type="textWrapping"/>
      </w:r>
      <w:r>
        <w:rPr>
          <w:rFonts w:ascii="宋体" w:hAnsi="宋体" w:eastAsia="宋体"/>
        </w:rPr>
        <w:t>建议在“虚拟仿真和资源开发”方面，进一步增加有关“突发公共卫生事件处置”及“新型传染病的识别和防控”等方面的教学案例与训练内容。此举旨在加强对未来可能出现的“X疾病”或新型健康威胁的防控能力培养，是从公共卫生角度进行前瞻性能力建设的重要体现。</w:t>
      </w:r>
    </w:p>
    <w:p w14:paraId="2A5E5ED1">
      <w:pPr>
        <w:rPr>
          <w:rFonts w:ascii="宋体" w:hAnsi="宋体" w:eastAsia="宋体"/>
        </w:rPr>
      </w:pPr>
      <w:r>
        <w:rPr>
          <w:rStyle w:val="15"/>
          <w:rFonts w:ascii="宋体" w:hAnsi="宋体" w:eastAsia="宋体" w:cs="Segoe UI"/>
          <w:b w:val="0"/>
          <w:bCs w:val="0"/>
          <w:color w:val="0F1115"/>
        </w:rPr>
        <w:t>二、关于规范人工智能（AI）教学应用的建议</w:t>
      </w:r>
      <w:r>
        <w:rPr>
          <w:rFonts w:ascii="宋体" w:hAnsi="宋体" w:eastAsia="宋体"/>
        </w:rPr>
        <w:br w:type="textWrapping"/>
      </w:r>
      <w:r>
        <w:rPr>
          <w:rFonts w:ascii="宋体" w:hAnsi="宋体" w:eastAsia="宋体"/>
        </w:rPr>
        <w:t>当前，师生均在使用AI，这构成了“矛与盾”的关系。为引导学生合理使用AI并保障教学效果，建议：</w:t>
      </w:r>
    </w:p>
    <w:p w14:paraId="01684435">
      <w:pPr>
        <w:rPr>
          <w:rFonts w:ascii="宋体" w:hAnsi="宋体" w:eastAsia="宋体"/>
        </w:rPr>
      </w:pPr>
      <w:r>
        <w:rPr>
          <w:rStyle w:val="15"/>
          <w:rFonts w:ascii="宋体" w:hAnsi="宋体" w:eastAsia="宋体" w:cs="Segoe UI"/>
          <w:b w:val="0"/>
          <w:bCs w:val="0"/>
          <w:color w:val="0F1115"/>
        </w:rPr>
        <w:t>明确学生使用规范</w:t>
      </w:r>
      <w:r>
        <w:rPr>
          <w:rFonts w:ascii="宋体" w:hAnsi="宋体" w:eastAsia="宋体"/>
        </w:rPr>
        <w:t>：在《方案》中应考虑纳入对学生使用AI的</w:t>
      </w:r>
      <w:r>
        <w:rPr>
          <w:rStyle w:val="15"/>
          <w:rFonts w:ascii="宋体" w:hAnsi="宋体" w:eastAsia="宋体" w:cs="Segoe UI"/>
          <w:b w:val="0"/>
          <w:bCs w:val="0"/>
          <w:color w:val="0F1115"/>
        </w:rPr>
        <w:t>范围与规范</w:t>
      </w:r>
      <w:r>
        <w:rPr>
          <w:rFonts w:ascii="宋体" w:hAnsi="宋体" w:eastAsia="宋体"/>
        </w:rPr>
        <w:t>的引导，防止其过度依赖AI完成作业而削弱独立思考过程。</w:t>
      </w:r>
    </w:p>
    <w:p w14:paraId="180D5549">
      <w:pPr>
        <w:rPr>
          <w:rFonts w:ascii="宋体" w:hAnsi="宋体" w:eastAsia="宋体"/>
        </w:rPr>
      </w:pPr>
      <w:r>
        <w:rPr>
          <w:rStyle w:val="15"/>
          <w:rFonts w:ascii="宋体" w:hAnsi="宋体" w:eastAsia="宋体" w:cs="Segoe UI"/>
          <w:b w:val="0"/>
          <w:bCs w:val="0"/>
          <w:color w:val="0F1115"/>
        </w:rPr>
        <w:t>加强教师识别与培训</w:t>
      </w:r>
      <w:r>
        <w:rPr>
          <w:rFonts w:ascii="宋体" w:hAnsi="宋体" w:eastAsia="宋体"/>
        </w:rPr>
        <w:t>：建议在相关章节（如教师发展部分）增加对教师进行</w:t>
      </w:r>
      <w:r>
        <w:rPr>
          <w:rStyle w:val="15"/>
          <w:rFonts w:ascii="宋体" w:hAnsi="宋体" w:eastAsia="宋体" w:cs="Segoe UI"/>
          <w:b w:val="0"/>
          <w:bCs w:val="0"/>
          <w:color w:val="0F1115"/>
        </w:rPr>
        <w:t>AI生成内容识别能力</w:t>
      </w:r>
      <w:r>
        <w:rPr>
          <w:rFonts w:ascii="宋体" w:hAnsi="宋体" w:eastAsia="宋体"/>
        </w:rPr>
        <w:t>的培训。提升教师鉴别作业或成果是否为AI生成的能力，对于维护学术严谨性、保障学生培养质量具有重要意义。</w:t>
      </w:r>
    </w:p>
    <w:p w14:paraId="528D958E">
      <w:pPr>
        <w:rPr>
          <w:rFonts w:ascii="宋体" w:hAnsi="宋体" w:eastAsia="宋体"/>
        </w:rPr>
      </w:pPr>
    </w:p>
    <w:p w14:paraId="5052426F">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专家2</w:t>
      </w:r>
    </w:p>
    <w:p w14:paraId="0BE5E21D">
      <w:pPr>
        <w:rPr>
          <w:rFonts w:ascii="宋体" w:hAnsi="宋体" w:eastAsia="宋体"/>
        </w:rPr>
      </w:pPr>
      <w:r>
        <w:rPr>
          <w:rStyle w:val="15"/>
          <w:rFonts w:ascii="宋体" w:hAnsi="宋体" w:eastAsia="宋体" w:cs="Segoe UI"/>
          <w:b w:val="0"/>
          <w:bCs w:val="0"/>
          <w:color w:val="0F1115"/>
        </w:rPr>
        <w:t>一、关于深化医学伦理要求的建议</w:t>
      </w:r>
      <w:r>
        <w:rPr>
          <w:rFonts w:ascii="宋体" w:hAnsi="宋体" w:eastAsia="宋体"/>
        </w:rPr>
        <w:br w:type="textWrapping"/>
      </w:r>
      <w:r>
        <w:rPr>
          <w:rFonts w:ascii="宋体" w:hAnsi="宋体" w:eastAsia="宋体"/>
        </w:rPr>
        <w:t>当前对伦理的考量侧重于“合规性”，这仅是基本要求。建议进一步深化：</w:t>
      </w:r>
    </w:p>
    <w:p w14:paraId="0D20378C">
      <w:pPr>
        <w:rPr>
          <w:rFonts w:ascii="宋体" w:hAnsi="宋体" w:eastAsia="宋体"/>
        </w:rPr>
      </w:pPr>
      <w:r>
        <w:rPr>
          <w:rStyle w:val="15"/>
          <w:rFonts w:ascii="宋体" w:hAnsi="宋体" w:eastAsia="宋体" w:cs="Segoe UI"/>
          <w:b w:val="0"/>
          <w:bCs w:val="0"/>
          <w:color w:val="0F1115"/>
        </w:rPr>
        <w:t>推动伦理规范深度嵌入能力要求</w:t>
      </w:r>
      <w:r>
        <w:rPr>
          <w:rFonts w:ascii="宋体" w:hAnsi="宋体" w:eastAsia="宋体"/>
        </w:rPr>
        <w:t>：应思考如何将医学伦理规范更深层次地嵌入对医师及教师的核心能力要求中，强化伦理规范的引导作用。</w:t>
      </w:r>
    </w:p>
    <w:p w14:paraId="27FFB480">
      <w:pPr>
        <w:rPr>
          <w:rFonts w:ascii="宋体" w:hAnsi="宋体" w:eastAsia="宋体"/>
        </w:rPr>
      </w:pPr>
      <w:r>
        <w:rPr>
          <w:rStyle w:val="15"/>
          <w:rFonts w:ascii="宋体" w:hAnsi="宋体" w:eastAsia="宋体" w:cs="Segoe UI"/>
          <w:b w:val="0"/>
          <w:bCs w:val="0"/>
          <w:color w:val="0F1115"/>
        </w:rPr>
        <w:t>从能力清单提升至价值导向</w:t>
      </w:r>
      <w:r>
        <w:rPr>
          <w:rFonts w:ascii="宋体" w:hAnsi="宋体" w:eastAsia="宋体"/>
        </w:rPr>
        <w:t>：伦理要求不应仅停留在“能力清单”层面，需进一步提升至“价值导向”的高度，服务于培养医学生的医学专业责任与人文关怀这一根本目的。</w:t>
      </w:r>
    </w:p>
    <w:p w14:paraId="17BC66A6">
      <w:pPr>
        <w:rPr>
          <w:rFonts w:ascii="宋体" w:hAnsi="宋体" w:eastAsia="宋体"/>
        </w:rPr>
      </w:pPr>
      <w:r>
        <w:rPr>
          <w:rStyle w:val="15"/>
          <w:rFonts w:ascii="宋体" w:hAnsi="宋体" w:eastAsia="宋体" w:cs="Segoe UI"/>
          <w:b w:val="0"/>
          <w:bCs w:val="0"/>
          <w:color w:val="0F1115"/>
        </w:rPr>
        <w:t>二、关于拓展“AI公平应用践行能力”界定的建议</w:t>
      </w:r>
      <w:r>
        <w:rPr>
          <w:rFonts w:ascii="宋体" w:hAnsi="宋体" w:eastAsia="宋体"/>
        </w:rPr>
        <w:br w:type="textWrapping"/>
      </w:r>
      <w:r>
        <w:rPr>
          <w:rFonts w:ascii="宋体" w:hAnsi="宋体" w:eastAsia="宋体"/>
        </w:rPr>
        <w:t>针对《方案》中“AI公平应用践行能力”（例如第12项）的现有界定，建议进行拓展思考：</w:t>
      </w:r>
      <w:r>
        <w:rPr>
          <w:rFonts w:ascii="宋体" w:hAnsi="宋体" w:eastAsia="宋体"/>
        </w:rPr>
        <w:br w:type="textWrapping"/>
      </w:r>
      <w:r>
        <w:rPr>
          <w:rFonts w:ascii="宋体" w:hAnsi="宋体" w:eastAsia="宋体"/>
        </w:rPr>
        <w:t>当前界定主要关注“数字鸿沟”及技术可及性差异。建议进一步审视：在医学教学与训练中引入AI，是否可能</w:t>
      </w:r>
      <w:r>
        <w:rPr>
          <w:rStyle w:val="15"/>
          <w:rFonts w:ascii="宋体" w:hAnsi="宋体" w:eastAsia="宋体" w:cs="Segoe UI"/>
          <w:b w:val="0"/>
          <w:bCs w:val="0"/>
          <w:color w:val="0F1115"/>
        </w:rPr>
        <w:t>加剧而非缓解健康不平等</w:t>
      </w:r>
      <w:r>
        <w:rPr>
          <w:rFonts w:ascii="宋体" w:hAnsi="宋体" w:eastAsia="宋体"/>
        </w:rPr>
        <w:t>？例如：</w:t>
      </w:r>
    </w:p>
    <w:p w14:paraId="31BAA11B">
      <w:pPr>
        <w:rPr>
          <w:rFonts w:ascii="宋体" w:hAnsi="宋体" w:eastAsia="宋体"/>
        </w:rPr>
      </w:pPr>
      <w:r>
        <w:rPr>
          <w:rFonts w:ascii="宋体" w:hAnsi="宋体" w:eastAsia="宋体"/>
        </w:rPr>
        <w:t>AI教学资源的应用，是否会</w:t>
      </w:r>
      <w:r>
        <w:rPr>
          <w:rStyle w:val="15"/>
          <w:rFonts w:ascii="宋体" w:hAnsi="宋体" w:eastAsia="宋体" w:cs="Segoe UI"/>
          <w:b w:val="0"/>
          <w:bCs w:val="0"/>
          <w:color w:val="0F1115"/>
        </w:rPr>
        <w:t>扩大城乡、不同层级院校间的教育差距</w:t>
      </w:r>
      <w:r>
        <w:rPr>
          <w:rFonts w:ascii="宋体" w:hAnsi="宋体" w:eastAsia="宋体"/>
        </w:rPr>
        <w:t>？</w:t>
      </w:r>
    </w:p>
    <w:p w14:paraId="5FC3687E">
      <w:pPr>
        <w:rPr>
          <w:rFonts w:ascii="宋体" w:hAnsi="宋体" w:eastAsia="宋体"/>
        </w:rPr>
      </w:pPr>
      <w:r>
        <w:rPr>
          <w:rFonts w:ascii="宋体" w:hAnsi="宋体" w:eastAsia="宋体"/>
        </w:rPr>
        <w:t>教学所使用的算法与标准病人数据，若存在对主流人群的偏向或偏见，这种偏见是否可能在未来的临床实践中被延续甚至放大，导致</w:t>
      </w:r>
      <w:r>
        <w:rPr>
          <w:rStyle w:val="15"/>
          <w:rFonts w:ascii="宋体" w:hAnsi="宋体" w:eastAsia="宋体" w:cs="Segoe UI"/>
          <w:b w:val="0"/>
          <w:bCs w:val="0"/>
          <w:color w:val="0F1115"/>
        </w:rPr>
        <w:t>诊疗上的不公平</w:t>
      </w:r>
      <w:r>
        <w:rPr>
          <w:rFonts w:ascii="宋体" w:hAnsi="宋体" w:eastAsia="宋体"/>
        </w:rPr>
        <w:t>？</w:t>
      </w:r>
      <w:r>
        <w:rPr>
          <w:rFonts w:ascii="宋体" w:hAnsi="宋体" w:eastAsia="宋体"/>
        </w:rPr>
        <w:br w:type="textWrapping"/>
      </w:r>
      <w:r>
        <w:rPr>
          <w:rFonts w:ascii="宋体" w:hAnsi="宋体" w:eastAsia="宋体"/>
        </w:rPr>
        <w:t>建议在内涵界定中，深入思考AI教学与医疗技术</w:t>
      </w:r>
      <w:r>
        <w:rPr>
          <w:rStyle w:val="15"/>
          <w:rFonts w:ascii="宋体" w:hAnsi="宋体" w:eastAsia="宋体" w:cs="Segoe UI"/>
          <w:b w:val="0"/>
          <w:bCs w:val="0"/>
          <w:color w:val="0F1115"/>
        </w:rPr>
        <w:t>导致或加剧结构性不平等</w:t>
      </w:r>
      <w:r>
        <w:rPr>
          <w:rFonts w:ascii="宋体" w:hAnsi="宋体" w:eastAsia="宋体"/>
        </w:rPr>
        <w:t>的潜在风险，即其“放大效应”，将考量层面从“教育公平”提升至“医学正义”。</w:t>
      </w:r>
    </w:p>
    <w:p w14:paraId="668C81E3">
      <w:pPr>
        <w:rPr>
          <w:rFonts w:ascii="宋体" w:hAnsi="宋体" w:eastAsia="宋体"/>
        </w:rPr>
      </w:pPr>
    </w:p>
    <w:p w14:paraId="7581F1C2">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专家3</w:t>
      </w:r>
    </w:p>
    <w:p w14:paraId="722248A8">
      <w:pPr>
        <w:rPr>
          <w:rFonts w:ascii="宋体" w:hAnsi="宋体" w:eastAsia="宋体"/>
        </w:rPr>
      </w:pPr>
      <w:r>
        <w:rPr>
          <w:rStyle w:val="15"/>
          <w:rFonts w:ascii="宋体" w:hAnsi="宋体" w:eastAsia="宋体" w:cs="Segoe UI"/>
          <w:b w:val="0"/>
          <w:bCs w:val="0"/>
          <w:color w:val="0F1115"/>
        </w:rPr>
        <w:t>一、关于优化第五维度（AI在教学展示与发展）内容结构的建议</w:t>
      </w:r>
      <w:r>
        <w:rPr>
          <w:rFonts w:ascii="宋体" w:hAnsi="宋体" w:eastAsia="宋体"/>
        </w:rPr>
        <w:br w:type="textWrapping"/>
      </w:r>
      <w:r>
        <w:rPr>
          <w:rFonts w:ascii="宋体" w:hAnsi="宋体" w:eastAsia="宋体"/>
        </w:rPr>
        <w:t>在第五维度中，涉及的能力点（例如第19项“终身学习与适应能力”及相关综合能力、反思能力、学术交流能力等）存在内容重叠与关联。建议对该部分内容进行</w:t>
      </w:r>
      <w:r>
        <w:rPr>
          <w:rStyle w:val="15"/>
          <w:rFonts w:ascii="宋体" w:hAnsi="宋体" w:eastAsia="宋体" w:cs="Segoe UI"/>
          <w:b w:val="0"/>
          <w:bCs w:val="0"/>
          <w:color w:val="0F1115"/>
        </w:rPr>
        <w:t>适当简化与合并</w:t>
      </w:r>
      <w:r>
        <w:rPr>
          <w:rFonts w:ascii="宋体" w:hAnsi="宋体" w:eastAsia="宋体"/>
        </w:rPr>
        <w:t>，提炼为一至两个更具概括性的核心能力点。过于细致的分解可能导致每项均需设定量化考评指标，在后续实施与评价中恐面临操作困难。</w:t>
      </w:r>
    </w:p>
    <w:p w14:paraId="284A4101">
      <w:pPr>
        <w:rPr>
          <w:rFonts w:ascii="宋体" w:hAnsi="宋体" w:eastAsia="宋体"/>
        </w:rPr>
      </w:pPr>
      <w:r>
        <w:rPr>
          <w:rStyle w:val="15"/>
          <w:rFonts w:ascii="宋体" w:hAnsi="宋体" w:eastAsia="宋体" w:cs="Segoe UI"/>
          <w:b w:val="0"/>
          <w:bCs w:val="0"/>
          <w:color w:val="0F1115"/>
        </w:rPr>
        <w:t>二、关于补充医疗机构层面支持教师AI教学创新的建议</w:t>
      </w:r>
      <w:r>
        <w:rPr>
          <w:rFonts w:ascii="宋体" w:hAnsi="宋体" w:eastAsia="宋体"/>
        </w:rPr>
        <w:br w:type="textWrapping"/>
      </w:r>
      <w:r>
        <w:rPr>
          <w:rFonts w:ascii="宋体" w:hAnsi="宋体" w:eastAsia="宋体"/>
        </w:rPr>
        <w:t>建议在《方案》的指南或共识部分，考虑补充阐述</w:t>
      </w:r>
      <w:r>
        <w:rPr>
          <w:rStyle w:val="15"/>
          <w:rFonts w:ascii="宋体" w:hAnsi="宋体" w:eastAsia="宋体" w:cs="Segoe UI"/>
          <w:b w:val="0"/>
          <w:bCs w:val="0"/>
          <w:color w:val="0F1115"/>
        </w:rPr>
        <w:t>医疗机构（如医院）应如何从组织管理层面，为教师开展AI教学创新提供支持</w:t>
      </w:r>
      <w:r>
        <w:rPr>
          <w:rFonts w:ascii="宋体" w:hAnsi="宋体" w:eastAsia="宋体"/>
        </w:rPr>
        <w:t>。例如，可借鉴部分医院通过教育科统筹支持的方式，在教师考评、教案评价等环节，认可并激励教师在AI与教学融合方面的创新能力。明确机构层面的支持路径，有助于为一线教师实践提供切实的环境与制度保障。</w:t>
      </w:r>
    </w:p>
    <w:p w14:paraId="43AC9376">
      <w:pPr>
        <w:rPr>
          <w:rFonts w:ascii="宋体" w:hAnsi="宋体" w:eastAsia="宋体"/>
        </w:rPr>
      </w:pPr>
    </w:p>
    <w:p w14:paraId="129A88F8">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专家4</w:t>
      </w:r>
    </w:p>
    <w:p w14:paraId="367598EB">
      <w:pPr>
        <w:rPr>
          <w:rFonts w:ascii="宋体" w:hAnsi="宋体" w:eastAsia="宋体"/>
        </w:rPr>
      </w:pPr>
      <w:r>
        <w:rPr>
          <w:rStyle w:val="15"/>
          <w:rFonts w:ascii="宋体" w:hAnsi="宋体" w:eastAsia="宋体" w:cs="Segoe UI"/>
          <w:b w:val="0"/>
          <w:bCs w:val="0"/>
          <w:color w:val="0F1115"/>
        </w:rPr>
        <w:t>一、关于框架设计的补充建议</w:t>
      </w:r>
    </w:p>
    <w:p w14:paraId="58783341">
      <w:pPr>
        <w:rPr>
          <w:rFonts w:ascii="宋体" w:hAnsi="宋体" w:eastAsia="宋体"/>
        </w:rPr>
      </w:pPr>
      <w:r>
        <w:rPr>
          <w:rStyle w:val="15"/>
          <w:rFonts w:ascii="宋体" w:hAnsi="宋体" w:eastAsia="宋体" w:cs="Segoe UI"/>
          <w:b w:val="0"/>
          <w:bCs w:val="0"/>
          <w:color w:val="0F1115"/>
        </w:rPr>
        <w:t>增设AI素养的发展阶段维度</w:t>
      </w:r>
      <w:r>
        <w:rPr>
          <w:rFonts w:ascii="宋体" w:hAnsi="宋体" w:eastAsia="宋体"/>
        </w:rPr>
        <w:t>：建议在框架中考虑增加对教师AI素养发展阶段的描述（如从新手、进阶、熟练到引领者、创新者等梯度模型）。这将为后续开展个性化的分级培训、以及教师在该领域的晋升发展，提供清晰的依据与路径。</w:t>
      </w:r>
    </w:p>
    <w:p w14:paraId="1653342F">
      <w:pPr>
        <w:rPr>
          <w:rFonts w:ascii="宋体" w:hAnsi="宋体" w:eastAsia="宋体"/>
        </w:rPr>
      </w:pPr>
      <w:r>
        <w:rPr>
          <w:rStyle w:val="15"/>
          <w:rFonts w:ascii="宋体" w:hAnsi="宋体" w:eastAsia="宋体" w:cs="Segoe UI"/>
          <w:b w:val="0"/>
          <w:bCs w:val="0"/>
          <w:color w:val="0F1115"/>
        </w:rPr>
        <w:t>补充跨机构协同的能力条目</w:t>
      </w:r>
      <w:r>
        <w:rPr>
          <w:rFonts w:ascii="宋体" w:hAnsi="宋体" w:eastAsia="宋体"/>
        </w:rPr>
        <w:t>：建议在框架中增加鼓励与支持“跨机构协同”的相关能力描述。鉴于不同医疗机构在资源与技术条件上存在差异，应明确将院企协作、校地合作乃至国际组织协同等作为共建教育生态、促进产学研融合的重要能力予以倡导。</w:t>
      </w:r>
    </w:p>
    <w:p w14:paraId="1105B450">
      <w:pPr>
        <w:rPr>
          <w:rFonts w:ascii="宋体" w:hAnsi="宋体" w:eastAsia="宋体"/>
        </w:rPr>
      </w:pPr>
      <w:r>
        <w:rPr>
          <w:rStyle w:val="15"/>
          <w:rFonts w:ascii="宋体" w:hAnsi="宋体" w:eastAsia="宋体" w:cs="Segoe UI"/>
          <w:b w:val="0"/>
          <w:bCs w:val="0"/>
          <w:color w:val="0F1115"/>
        </w:rPr>
        <w:t>二、关于考评与实施层面的建议</w:t>
      </w:r>
    </w:p>
    <w:p w14:paraId="22E30E3F">
      <w:pPr>
        <w:rPr>
          <w:rFonts w:ascii="宋体" w:hAnsi="宋体" w:eastAsia="宋体"/>
        </w:rPr>
      </w:pPr>
      <w:r>
        <w:rPr>
          <w:rStyle w:val="15"/>
          <w:rFonts w:ascii="宋体" w:hAnsi="宋体" w:eastAsia="宋体" w:cs="Segoe UI"/>
          <w:b w:val="0"/>
          <w:bCs w:val="0"/>
          <w:color w:val="0F1115"/>
        </w:rPr>
        <w:t>推行分层分类的差异化考评</w:t>
      </w:r>
      <w:r>
        <w:rPr>
          <w:rFonts w:ascii="宋体" w:hAnsi="宋体" w:eastAsia="宋体"/>
        </w:rPr>
        <w:t>：在评价层面，建议依据教师的职称、学科背景及教学年限等因素，设计差异化的考评要求，避免“一刀切”。这有助于更合理地反映不同发展阶段教师的责任与任务差别。</w:t>
      </w:r>
    </w:p>
    <w:p w14:paraId="7BA64EAA">
      <w:pPr>
        <w:rPr>
          <w:rFonts w:ascii="宋体" w:hAnsi="宋体" w:eastAsia="宋体"/>
        </w:rPr>
      </w:pPr>
      <w:r>
        <w:rPr>
          <w:rStyle w:val="15"/>
          <w:rFonts w:ascii="宋体" w:hAnsi="宋体" w:eastAsia="宋体" w:cs="Segoe UI"/>
          <w:b w:val="0"/>
          <w:bCs w:val="0"/>
          <w:color w:val="0F1115"/>
        </w:rPr>
        <w:t>推动建立统一的评测工具与平台</w:t>
      </w:r>
      <w:r>
        <w:rPr>
          <w:rFonts w:ascii="宋体" w:hAnsi="宋体" w:eastAsia="宋体"/>
        </w:rPr>
        <w:t>：从长远可操作性考虑，建议未来可探索开发一个全国统一的、标准化的素养评测工具或数据平台。采用共识达成的统一标准进行评价，有助于提升实操性，减少因理解差异带来的评估偏差。</w:t>
      </w:r>
    </w:p>
    <w:p w14:paraId="3624D069">
      <w:pPr>
        <w:rPr>
          <w:rFonts w:ascii="宋体" w:hAnsi="宋体" w:eastAsia="宋体"/>
        </w:rPr>
      </w:pPr>
    </w:p>
    <w:p w14:paraId="0D27F1E2">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专家5</w:t>
      </w:r>
    </w:p>
    <w:p w14:paraId="1277CE3D">
      <w:pPr>
        <w:rPr>
          <w:rFonts w:ascii="宋体" w:hAnsi="宋体" w:eastAsia="宋体"/>
        </w:rPr>
      </w:pPr>
      <w:r>
        <w:rPr>
          <w:rStyle w:val="15"/>
          <w:rFonts w:ascii="宋体" w:hAnsi="宋体" w:eastAsia="宋体" w:cs="Segoe UI"/>
          <w:b w:val="0"/>
          <w:bCs w:val="0"/>
          <w:color w:val="0F1115"/>
        </w:rPr>
        <w:t>一、补充教师对AI生成内容进行批判性评估的能力要求</w:t>
      </w:r>
      <w:r>
        <w:rPr>
          <w:rFonts w:ascii="宋体" w:hAnsi="宋体" w:eastAsia="宋体"/>
        </w:rPr>
        <w:br w:type="textWrapping"/>
      </w:r>
      <w:r>
        <w:rPr>
          <w:rFonts w:ascii="宋体" w:hAnsi="宋体" w:eastAsia="宋体"/>
        </w:rPr>
        <w:t>建议明确要求教师不仅能使用AI工具，更应具备对其生成内容（特别是医学信息、诊断建议、治疗方案等）进行</w:t>
      </w:r>
      <w:r>
        <w:rPr>
          <w:rStyle w:val="15"/>
          <w:rFonts w:ascii="宋体" w:hAnsi="宋体" w:eastAsia="宋体" w:cs="Segoe UI"/>
          <w:b w:val="0"/>
          <w:bCs w:val="0"/>
          <w:color w:val="0F1115"/>
        </w:rPr>
        <w:t>批判性评估</w:t>
      </w:r>
      <w:r>
        <w:rPr>
          <w:rFonts w:ascii="宋体" w:hAnsi="宋体" w:eastAsia="宋体"/>
        </w:rPr>
        <w:t>的自觉与能力。这包括进行事实核查、逻辑推导及临床适应性审视。教师应能通过发现并剖析AI输出的错误或局限，引导学生不盲信AI，从而培养学生对AI的批判性思维，实现从“使用AI”到“驾驭AI”的转变。此能力是真正掌握并负责任地应用该工具的标志。</w:t>
      </w:r>
    </w:p>
    <w:p w14:paraId="192FC684">
      <w:pPr>
        <w:rPr>
          <w:rFonts w:ascii="宋体" w:hAnsi="宋体" w:eastAsia="宋体"/>
        </w:rPr>
      </w:pPr>
      <w:r>
        <w:rPr>
          <w:rStyle w:val="15"/>
          <w:rFonts w:ascii="宋体" w:hAnsi="宋体" w:eastAsia="宋体" w:cs="Segoe UI"/>
          <w:b w:val="0"/>
          <w:bCs w:val="0"/>
          <w:color w:val="0F1115"/>
        </w:rPr>
        <w:t>二、在维度三（AI合规性）中补充对教育应用中公平性与偏见的评估能力</w:t>
      </w:r>
      <w:r>
        <w:rPr>
          <w:rFonts w:ascii="宋体" w:hAnsi="宋体" w:eastAsia="宋体"/>
        </w:rPr>
        <w:br w:type="textWrapping"/>
      </w:r>
      <w:r>
        <w:rPr>
          <w:rFonts w:ascii="宋体" w:hAnsi="宋体" w:eastAsia="宋体"/>
        </w:rPr>
        <w:t>建议在AI合规性相关要求中，补充强调教师需具备</w:t>
      </w:r>
      <w:r>
        <w:rPr>
          <w:rStyle w:val="15"/>
          <w:rFonts w:ascii="宋体" w:hAnsi="宋体" w:eastAsia="宋体" w:cs="Segoe UI"/>
          <w:b w:val="0"/>
          <w:bCs w:val="0"/>
          <w:color w:val="0F1115"/>
        </w:rPr>
        <w:t>识别和评估AI教育应用中潜在偏见与公平性问题的能力</w:t>
      </w:r>
      <w:r>
        <w:rPr>
          <w:rFonts w:ascii="宋体" w:hAnsi="宋体" w:eastAsia="宋体"/>
        </w:rPr>
        <w:t>。教师应意识到，用于训练AI的数据集可能包含偏见，并能在教学实践中识别此类问题。此项能力不仅有助于在教学层面维护公平，亦能使教师作为一线使用者，为AI系统的优化改进提供有价值的反馈。</w:t>
      </w:r>
    </w:p>
    <w:p w14:paraId="58DF6CF3">
      <w:pPr>
        <w:rPr>
          <w:rFonts w:ascii="宋体" w:hAnsi="宋体" w:eastAsia="宋体"/>
        </w:rPr>
      </w:pPr>
    </w:p>
    <w:p w14:paraId="728566E5">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专家6</w:t>
      </w:r>
    </w:p>
    <w:p w14:paraId="1C13FB1B">
      <w:pPr>
        <w:rPr>
          <w:rFonts w:ascii="宋体" w:hAnsi="宋体" w:eastAsia="宋体"/>
        </w:rPr>
      </w:pPr>
      <w:r>
        <w:rPr>
          <w:rStyle w:val="15"/>
          <w:rFonts w:ascii="宋体" w:hAnsi="宋体" w:eastAsia="宋体" w:cs="Segoe UI"/>
          <w:b w:val="0"/>
          <w:bCs w:val="0"/>
          <w:color w:val="0F1115"/>
        </w:rPr>
        <w:t>一、关于考评实施的可行性：建议引入AI工具辅助，实现减负增效</w:t>
      </w:r>
      <w:r>
        <w:rPr>
          <w:rFonts w:ascii="宋体" w:hAnsi="宋体" w:eastAsia="宋体"/>
        </w:rPr>
        <w:br w:type="textWrapping"/>
      </w:r>
      <w:r>
        <w:rPr>
          <w:rFonts w:ascii="宋体" w:hAnsi="宋体" w:eastAsia="宋体"/>
        </w:rPr>
        <w:t>为提升考评效率、减轻专家负担，建议在考评实施部分，积极探索并鼓励引入基于大模型的AI测评工具。该工具可用于辅助完成对教学反思文本等材料的初步分析，并探索通过数字教学平台自动采集教师在教学过程中使用AI工具的相关行为数据，为专家评价提供更全面、客观的数据支持。</w:t>
      </w:r>
    </w:p>
    <w:p w14:paraId="4594F447">
      <w:pPr>
        <w:rPr>
          <w:rFonts w:ascii="宋体" w:hAnsi="宋体" w:eastAsia="宋体"/>
        </w:rPr>
      </w:pPr>
      <w:r>
        <w:rPr>
          <w:rStyle w:val="15"/>
          <w:rFonts w:ascii="宋体" w:hAnsi="宋体" w:eastAsia="宋体" w:cs="Segoe UI"/>
          <w:b w:val="0"/>
          <w:bCs w:val="0"/>
          <w:color w:val="0F1115"/>
        </w:rPr>
        <w:t>二、关于分类评价：建议避免“一刀切”，依据教师类型分层设定能力指标</w:t>
      </w:r>
      <w:r>
        <w:rPr>
          <w:rFonts w:ascii="宋体" w:hAnsi="宋体" w:eastAsia="宋体"/>
        </w:rPr>
        <w:br w:type="textWrapping"/>
      </w:r>
      <w:r>
        <w:rPr>
          <w:rFonts w:ascii="宋体" w:hAnsi="宋体" w:eastAsia="宋体"/>
        </w:rPr>
        <w:t>建议在保持总框架统一的前提下，明确分层评价的思路。针对以临床教学为主的教师，其评价指标应侧重虚拟仿真教学、AI伦理判断及学生素养培育等方面的能力。针对教学科研并重的教师，则应具体化其对接“AI赋能科研创新”的相关能力指标。两者应区别对待，以确保评价的精准性与导向性。</w:t>
      </w:r>
    </w:p>
    <w:p w14:paraId="7E6C2DD8">
      <w:pPr>
        <w:rPr>
          <w:rFonts w:ascii="宋体" w:hAnsi="宋体" w:eastAsia="宋体"/>
        </w:rPr>
      </w:pPr>
      <w:r>
        <w:rPr>
          <w:rStyle w:val="15"/>
          <w:rFonts w:ascii="宋体" w:hAnsi="宋体" w:eastAsia="宋体" w:cs="Segoe UI"/>
          <w:b w:val="0"/>
          <w:bCs w:val="0"/>
          <w:color w:val="0F1115"/>
        </w:rPr>
        <w:t>三、关于强化教师责任：建议在第12项能力中明确增加“数字素养的诊断与干预”要点</w:t>
      </w:r>
      <w:r>
        <w:rPr>
          <w:rFonts w:ascii="宋体" w:hAnsi="宋体" w:eastAsia="宋体"/>
        </w:rPr>
        <w:br w:type="textWrapping"/>
      </w:r>
      <w:r>
        <w:rPr>
          <w:rFonts w:ascii="宋体" w:hAnsi="宋体" w:eastAsia="宋体"/>
        </w:rPr>
        <w:t>面对学生数字基础存在差异的现状，教师应承担起诊断并干预学生数字差距的关键责任。因此，建议在“AI公平应用践行能力”（第12项）的考核要点中，明确增加对教师“数字素养的诊断与干预能力”的要求。</w:t>
      </w:r>
    </w:p>
    <w:p w14:paraId="1727A072">
      <w:pPr>
        <w:rPr>
          <w:rFonts w:ascii="宋体" w:hAnsi="宋体" w:eastAsia="宋体"/>
        </w:rPr>
      </w:pPr>
      <w:r>
        <w:rPr>
          <w:rStyle w:val="15"/>
          <w:rFonts w:ascii="宋体" w:hAnsi="宋体" w:eastAsia="宋体" w:cs="Segoe UI"/>
          <w:b w:val="0"/>
          <w:bCs w:val="0"/>
          <w:color w:val="0F1115"/>
        </w:rPr>
        <w:t>四、关于培训体系建设：建议构建知识映射矩阵，开发标准化师资培训工具包</w:t>
      </w:r>
      <w:r>
        <w:rPr>
          <w:rFonts w:ascii="宋体" w:hAnsi="宋体" w:eastAsia="宋体"/>
        </w:rPr>
        <w:br w:type="textWrapping"/>
      </w:r>
      <w:r>
        <w:rPr>
          <w:rFonts w:ascii="宋体" w:hAnsi="宋体" w:eastAsia="宋体"/>
        </w:rPr>
        <w:t>为系统化培养师生的人工智能素养，建议推动《共识》能力要求与医学信息学等教材内容相衔接。可探索构建相应的“知识映射矩阵”，并以此为基础，开发标准化的师资培训工具包，明确“学什么”与“学到何种程度”，从而为AI素养的培养提供清晰的路径与扎实的知识基础。</w:t>
      </w:r>
    </w:p>
    <w:p w14:paraId="6642FB52">
      <w:pPr>
        <w:rPr>
          <w:rFonts w:ascii="宋体" w:hAnsi="宋体" w:eastAsia="宋体"/>
        </w:rPr>
      </w:pPr>
    </w:p>
    <w:p w14:paraId="1D05D292">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专家7</w:t>
      </w:r>
    </w:p>
    <w:p w14:paraId="34137CFE">
      <w:pPr>
        <w:rPr>
          <w:rFonts w:ascii="宋体" w:hAnsi="宋体" w:eastAsia="宋体"/>
        </w:rPr>
      </w:pPr>
      <w:r>
        <w:rPr>
          <w:rStyle w:val="15"/>
          <w:rFonts w:ascii="宋体" w:hAnsi="宋体" w:eastAsia="宋体" w:cs="Segoe UI"/>
          <w:b w:val="0"/>
          <w:bCs w:val="0"/>
          <w:color w:val="0F1115"/>
        </w:rPr>
        <w:t>一、关于数据使用：建议审慎平衡数据精准性与患者隐私保护</w:t>
      </w:r>
      <w:r>
        <w:rPr>
          <w:rFonts w:ascii="宋体" w:hAnsi="宋体" w:eastAsia="宋体"/>
        </w:rPr>
        <w:br w:type="textWrapping"/>
      </w:r>
      <w:r>
        <w:rPr>
          <w:rFonts w:ascii="宋体" w:hAnsi="宋体" w:eastAsia="宋体"/>
        </w:rPr>
        <w:t>在培养学生使用数据时，应避免“一刀切”的简单要求。需引导学生理解，在医疗AI模型训练中，数据的精准性需求与患者隐私保护之间存在需要权衡的博弈关系。建议在共识中提及，可通过采用如</w:t>
      </w:r>
      <w:r>
        <w:rPr>
          <w:rStyle w:val="15"/>
          <w:rFonts w:ascii="宋体" w:hAnsi="宋体" w:eastAsia="宋体" w:cs="Segoe UI"/>
          <w:b w:val="0"/>
          <w:bCs w:val="0"/>
          <w:color w:val="0F1115"/>
        </w:rPr>
        <w:t>联邦学习、差分隐私、端边云融合</w:t>
      </w:r>
      <w:r>
        <w:rPr>
          <w:rFonts w:ascii="宋体" w:hAnsi="宋体" w:eastAsia="宋体"/>
        </w:rPr>
        <w:t>等技术架构，在保护原始数据不集中泄露的前提下，实现知识的协同与模型的进化，从而在伦理规范内寻求更优解。</w:t>
      </w:r>
    </w:p>
    <w:p w14:paraId="6AAEF9EE">
      <w:pPr>
        <w:rPr>
          <w:rFonts w:ascii="宋体" w:hAnsi="宋体" w:eastAsia="宋体"/>
        </w:rPr>
      </w:pPr>
      <w:r>
        <w:rPr>
          <w:rStyle w:val="15"/>
          <w:rFonts w:ascii="宋体" w:hAnsi="宋体" w:eastAsia="宋体" w:cs="Segoe UI"/>
          <w:b w:val="0"/>
          <w:bCs w:val="0"/>
          <w:color w:val="0F1115"/>
        </w:rPr>
        <w:t>二、关于能力培养定位：建议侧重认知与理解，而非编程技能</w:t>
      </w:r>
      <w:r>
        <w:rPr>
          <w:rFonts w:ascii="宋体" w:hAnsi="宋体" w:eastAsia="宋体"/>
        </w:rPr>
        <w:br w:type="textWrapping"/>
      </w:r>
      <w:r>
        <w:rPr>
          <w:rFonts w:ascii="宋体" w:hAnsi="宋体" w:eastAsia="宋体"/>
        </w:rPr>
        <w:t>对于医学生的AI素养培养，应明确其核心在于建立工程思维、伦理判断及理解人机协同决策过程，而非成为技术开发者。考虑到医学生的知识结构，建议在培养要求中：</w:t>
      </w:r>
    </w:p>
    <w:p w14:paraId="55B7219C">
      <w:pPr>
        <w:rPr>
          <w:rFonts w:ascii="宋体" w:hAnsi="宋体" w:eastAsia="宋体"/>
        </w:rPr>
      </w:pPr>
      <w:r>
        <w:rPr>
          <w:rFonts w:ascii="宋体" w:hAnsi="宋体" w:eastAsia="宋体"/>
        </w:rPr>
        <w:t>强调对“</w:t>
      </w:r>
      <w:r>
        <w:rPr>
          <w:rStyle w:val="15"/>
          <w:rFonts w:ascii="宋体" w:hAnsi="宋体" w:eastAsia="宋体" w:cs="Segoe UI"/>
          <w:b w:val="0"/>
          <w:bCs w:val="0"/>
          <w:color w:val="0F1115"/>
        </w:rPr>
        <w:t>专家如何介入AI决策</w:t>
      </w:r>
      <w:r>
        <w:rPr>
          <w:rFonts w:ascii="宋体" w:hAnsi="宋体" w:eastAsia="宋体"/>
        </w:rPr>
        <w:t>”这一关键过程的理解。</w:t>
      </w:r>
    </w:p>
    <w:p w14:paraId="6D914B11">
      <w:pPr>
        <w:rPr>
          <w:rFonts w:ascii="宋体" w:hAnsi="宋体" w:eastAsia="宋体"/>
        </w:rPr>
      </w:pPr>
      <w:r>
        <w:rPr>
          <w:rFonts w:ascii="宋体" w:hAnsi="宋体" w:eastAsia="宋体"/>
        </w:rPr>
        <w:t>在工程思维与技能层面，应侧重提升其在</w:t>
      </w:r>
      <w:r>
        <w:rPr>
          <w:rStyle w:val="15"/>
          <w:rFonts w:ascii="宋体" w:hAnsi="宋体" w:eastAsia="宋体" w:cs="Segoe UI"/>
          <w:b w:val="0"/>
          <w:bCs w:val="0"/>
          <w:color w:val="0F1115"/>
        </w:rPr>
        <w:t>认知层面</w:t>
      </w:r>
      <w:r>
        <w:rPr>
          <w:rFonts w:ascii="宋体" w:hAnsi="宋体" w:eastAsia="宋体"/>
        </w:rPr>
        <w:t>对AI原理、局限与应用逻辑的理解，对编程等具体技能可降低要求，避免设置不切实际的学习负担。</w:t>
      </w:r>
    </w:p>
    <w:p w14:paraId="79F9AC81">
      <w:pPr>
        <w:rPr>
          <w:rFonts w:ascii="宋体" w:hAnsi="宋体" w:eastAsia="宋体"/>
        </w:rPr>
      </w:pPr>
    </w:p>
    <w:p w14:paraId="3F7DE094">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专家8</w:t>
      </w:r>
    </w:p>
    <w:p w14:paraId="2F2B4E07">
      <w:pPr>
        <w:rPr>
          <w:rFonts w:ascii="宋体" w:hAnsi="宋体" w:eastAsia="宋体"/>
        </w:rPr>
      </w:pPr>
      <w:r>
        <w:rPr>
          <w:rStyle w:val="15"/>
          <w:rFonts w:ascii="宋体" w:hAnsi="宋体" w:eastAsia="宋体" w:cs="Segoe UI"/>
          <w:b w:val="0"/>
          <w:bCs w:val="0"/>
          <w:color w:val="0F1115"/>
        </w:rPr>
        <w:t>一、关于术语使用的建议</w:t>
      </w:r>
      <w:r>
        <w:rPr>
          <w:rFonts w:ascii="宋体" w:hAnsi="宋体" w:eastAsia="宋体"/>
        </w:rPr>
        <w:br w:type="textWrapping"/>
      </w:r>
      <w:r>
        <w:rPr>
          <w:rFonts w:ascii="宋体" w:hAnsi="宋体" w:eastAsia="宋体"/>
        </w:rPr>
        <w:t>建议在《共识》定稿阶段，组织专家对核心术语进行讨论并予以明确。例如，当前清单使用的名称“AI素养和能力”或“AI素养能力”，其准确性与统一性有待商定，以确保后续推广的规范性。</w:t>
      </w:r>
    </w:p>
    <w:p w14:paraId="2B5D32CB">
      <w:pPr>
        <w:rPr>
          <w:rFonts w:ascii="宋体" w:hAnsi="宋体" w:eastAsia="宋体"/>
        </w:rPr>
      </w:pPr>
      <w:r>
        <w:rPr>
          <w:rStyle w:val="15"/>
          <w:rFonts w:ascii="宋体" w:hAnsi="宋体" w:eastAsia="宋体" w:cs="Segoe UI"/>
          <w:b w:val="0"/>
          <w:bCs w:val="0"/>
          <w:color w:val="0F1115"/>
        </w:rPr>
        <w:t>二、关于测评体系未来发展的建议</w:t>
      </w:r>
    </w:p>
    <w:p w14:paraId="31725DD4">
      <w:pPr>
        <w:rPr>
          <w:rFonts w:ascii="宋体" w:hAnsi="宋体" w:eastAsia="宋体"/>
        </w:rPr>
      </w:pPr>
      <w:r>
        <w:rPr>
          <w:rStyle w:val="15"/>
          <w:rFonts w:ascii="宋体" w:hAnsi="宋体" w:eastAsia="宋体" w:cs="Segoe UI"/>
          <w:b w:val="0"/>
          <w:bCs w:val="0"/>
          <w:color w:val="0F1115"/>
        </w:rPr>
        <w:t>肯定当前框架</w:t>
      </w:r>
      <w:r>
        <w:rPr>
          <w:rFonts w:ascii="宋体" w:hAnsi="宋体" w:eastAsia="宋体"/>
        </w:rPr>
        <w:t>：赞同《共识》现有框架中“分层分类”的指引思路，认为其作为测评框架是合理的。</w:t>
      </w:r>
    </w:p>
    <w:p w14:paraId="0B865DD1">
      <w:pPr>
        <w:rPr>
          <w:rFonts w:ascii="宋体" w:hAnsi="宋体" w:eastAsia="宋体"/>
        </w:rPr>
      </w:pPr>
      <w:r>
        <w:rPr>
          <w:rStyle w:val="15"/>
          <w:rFonts w:ascii="宋体" w:hAnsi="宋体" w:eastAsia="宋体" w:cs="Segoe UI"/>
          <w:b w:val="0"/>
          <w:bCs w:val="0"/>
          <w:color w:val="0F1115"/>
        </w:rPr>
        <w:t>明确后续发展路径</w:t>
      </w:r>
      <w:r>
        <w:rPr>
          <w:rFonts w:ascii="宋体" w:hAnsi="宋体" w:eastAsia="宋体"/>
        </w:rPr>
        <w:t>：建议在后续构建具体测评体系时，可考虑分两步走：</w:t>
      </w:r>
    </w:p>
    <w:p w14:paraId="3CC9DF90">
      <w:pPr>
        <w:rPr>
          <w:rFonts w:ascii="宋体" w:hAnsi="宋体" w:eastAsia="宋体"/>
        </w:rPr>
      </w:pPr>
      <w:r>
        <w:rPr>
          <w:rStyle w:val="15"/>
          <w:rFonts w:ascii="宋体" w:hAnsi="宋体" w:eastAsia="宋体" w:cs="Segoe UI"/>
          <w:b w:val="0"/>
          <w:bCs w:val="0"/>
          <w:color w:val="0F1115"/>
        </w:rPr>
        <w:t>诊断性（过程性）评价</w:t>
      </w:r>
      <w:r>
        <w:rPr>
          <w:rFonts w:ascii="宋体" w:hAnsi="宋体" w:eastAsia="宋体"/>
        </w:rPr>
        <w:t>：旨在帮助教师发现自身不足并促进提升。</w:t>
      </w:r>
    </w:p>
    <w:p w14:paraId="2792597A">
      <w:pPr>
        <w:rPr>
          <w:rFonts w:ascii="宋体" w:hAnsi="宋体" w:eastAsia="宋体"/>
        </w:rPr>
      </w:pPr>
      <w:r>
        <w:rPr>
          <w:rStyle w:val="15"/>
          <w:rFonts w:ascii="宋体" w:hAnsi="宋体" w:eastAsia="宋体" w:cs="Segoe UI"/>
          <w:b w:val="0"/>
          <w:bCs w:val="0"/>
          <w:color w:val="0F1115"/>
        </w:rPr>
        <w:t>认证性评价</w:t>
      </w:r>
      <w:r>
        <w:rPr>
          <w:rFonts w:ascii="宋体" w:hAnsi="宋体" w:eastAsia="宋体"/>
        </w:rPr>
        <w:t>：可着眼于未来，以推动形成行业团体标准或国家标准为目标进行探索。</w:t>
      </w:r>
    </w:p>
    <w:p w14:paraId="347F5FB5">
      <w:pPr>
        <w:rPr>
          <w:rFonts w:ascii="宋体" w:hAnsi="宋体" w:eastAsia="宋体"/>
        </w:rPr>
      </w:pPr>
    </w:p>
    <w:p w14:paraId="108C8323">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专家9</w:t>
      </w:r>
    </w:p>
    <w:p w14:paraId="0961E94B">
      <w:pPr>
        <w:rPr>
          <w:rFonts w:ascii="宋体" w:hAnsi="宋体" w:eastAsia="宋体"/>
        </w:rPr>
      </w:pPr>
      <w:r>
        <w:rPr>
          <w:rStyle w:val="15"/>
          <w:rFonts w:ascii="宋体" w:hAnsi="宋体" w:eastAsia="宋体" w:cs="Segoe UI"/>
          <w:b w:val="0"/>
          <w:bCs w:val="0"/>
          <w:color w:val="0F1115"/>
        </w:rPr>
        <w:t>一、关于评价指标的量化与测评方法</w:t>
      </w:r>
    </w:p>
    <w:p w14:paraId="0C3F87F0">
      <w:pPr>
        <w:rPr>
          <w:rFonts w:ascii="宋体" w:hAnsi="宋体" w:eastAsia="宋体"/>
        </w:rPr>
      </w:pPr>
      <w:r>
        <w:rPr>
          <w:rStyle w:val="15"/>
          <w:rFonts w:ascii="宋体" w:hAnsi="宋体" w:eastAsia="宋体" w:cs="Segoe UI"/>
          <w:b w:val="0"/>
          <w:bCs w:val="0"/>
          <w:color w:val="0F1115"/>
        </w:rPr>
        <w:t>增强评价方法的一致性</w:t>
      </w:r>
      <w:r>
        <w:rPr>
          <w:rFonts w:ascii="宋体" w:hAnsi="宋体" w:eastAsia="宋体"/>
        </w:rPr>
        <w:t>：现有部分指标设定了精确的量化权重（如百分之几），但对应的测评方法如何具体操作、由谁评定尚不明确，可能导致评价结果因人而异、一致性较差。建议对这类指标的测评方式予以明确，例如，可通过设计限定性任务由指定评审进行评定，或采用更宏观、一致的描述性界定来增强可操作性。</w:t>
      </w:r>
    </w:p>
    <w:p w14:paraId="7C4EC3AC">
      <w:pPr>
        <w:rPr>
          <w:rFonts w:ascii="宋体" w:hAnsi="宋体" w:eastAsia="宋体"/>
        </w:rPr>
      </w:pPr>
      <w:r>
        <w:rPr>
          <w:rStyle w:val="15"/>
          <w:rFonts w:ascii="宋体" w:hAnsi="宋体" w:eastAsia="宋体" w:cs="Segoe UI"/>
          <w:b w:val="0"/>
          <w:bCs w:val="0"/>
          <w:color w:val="0F1115"/>
        </w:rPr>
        <w:t>统一量化要求的完整性</w:t>
      </w:r>
      <w:r>
        <w:rPr>
          <w:rFonts w:ascii="宋体" w:hAnsi="宋体" w:eastAsia="宋体"/>
        </w:rPr>
        <w:t>：部分能力（如“学生AI素养培育能力”）在考核方法中缺乏可定量化的描述，与整体框架的量化风格不符。建议对所有预期需定量评价的指标，均补充说明其具体的测评方法，以确保体系的完整性与可执行性。</w:t>
      </w:r>
    </w:p>
    <w:p w14:paraId="74B5943E">
      <w:pPr>
        <w:rPr>
          <w:rFonts w:ascii="宋体" w:hAnsi="宋体" w:eastAsia="宋体"/>
        </w:rPr>
      </w:pPr>
      <w:r>
        <w:rPr>
          <w:rStyle w:val="15"/>
          <w:rFonts w:ascii="宋体" w:hAnsi="宋体" w:eastAsia="宋体" w:cs="Segoe UI"/>
          <w:b w:val="0"/>
          <w:bCs w:val="0"/>
          <w:color w:val="0F1115"/>
        </w:rPr>
        <w:t>二、关于评价体系的专业与角色分类</w:t>
      </w:r>
      <w:r>
        <w:rPr>
          <w:rFonts w:ascii="宋体" w:hAnsi="宋体" w:eastAsia="宋体"/>
        </w:rPr>
        <w:br w:type="textWrapping"/>
      </w:r>
      <w:r>
        <w:rPr>
          <w:rFonts w:ascii="宋体" w:hAnsi="宋体" w:eastAsia="宋体"/>
        </w:rPr>
        <w:t>建议考虑医学内部的多样性，对评价体系进行更精细的分类设计。当前框架主要面向通用型教师，建议进一步探讨：对于不同专业领域（如中医与西医），以及承担不同主要职责的教师（如侧重于临床、教学或科研的教师），其AI素养的评价重点与作用是否应有所区分。这有助于提升评价的针对性与合理性。</w:t>
      </w:r>
    </w:p>
    <w:p w14:paraId="75050AFA">
      <w:pPr>
        <w:rPr>
          <w:rFonts w:ascii="宋体" w:hAnsi="宋体" w:eastAsia="宋体"/>
        </w:rPr>
      </w:pPr>
    </w:p>
    <w:p w14:paraId="1E0D0531">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专家10</w:t>
      </w:r>
    </w:p>
    <w:p w14:paraId="07B4A054">
      <w:pPr>
        <w:rPr>
          <w:rFonts w:ascii="宋体" w:hAnsi="宋体" w:eastAsia="宋体"/>
          <w:kern w:val="0"/>
          <w:sz w:val="24"/>
          <w14:ligatures w14:val="none"/>
        </w:rPr>
      </w:pPr>
      <w:r>
        <w:rPr>
          <w:rFonts w:ascii="宋体" w:hAnsi="宋体" w:eastAsia="宋体"/>
          <w:kern w:val="0"/>
          <w:sz w:val="24"/>
          <w14:ligatures w14:val="none"/>
        </w:rPr>
        <w:t>一、关于人工智能的界定</w:t>
      </w:r>
      <w:r>
        <w:rPr>
          <w:rFonts w:ascii="宋体" w:hAnsi="宋体" w:eastAsia="宋体"/>
          <w:kern w:val="0"/>
          <w:sz w:val="24"/>
          <w14:ligatures w14:val="none"/>
        </w:rPr>
        <w:br w:type="textWrapping"/>
      </w:r>
      <w:r>
        <w:rPr>
          <w:rFonts w:ascii="宋体" w:hAnsi="宋体" w:eastAsia="宋体"/>
          <w:kern w:val="0"/>
          <w:sz w:val="24"/>
          <w14:ligatures w14:val="none"/>
        </w:rPr>
        <w:t>建议将素养培养的核心更明确地聚焦于“生成式人工智能”（尤其是大模型驱动）在当前及未来的影响。相关能力描述应更多围绕大模型支持的内容生成（文本、多模态）及其在医学领域的场景化应用来展开。</w:t>
      </w:r>
    </w:p>
    <w:p w14:paraId="377774DB">
      <w:pPr>
        <w:rPr>
          <w:rFonts w:ascii="宋体" w:hAnsi="宋体" w:eastAsia="宋体"/>
          <w:kern w:val="0"/>
          <w:sz w:val="24"/>
          <w14:ligatures w14:val="none"/>
        </w:rPr>
      </w:pPr>
      <w:r>
        <w:rPr>
          <w:rFonts w:ascii="宋体" w:hAnsi="宋体" w:eastAsia="宋体"/>
          <w:kern w:val="0"/>
          <w:sz w:val="24"/>
          <w14:ligatures w14:val="none"/>
        </w:rPr>
        <w:t>二、关于评价维度的划分依据</w:t>
      </w:r>
      <w:r>
        <w:rPr>
          <w:rFonts w:ascii="宋体" w:hAnsi="宋体" w:eastAsia="宋体"/>
          <w:kern w:val="0"/>
          <w:sz w:val="24"/>
          <w14:ligatures w14:val="none"/>
        </w:rPr>
        <w:br w:type="textWrapping"/>
      </w:r>
      <w:r>
        <w:rPr>
          <w:rFonts w:ascii="宋体" w:hAnsi="宋体" w:eastAsia="宋体"/>
          <w:kern w:val="0"/>
          <w:sz w:val="24"/>
          <w14:ligatures w14:val="none"/>
        </w:rPr>
        <w:t>建议教师素养的分级不应以“职称”（如教授、中级）或“专业”（如中医、西医）为主要区分依据。更合理的做法是，参考联合国教科文组织等国内外相关素养框架，依据教师对人工智能本身的认知、理解、应用与创新的不同层次进行等级划分。这更符合“素养”的通识性与发展性本质。</w:t>
      </w:r>
    </w:p>
    <w:p w14:paraId="7CCAD431">
      <w:pPr>
        <w:rPr>
          <w:rFonts w:ascii="宋体" w:hAnsi="宋体" w:eastAsia="宋体"/>
          <w:kern w:val="0"/>
          <w:sz w:val="24"/>
          <w14:ligatures w14:val="none"/>
        </w:rPr>
      </w:pPr>
      <w:r>
        <w:rPr>
          <w:rFonts w:ascii="宋体" w:hAnsi="宋体" w:eastAsia="宋体"/>
          <w:kern w:val="0"/>
          <w:sz w:val="24"/>
          <w14:ligatures w14:val="none"/>
        </w:rPr>
        <w:t>三、关于框架结构的优化</w:t>
      </w:r>
      <w:r>
        <w:rPr>
          <w:rFonts w:ascii="宋体" w:hAnsi="宋体" w:eastAsia="宋体"/>
          <w:kern w:val="0"/>
          <w:sz w:val="24"/>
          <w14:ligatures w14:val="none"/>
        </w:rPr>
        <w:br w:type="textWrapping"/>
      </w:r>
      <w:r>
        <w:rPr>
          <w:rFonts w:ascii="宋体" w:hAnsi="宋体" w:eastAsia="宋体"/>
          <w:kern w:val="0"/>
          <w:sz w:val="24"/>
          <w14:ligatures w14:val="none"/>
        </w:rPr>
        <w:t>建议将“AI以人为本/向善”作为统领性的首要维度。这与作为底线要求的“伦理合规”维度有所区别，更侧重于在医疗健康领域应用AI的根本价值导向。其后，再依次展开技术、教学应用等维度，使框架结构更具高度与国际共识。</w:t>
      </w:r>
    </w:p>
    <w:p w14:paraId="0C3B4574">
      <w:pPr>
        <w:rPr>
          <w:rFonts w:ascii="宋体" w:hAnsi="宋体" w:eastAsia="宋体" w:cs="宋体"/>
          <w:kern w:val="0"/>
          <w:sz w:val="24"/>
          <w14:ligatures w14:val="none"/>
        </w:rPr>
      </w:pPr>
    </w:p>
    <w:p w14:paraId="6B06BE12">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专家11</w:t>
      </w:r>
    </w:p>
    <w:p w14:paraId="44510592">
      <w:pPr>
        <w:rPr>
          <w:rFonts w:ascii="宋体" w:hAnsi="宋体" w:eastAsia="宋体"/>
        </w:rPr>
      </w:pPr>
      <w:r>
        <w:rPr>
          <w:rStyle w:val="15"/>
          <w:rFonts w:ascii="宋体" w:hAnsi="宋体" w:eastAsia="宋体" w:cs="Segoe UI"/>
          <w:b w:val="0"/>
          <w:bCs w:val="0"/>
          <w:color w:val="0F1115"/>
        </w:rPr>
        <w:t>一、关于优化框架结构的建议</w:t>
      </w:r>
      <w:r>
        <w:rPr>
          <w:rFonts w:ascii="宋体" w:hAnsi="宋体" w:eastAsia="宋体"/>
        </w:rPr>
        <w:br w:type="textWrapping"/>
      </w:r>
      <w:r>
        <w:rPr>
          <w:rFonts w:ascii="宋体" w:hAnsi="宋体" w:eastAsia="宋体"/>
        </w:rPr>
        <w:t>为使《共识》的主体框架更清晰、便于快速传播与理解，建议考虑对其结构进行优化：将“考核要点”与“评测方法”等具体、实操性内容，从主体框架中剥离，</w:t>
      </w:r>
      <w:r>
        <w:rPr>
          <w:rStyle w:val="15"/>
          <w:rFonts w:ascii="宋体" w:hAnsi="宋体" w:eastAsia="宋体" w:cs="Segoe UI"/>
          <w:b w:val="0"/>
          <w:bCs w:val="0"/>
          <w:color w:val="0F1115"/>
        </w:rPr>
        <w:t>作为附件形式呈现</w:t>
      </w:r>
      <w:r>
        <w:rPr>
          <w:rFonts w:ascii="宋体" w:hAnsi="宋体" w:eastAsia="宋体"/>
        </w:rPr>
        <w:t>。主体部分可聚焦于内涵界定、能力维度与核心要求。这样既保持了框架的简洁性与引领性，又能在需要具体评估操作时，方便使用者从附件中获取详细信息。</w:t>
      </w:r>
    </w:p>
    <w:p w14:paraId="734F8296">
      <w:pPr>
        <w:rPr>
          <w:rFonts w:ascii="宋体" w:hAnsi="宋体" w:eastAsia="宋体"/>
        </w:rPr>
      </w:pPr>
      <w:r>
        <w:rPr>
          <w:rStyle w:val="15"/>
          <w:rFonts w:ascii="宋体" w:hAnsi="宋体" w:eastAsia="宋体" w:cs="Segoe UI"/>
          <w:b w:val="0"/>
          <w:bCs w:val="0"/>
          <w:color w:val="0F1115"/>
        </w:rPr>
        <w:t>二、关于推动框架落地应用与持续完善的建议</w:t>
      </w:r>
    </w:p>
    <w:p w14:paraId="4C519872">
      <w:pPr>
        <w:rPr>
          <w:rFonts w:ascii="宋体" w:hAnsi="宋体" w:eastAsia="宋体"/>
        </w:rPr>
      </w:pPr>
      <w:r>
        <w:rPr>
          <w:rStyle w:val="15"/>
          <w:rFonts w:ascii="宋体" w:hAnsi="宋体" w:eastAsia="宋体" w:cs="Segoe UI"/>
          <w:b w:val="0"/>
          <w:bCs w:val="0"/>
          <w:color w:val="0F1115"/>
        </w:rPr>
        <w:t>在实践中验证与优化</w:t>
      </w:r>
      <w:r>
        <w:rPr>
          <w:rFonts w:ascii="宋体" w:hAnsi="宋体" w:eastAsia="宋体"/>
        </w:rPr>
        <w:t>：认同部分评测指标的具体合理性，需在实际应用中进行检验与印证。建议鼓励各机构在实践中对框架进行试用与反馈，以实现持续优化。</w:t>
      </w:r>
    </w:p>
    <w:p w14:paraId="71523317">
      <w:pPr>
        <w:rPr>
          <w:rFonts w:ascii="宋体" w:hAnsi="宋体" w:eastAsia="宋体"/>
        </w:rPr>
      </w:pPr>
      <w:r>
        <w:rPr>
          <w:rStyle w:val="15"/>
          <w:rFonts w:ascii="宋体" w:hAnsi="宋体" w:eastAsia="宋体" w:cs="Segoe UI"/>
          <w:b w:val="0"/>
          <w:bCs w:val="0"/>
          <w:color w:val="0F1115"/>
        </w:rPr>
        <w:t>倡导积极应用与结合</w:t>
      </w:r>
      <w:r>
        <w:rPr>
          <w:rFonts w:ascii="宋体" w:hAnsi="宋体" w:eastAsia="宋体"/>
        </w:rPr>
        <w:t>：支持将《共识》框架积极应用于具体工作场景（如医院对员工及青年医生的AI教学培训、课程开发与师资建设中）。通过在真实的教学与培训项目中应用此框架，可深化理解，并为框架的迭代完善提供基于实践的重要依据。</w:t>
      </w:r>
    </w:p>
    <w:p w14:paraId="797EE5D9">
      <w:pPr>
        <w:rPr>
          <w:rFonts w:ascii="宋体" w:hAnsi="宋体" w:eastAsia="宋体"/>
        </w:rPr>
      </w:pPr>
    </w:p>
    <w:p w14:paraId="092A9F27">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专家12</w:t>
      </w:r>
    </w:p>
    <w:p w14:paraId="2B1F47FC">
      <w:pPr>
        <w:rPr>
          <w:rFonts w:ascii="宋体" w:hAnsi="宋体" w:eastAsia="宋体"/>
        </w:rPr>
      </w:pPr>
      <w:r>
        <w:rPr>
          <w:rStyle w:val="15"/>
          <w:rFonts w:ascii="宋体" w:hAnsi="宋体" w:eastAsia="宋体" w:cs="Segoe UI"/>
          <w:b w:val="0"/>
          <w:bCs w:val="0"/>
          <w:color w:val="0F1115"/>
        </w:rPr>
        <w:t>一、关于框架的学科普适性与发展定位</w:t>
      </w:r>
      <w:r>
        <w:rPr>
          <w:rFonts w:ascii="宋体" w:hAnsi="宋体" w:eastAsia="宋体"/>
        </w:rPr>
        <w:br w:type="textWrapping"/>
      </w:r>
      <w:r>
        <w:rPr>
          <w:rFonts w:ascii="宋体" w:hAnsi="宋体" w:eastAsia="宋体"/>
        </w:rPr>
        <w:t>在当前AI时代，基于通用算法与平台的能力培养，可能倾向于</w:t>
      </w:r>
      <w:r>
        <w:rPr>
          <w:rStyle w:val="15"/>
          <w:rFonts w:ascii="宋体" w:hAnsi="宋体" w:eastAsia="宋体" w:cs="Segoe UI"/>
          <w:b w:val="0"/>
          <w:bCs w:val="0"/>
          <w:color w:val="0F1115"/>
        </w:rPr>
        <w:t>弱化传统学科间的差异</w:t>
      </w:r>
      <w:r>
        <w:rPr>
          <w:rFonts w:ascii="宋体" w:hAnsi="宋体" w:eastAsia="宋体"/>
        </w:rPr>
        <w:t>。因此，《共识》框架的构建，可更侧重于医学领域的共通性核心素养，而非过度针对细分学科（如药学、基础医学等）进行差异化设计。这有助于建立一个更具统合性的评价与培养基线。</w:t>
      </w:r>
    </w:p>
    <w:p w14:paraId="6A194DEF">
      <w:pPr>
        <w:rPr>
          <w:rFonts w:ascii="宋体" w:hAnsi="宋体" w:eastAsia="宋体"/>
        </w:rPr>
      </w:pPr>
      <w:r>
        <w:rPr>
          <w:rStyle w:val="15"/>
          <w:rFonts w:ascii="宋体" w:hAnsi="宋体" w:eastAsia="宋体" w:cs="Segoe UI"/>
          <w:b w:val="0"/>
          <w:bCs w:val="0"/>
          <w:color w:val="0F1115"/>
        </w:rPr>
        <w:t>二、关于保持框架的动态性与开放性</w:t>
      </w:r>
      <w:r>
        <w:rPr>
          <w:rFonts w:ascii="宋体" w:hAnsi="宋体" w:eastAsia="宋体"/>
        </w:rPr>
        <w:br w:type="textWrapping"/>
      </w:r>
      <w:r>
        <w:rPr>
          <w:rFonts w:ascii="宋体" w:hAnsi="宋体" w:eastAsia="宋体"/>
        </w:rPr>
        <w:t>AI技术与平台处于快速迭代之中。建议明确《共识》框架本身应是一个</w:t>
      </w:r>
      <w:r>
        <w:rPr>
          <w:rStyle w:val="15"/>
          <w:rFonts w:ascii="宋体" w:hAnsi="宋体" w:eastAsia="宋体" w:cs="Segoe UI"/>
          <w:b w:val="0"/>
          <w:bCs w:val="0"/>
          <w:color w:val="0F1115"/>
        </w:rPr>
        <w:t>动态发展、持续演进</w:t>
      </w:r>
      <w:r>
        <w:rPr>
          <w:rFonts w:ascii="宋体" w:hAnsi="宋体" w:eastAsia="宋体"/>
        </w:rPr>
        <w:t>的开放性指南，而非一成不变的固定标准。其维度和内涵应保有根据技术发展与实践反馈进行定期审视与更新的空间与机制。</w:t>
      </w:r>
    </w:p>
    <w:p w14:paraId="67CFBD49">
      <w:pPr>
        <w:rPr>
          <w:rFonts w:ascii="宋体" w:hAnsi="宋体" w:eastAsia="宋体"/>
        </w:rPr>
      </w:pPr>
      <w:r>
        <w:rPr>
          <w:rStyle w:val="15"/>
          <w:rFonts w:ascii="宋体" w:hAnsi="宋体" w:eastAsia="宋体" w:cs="Segoe UI"/>
          <w:b w:val="0"/>
          <w:bCs w:val="0"/>
          <w:color w:val="0F1115"/>
        </w:rPr>
        <w:t>三、关于对教学与实践关系的认识</w:t>
      </w:r>
      <w:r>
        <w:rPr>
          <w:rFonts w:ascii="宋体" w:hAnsi="宋体" w:eastAsia="宋体"/>
        </w:rPr>
        <w:br w:type="textWrapping"/>
      </w:r>
      <w:r>
        <w:rPr>
          <w:rFonts w:ascii="宋体" w:hAnsi="宋体" w:eastAsia="宋体"/>
        </w:rPr>
        <w:t>在AI素养教育中，教师与学生在一定程度上处于</w:t>
      </w:r>
      <w:r>
        <w:rPr>
          <w:rStyle w:val="35"/>
          <w:rFonts w:ascii="宋体" w:hAnsi="宋体" w:eastAsia="宋体" w:cs="Segoe UI"/>
          <w:color w:val="0F1115"/>
        </w:rPr>
        <w:t> </w:t>
      </w:r>
      <w:r>
        <w:rPr>
          <w:rStyle w:val="15"/>
          <w:rFonts w:ascii="宋体" w:hAnsi="宋体" w:eastAsia="宋体" w:cs="Segoe UI"/>
          <w:b w:val="0"/>
          <w:bCs w:val="0"/>
          <w:color w:val="0F1115"/>
        </w:rPr>
        <w:t>“共同学习与探索”</w:t>
      </w:r>
      <w:r>
        <w:rPr>
          <w:rStyle w:val="35"/>
          <w:rFonts w:ascii="宋体" w:hAnsi="宋体" w:eastAsia="宋体" w:cs="Segoe UI"/>
          <w:color w:val="0F1115"/>
        </w:rPr>
        <w:t> </w:t>
      </w:r>
      <w:r>
        <w:rPr>
          <w:rFonts w:ascii="宋体" w:hAnsi="宋体" w:eastAsia="宋体"/>
        </w:rPr>
        <w:t>的关系中。尤其面对部分学生可能具备更强的技术探索能力，框架的设计需考虑如何引导这种能力正向发展，并关注其对教学数据环境可能产生的影响（如避免引入低质数据干扰已训练的模型）。框架应能助力师生在这一过程中的协同进步。</w:t>
      </w:r>
    </w:p>
    <w:p w14:paraId="639805F5">
      <w:pPr>
        <w:rPr>
          <w:rFonts w:hint="eastAsia" w:ascii="宋体" w:hAnsi="宋体" w:eastAsia="宋体"/>
        </w:rPr>
      </w:pPr>
    </w:p>
    <w:p w14:paraId="7D4F56BF">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专家13</w:t>
      </w:r>
    </w:p>
    <w:p w14:paraId="00D20AB0">
      <w:pPr>
        <w:rPr>
          <w:rFonts w:ascii="宋体" w:hAnsi="宋体" w:eastAsia="宋体"/>
        </w:rPr>
      </w:pPr>
      <w:r>
        <w:rPr>
          <w:rStyle w:val="15"/>
          <w:rFonts w:ascii="宋体" w:hAnsi="宋体" w:eastAsia="宋体" w:cs="Segoe UI"/>
          <w:b w:val="0"/>
          <w:bCs w:val="0"/>
          <w:color w:val="0F1115"/>
        </w:rPr>
        <w:t>一、关于教师能力要求的背景与定位</w:t>
      </w:r>
      <w:r>
        <w:rPr>
          <w:rFonts w:ascii="宋体" w:hAnsi="宋体" w:eastAsia="宋体"/>
        </w:rPr>
        <w:br w:type="textWrapping"/>
      </w:r>
      <w:r>
        <w:rPr>
          <w:rFonts w:ascii="宋体" w:hAnsi="宋体" w:eastAsia="宋体"/>
        </w:rPr>
        <w:t>在当前AI技术快速发展并深刻影响教学的背景下，对教师的能力提出了更高要求。为有效指导学生、防止技术滥用，教师自身需具备识别与驾驭AI技术的基本能力。因此，本共识框架的制定需兼具重要性、前瞻性与可操作性。</w:t>
      </w:r>
    </w:p>
    <w:p w14:paraId="14F0B365">
      <w:pPr>
        <w:rPr>
          <w:rFonts w:ascii="宋体" w:hAnsi="宋体" w:eastAsia="宋体"/>
        </w:rPr>
      </w:pPr>
      <w:r>
        <w:rPr>
          <w:rStyle w:val="15"/>
          <w:rFonts w:ascii="宋体" w:hAnsi="宋体" w:eastAsia="宋体" w:cs="Segoe UI"/>
          <w:b w:val="0"/>
          <w:bCs w:val="0"/>
          <w:color w:val="0F1115"/>
        </w:rPr>
        <w:t>二、关于框架分层与分类的具体建议</w:t>
      </w:r>
      <w:r>
        <w:rPr>
          <w:rFonts w:ascii="宋体" w:hAnsi="宋体" w:eastAsia="宋体"/>
        </w:rPr>
        <w:br w:type="textWrapping"/>
      </w:r>
      <w:r>
        <w:rPr>
          <w:rFonts w:ascii="宋体" w:hAnsi="宋体" w:eastAsia="宋体"/>
        </w:rPr>
        <w:t>为使框架更具指导性并便于落实，建议在设计中明确分层分类的思路：</w:t>
      </w:r>
    </w:p>
    <w:p w14:paraId="711ED8AC">
      <w:pPr>
        <w:rPr>
          <w:rFonts w:ascii="宋体" w:hAnsi="宋体" w:eastAsia="宋体"/>
        </w:rPr>
      </w:pPr>
      <w:r>
        <w:rPr>
          <w:rStyle w:val="15"/>
          <w:rFonts w:ascii="宋体" w:hAnsi="宋体" w:eastAsia="宋体" w:cs="Segoe UI"/>
          <w:b w:val="0"/>
          <w:bCs w:val="0"/>
          <w:color w:val="0F1115"/>
        </w:rPr>
        <w:t>设立基本能力框架</w:t>
      </w:r>
      <w:r>
        <w:rPr>
          <w:rFonts w:ascii="宋体" w:hAnsi="宋体" w:eastAsia="宋体"/>
        </w:rPr>
        <w:t>：首先明确所有医学专业教师应达到的AI素养</w:t>
      </w:r>
      <w:r>
        <w:rPr>
          <w:rStyle w:val="15"/>
          <w:rFonts w:ascii="宋体" w:hAnsi="宋体" w:eastAsia="宋体" w:cs="Segoe UI"/>
          <w:b w:val="0"/>
          <w:bCs w:val="0"/>
          <w:color w:val="0F1115"/>
        </w:rPr>
        <w:t>基本要求</w:t>
      </w:r>
      <w:r>
        <w:rPr>
          <w:rFonts w:ascii="宋体" w:hAnsi="宋体" w:eastAsia="宋体"/>
        </w:rPr>
        <w:t>，构成通用基准。</w:t>
      </w:r>
    </w:p>
    <w:p w14:paraId="476B1F8E">
      <w:pPr>
        <w:rPr>
          <w:rFonts w:ascii="宋体" w:hAnsi="宋体" w:eastAsia="宋体"/>
        </w:rPr>
      </w:pPr>
      <w:r>
        <w:rPr>
          <w:rStyle w:val="15"/>
          <w:rFonts w:ascii="宋体" w:hAnsi="宋体" w:eastAsia="宋体" w:cs="Segoe UI"/>
          <w:b w:val="0"/>
          <w:bCs w:val="0"/>
          <w:color w:val="0F1115"/>
        </w:rPr>
        <w:t>设计差异化等级要求</w:t>
      </w:r>
      <w:r>
        <w:rPr>
          <w:rFonts w:ascii="宋体" w:hAnsi="宋体" w:eastAsia="宋体"/>
        </w:rPr>
        <w:t>：在基本要求之上，应依据不同专业领域（如对AI技术依赖程度不同的科室）、课程性质及教学对象的差异，设定</w:t>
      </w:r>
      <w:r>
        <w:rPr>
          <w:rStyle w:val="15"/>
          <w:rFonts w:ascii="宋体" w:hAnsi="宋体" w:eastAsia="宋体" w:cs="Segoe UI"/>
          <w:b w:val="0"/>
          <w:bCs w:val="0"/>
          <w:color w:val="0F1115"/>
        </w:rPr>
        <w:t>差异化的进阶能力等级或要求</w:t>
      </w:r>
      <w:r>
        <w:rPr>
          <w:rFonts w:ascii="宋体" w:hAnsi="宋体" w:eastAsia="宋体"/>
        </w:rPr>
        <w:t>。例如，对侧重于中医或人文教学的教师，与对侧重于脑机接口等前沿技术教学的教师，其AI能力的要求重点与深度应有所区别。</w:t>
      </w:r>
    </w:p>
    <w:p w14:paraId="73A65D61">
      <w:pPr>
        <w:rPr>
          <w:rFonts w:ascii="宋体" w:hAnsi="宋体" w:eastAsia="宋体"/>
        </w:rPr>
      </w:pPr>
      <w:r>
        <w:rPr>
          <w:rStyle w:val="15"/>
          <w:rFonts w:ascii="宋体" w:hAnsi="宋体" w:eastAsia="宋体" w:cs="Segoe UI"/>
          <w:b w:val="0"/>
          <w:bCs w:val="0"/>
          <w:color w:val="0F1115"/>
        </w:rPr>
        <w:t>明确目标与评价依据</w:t>
      </w:r>
      <w:r>
        <w:rPr>
          <w:rFonts w:ascii="宋体" w:hAnsi="宋体" w:eastAsia="宋体"/>
        </w:rPr>
        <w:t>：通过分层设计，既能为教师提供清晰的当前达标目标与未来发展路径，也能使后续的评价工作更具客观性和可操作性，避免因标准过于粗放或“一刀切”而在执行层面产生困扰。</w:t>
      </w:r>
    </w:p>
    <w:p w14:paraId="5059476D">
      <w:pPr>
        <w:rPr>
          <w:rFonts w:ascii="宋体" w:hAnsi="宋体" w:eastAsia="宋体"/>
        </w:rPr>
      </w:pPr>
    </w:p>
    <w:p w14:paraId="4670FDEE">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专家14</w:t>
      </w:r>
    </w:p>
    <w:p w14:paraId="42B3E6AB">
      <w:pPr>
        <w:rPr>
          <w:rFonts w:ascii="宋体" w:hAnsi="宋体" w:eastAsia="宋体"/>
        </w:rPr>
      </w:pPr>
      <w:r>
        <w:rPr>
          <w:rStyle w:val="15"/>
          <w:rFonts w:ascii="宋体" w:hAnsi="宋体" w:eastAsia="宋体" w:cs="Segoe UI"/>
          <w:b w:val="0"/>
          <w:bCs w:val="0"/>
          <w:color w:val="0F1115"/>
        </w:rPr>
        <w:t>一、关于适用教师的界定</w:t>
      </w:r>
      <w:r>
        <w:rPr>
          <w:rFonts w:ascii="宋体" w:hAnsi="宋体" w:eastAsia="宋体"/>
        </w:rPr>
        <w:br w:type="textWrapping"/>
      </w:r>
      <w:r>
        <w:rPr>
          <w:rFonts w:ascii="宋体" w:hAnsi="宋体" w:eastAsia="宋体"/>
        </w:rPr>
        <w:t>建议在《共识》中进一步明确“医学专业教师”的具体所指，即：其定义是侧重于教师自身的医学专业背景，还是泛指承担医学专业学生教学任务的教师（其中可能包含部分非医学背景的教师）。此界定关乎框架的具体适用对象。</w:t>
      </w:r>
    </w:p>
    <w:p w14:paraId="0AA51201">
      <w:pPr>
        <w:rPr>
          <w:rFonts w:ascii="宋体" w:hAnsi="宋体" w:eastAsia="宋体"/>
        </w:rPr>
      </w:pPr>
      <w:r>
        <w:rPr>
          <w:rStyle w:val="15"/>
          <w:rFonts w:ascii="宋体" w:hAnsi="宋体" w:eastAsia="宋体" w:cs="Segoe UI"/>
          <w:b w:val="0"/>
          <w:bCs w:val="0"/>
          <w:color w:val="0F1115"/>
        </w:rPr>
        <w:t>二、关于教师能力的分层设计</w:t>
      </w:r>
      <w:r>
        <w:rPr>
          <w:rFonts w:ascii="宋体" w:hAnsi="宋体" w:eastAsia="宋体"/>
        </w:rPr>
        <w:br w:type="textWrapping"/>
      </w:r>
      <w:r>
        <w:rPr>
          <w:rFonts w:ascii="宋体" w:hAnsi="宋体" w:eastAsia="宋体"/>
        </w:rPr>
        <w:t>赞同教师分层不宜过细（如按职称），但仍建议依据教师的</w:t>
      </w:r>
      <w:r>
        <w:rPr>
          <w:rStyle w:val="15"/>
          <w:rFonts w:ascii="宋体" w:hAnsi="宋体" w:eastAsia="宋体" w:cs="Segoe UI"/>
          <w:b w:val="0"/>
          <w:bCs w:val="0"/>
          <w:color w:val="0F1115"/>
        </w:rPr>
        <w:t>主要工作场景与类型</w:t>
      </w:r>
      <w:r>
        <w:rPr>
          <w:rFonts w:ascii="宋体" w:hAnsi="宋体" w:eastAsia="宋体"/>
        </w:rPr>
        <w:t>进行适当区分，例如：临床医院教师与校本部教师，以及校本部教师中的教学型、教学科研型、实验技术型教师等。进行适度区分有助于明确不同类型教师能力要求的侧重点与掌握程度。</w:t>
      </w:r>
    </w:p>
    <w:p w14:paraId="79B068B5">
      <w:pPr>
        <w:rPr>
          <w:rFonts w:ascii="宋体" w:hAnsi="宋体" w:eastAsia="宋体"/>
        </w:rPr>
      </w:pPr>
      <w:r>
        <w:rPr>
          <w:rStyle w:val="15"/>
          <w:rFonts w:ascii="宋体" w:hAnsi="宋体" w:eastAsia="宋体" w:cs="Segoe UI"/>
          <w:b w:val="0"/>
          <w:bCs w:val="0"/>
          <w:color w:val="0F1115"/>
        </w:rPr>
        <w:t>三、关于量化考核的可操作性</w:t>
      </w:r>
    </w:p>
    <w:p w14:paraId="7FADD85E">
      <w:pPr>
        <w:rPr>
          <w:rFonts w:ascii="宋体" w:hAnsi="宋体" w:eastAsia="宋体"/>
        </w:rPr>
      </w:pPr>
      <w:r>
        <w:rPr>
          <w:rStyle w:val="15"/>
          <w:rFonts w:ascii="宋体" w:hAnsi="宋体" w:eastAsia="宋体" w:cs="Segoe UI"/>
          <w:b w:val="0"/>
          <w:bCs w:val="0"/>
          <w:color w:val="0F1115"/>
        </w:rPr>
        <w:t>关注量化指标的合理性</w:t>
      </w:r>
      <w:r>
        <w:rPr>
          <w:rFonts w:ascii="宋体" w:hAnsi="宋体" w:eastAsia="宋体"/>
        </w:rPr>
        <w:t>：部分过细的量化指标（如“每学期两份AI反思”）可能因教师实际承担的教学学时差异巨大而难以公平适用，削弱可操作性。建议审慎评估此类指标的普适性。</w:t>
      </w:r>
    </w:p>
    <w:p w14:paraId="4B528EA6">
      <w:pPr>
        <w:rPr>
          <w:rFonts w:ascii="宋体" w:hAnsi="宋体" w:eastAsia="宋体"/>
        </w:rPr>
      </w:pPr>
      <w:r>
        <w:rPr>
          <w:rStyle w:val="15"/>
          <w:rFonts w:ascii="宋体" w:hAnsi="宋体" w:eastAsia="宋体" w:cs="Segoe UI"/>
          <w:b w:val="0"/>
          <w:bCs w:val="0"/>
          <w:color w:val="0F1115"/>
        </w:rPr>
        <w:t>优化框架结构</w:t>
      </w:r>
      <w:r>
        <w:rPr>
          <w:rFonts w:ascii="宋体" w:hAnsi="宋体" w:eastAsia="宋体"/>
        </w:rPr>
        <w:t>：赞同将具体、细化的考核指标与方法以</w:t>
      </w:r>
      <w:r>
        <w:rPr>
          <w:rStyle w:val="15"/>
          <w:rFonts w:ascii="宋体" w:hAnsi="宋体" w:eastAsia="宋体" w:cs="Segoe UI"/>
          <w:b w:val="0"/>
          <w:bCs w:val="0"/>
          <w:color w:val="0F1115"/>
        </w:rPr>
        <w:t>附录形式</w:t>
      </w:r>
      <w:r>
        <w:rPr>
          <w:rFonts w:ascii="宋体" w:hAnsi="宋体" w:eastAsia="宋体"/>
        </w:rPr>
        <w:t>呈现的建议。这能使共识主体框架保持简洁，同时便于有需要的使用者快速查阅细则。</w:t>
      </w:r>
    </w:p>
    <w:p w14:paraId="393763ED">
      <w:pPr>
        <w:rPr>
          <w:rFonts w:ascii="宋体" w:hAnsi="宋体" w:eastAsia="宋体"/>
        </w:rPr>
      </w:pPr>
      <w:r>
        <w:rPr>
          <w:rStyle w:val="15"/>
          <w:rFonts w:ascii="宋体" w:hAnsi="宋体" w:eastAsia="宋体" w:cs="Segoe UI"/>
          <w:b w:val="0"/>
          <w:bCs w:val="0"/>
          <w:color w:val="0F1115"/>
        </w:rPr>
        <w:t>四、关于教学与科研维度的平衡</w:t>
      </w:r>
      <w:r>
        <w:rPr>
          <w:rFonts w:ascii="宋体" w:hAnsi="宋体" w:eastAsia="宋体"/>
        </w:rPr>
        <w:br w:type="textWrapping"/>
      </w:r>
      <w:r>
        <w:rPr>
          <w:rFonts w:ascii="宋体" w:hAnsi="宋体" w:eastAsia="宋体"/>
        </w:rPr>
        <w:t>注意到当前框架内容似乎对教师在</w:t>
      </w:r>
      <w:r>
        <w:rPr>
          <w:rStyle w:val="15"/>
          <w:rFonts w:ascii="宋体" w:hAnsi="宋体" w:eastAsia="宋体" w:cs="Segoe UI"/>
          <w:b w:val="0"/>
          <w:bCs w:val="0"/>
          <w:color w:val="0F1115"/>
        </w:rPr>
        <w:t>教学方面</w:t>
      </w:r>
      <w:r>
        <w:rPr>
          <w:rFonts w:ascii="宋体" w:hAnsi="宋体" w:eastAsia="宋体"/>
        </w:rPr>
        <w:t>的AI素养要求论述较多。建议审视在“科研”维度相关的能力描述是否足够充分，并思考对于主要承担教学任务（不做科研）的教师，其能力框架中教学与科研部分的权重或分量应如何合理体现。</w:t>
      </w:r>
    </w:p>
    <w:p w14:paraId="1D014AF9">
      <w:pPr>
        <w:rPr>
          <w:rFonts w:ascii="宋体" w:hAnsi="宋体" w:eastAsia="宋体"/>
        </w:rPr>
      </w:pPr>
    </w:p>
    <w:p w14:paraId="2C684DCB">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专家15</w:t>
      </w:r>
    </w:p>
    <w:p w14:paraId="5C1069DA">
      <w:pPr>
        <w:rPr>
          <w:rFonts w:ascii="宋体" w:hAnsi="宋体" w:eastAsia="宋体"/>
          <w:kern w:val="0"/>
          <w:sz w:val="24"/>
          <w14:ligatures w14:val="none"/>
        </w:rPr>
      </w:pPr>
      <w:r>
        <w:rPr>
          <w:rFonts w:ascii="宋体" w:hAnsi="宋体" w:eastAsia="宋体"/>
          <w:kern w:val="0"/>
          <w:sz w:val="24"/>
          <w14:ligatures w14:val="none"/>
        </w:rPr>
        <w:t>一、关于凸显框架的医学专业性</w:t>
      </w:r>
      <w:r>
        <w:rPr>
          <w:rFonts w:ascii="宋体" w:hAnsi="宋体" w:eastAsia="宋体"/>
          <w:kern w:val="0"/>
          <w:sz w:val="24"/>
          <w14:ligatures w14:val="none"/>
        </w:rPr>
        <w:br w:type="textWrapping"/>
      </w:r>
      <w:r>
        <w:rPr>
          <w:rFonts w:ascii="宋体" w:hAnsi="宋体" w:eastAsia="宋体"/>
          <w:kern w:val="0"/>
          <w:sz w:val="24"/>
          <w14:ligatures w14:val="none"/>
        </w:rPr>
        <w:t>建议在《共识》的标题及整体内容表述上，进一步强化和体现其面向“医学”领域的专业特性，以区别于通用性的教师AI素养框架。</w:t>
      </w:r>
    </w:p>
    <w:p w14:paraId="7CB9B951">
      <w:pPr>
        <w:rPr>
          <w:rFonts w:ascii="宋体" w:hAnsi="宋体" w:eastAsia="宋体"/>
          <w:kern w:val="0"/>
          <w:sz w:val="24"/>
          <w14:ligatures w14:val="none"/>
        </w:rPr>
      </w:pPr>
      <w:r>
        <w:rPr>
          <w:rFonts w:ascii="宋体" w:hAnsi="宋体" w:eastAsia="宋体"/>
          <w:kern w:val="0"/>
          <w:sz w:val="24"/>
          <w14:ligatures w14:val="none"/>
        </w:rPr>
        <w:t>二、关于优化顶层维度设计的建议</w:t>
      </w:r>
    </w:p>
    <w:p w14:paraId="7C07528E">
      <w:pPr>
        <w:rPr>
          <w:rFonts w:ascii="宋体" w:hAnsi="宋体" w:eastAsia="宋体"/>
          <w:kern w:val="0"/>
          <w:sz w:val="24"/>
          <w14:ligatures w14:val="none"/>
        </w:rPr>
      </w:pPr>
      <w:r>
        <w:rPr>
          <w:rFonts w:ascii="宋体" w:hAnsi="宋体" w:eastAsia="宋体"/>
          <w:kern w:val="0"/>
          <w:sz w:val="24"/>
          <w14:ligatures w14:val="none"/>
        </w:rPr>
        <w:t>重构维度逻辑层次：现有五个维度（如将“AI赋能科研”与其他维度并列）在逻辑平行性上可做优化。建议考虑从更基础的层面（如教师的基本认知素质、知识体系、实践应用能力、评价指导能力等）来重构顶层维度，使其逻辑更清晰、层次更分明。</w:t>
      </w:r>
    </w:p>
    <w:p w14:paraId="3FF714A3">
      <w:pPr>
        <w:rPr>
          <w:rFonts w:ascii="宋体" w:hAnsi="宋体" w:eastAsia="宋体"/>
          <w:kern w:val="0"/>
          <w:sz w:val="24"/>
          <w14:ligatures w14:val="none"/>
        </w:rPr>
      </w:pPr>
      <w:r>
        <w:rPr>
          <w:rFonts w:ascii="宋体" w:hAnsi="宋体" w:eastAsia="宋体"/>
          <w:kern w:val="0"/>
          <w:sz w:val="24"/>
          <w14:ligatures w14:val="none"/>
        </w:rPr>
        <w:t>增强能力项的可选性与灵活性：在每个顶层维度下，所列出的具体能力项不宜要求所有教师全部掌握。建议将其设计为可选择的组合，允许不同角色、不同发展方向的教师根据自身需求，在相应维度内选择掌握部分核心能力，使框架更具适应性与指导性。</w:t>
      </w:r>
    </w:p>
    <w:p w14:paraId="04DF7F38">
      <w:pPr>
        <w:rPr>
          <w:rFonts w:ascii="宋体" w:hAnsi="宋体" w:eastAsia="宋体"/>
          <w:kern w:val="0"/>
          <w:sz w:val="24"/>
          <w14:ligatures w14:val="none"/>
        </w:rPr>
      </w:pPr>
      <w:r>
        <w:rPr>
          <w:rFonts w:ascii="宋体" w:hAnsi="宋体" w:eastAsia="宋体"/>
          <w:kern w:val="0"/>
          <w:sz w:val="24"/>
          <w14:ligatures w14:val="none"/>
        </w:rPr>
        <w:t>三、关于聚焦共识的核心内容</w:t>
      </w:r>
      <w:r>
        <w:rPr>
          <w:rFonts w:ascii="宋体" w:hAnsi="宋体" w:eastAsia="宋体"/>
          <w:kern w:val="0"/>
          <w:sz w:val="24"/>
          <w14:ligatures w14:val="none"/>
        </w:rPr>
        <w:br w:type="textWrapping"/>
      </w:r>
      <w:r>
        <w:rPr>
          <w:rFonts w:ascii="宋体" w:hAnsi="宋体" w:eastAsia="宋体"/>
          <w:kern w:val="0"/>
          <w:sz w:val="24"/>
          <w14:ligatures w14:val="none"/>
        </w:rPr>
        <w:t>建议对框架内容进行更严格的聚焦，淡化或移除非医学AI素养特有的通用性能力描述（如某些普适的“持续学习”要求），以确保共识的核心紧扣“医学专业教师”在AI应用上的关键特质与要求。</w:t>
      </w:r>
    </w:p>
    <w:p w14:paraId="0D203E32">
      <w:pPr>
        <w:rPr>
          <w:rFonts w:ascii="宋体" w:hAnsi="宋体" w:eastAsia="宋体"/>
          <w:kern w:val="0"/>
          <w:sz w:val="24"/>
          <w14:ligatures w14:val="none"/>
        </w:rPr>
      </w:pPr>
      <w:r>
        <w:rPr>
          <w:rFonts w:ascii="宋体" w:hAnsi="宋体" w:eastAsia="宋体"/>
          <w:kern w:val="0"/>
          <w:sz w:val="24"/>
          <w14:ligatures w14:val="none"/>
        </w:rPr>
        <w:t>四、关于评价体系设计的可操作性</w:t>
      </w:r>
      <w:r>
        <w:rPr>
          <w:rFonts w:ascii="宋体" w:hAnsi="宋体" w:eastAsia="宋体"/>
          <w:kern w:val="0"/>
          <w:sz w:val="24"/>
          <w14:ligatures w14:val="none"/>
        </w:rPr>
        <w:br w:type="textWrapping"/>
      </w:r>
      <w:r>
        <w:rPr>
          <w:rFonts w:ascii="宋体" w:hAnsi="宋体" w:eastAsia="宋体"/>
          <w:kern w:val="0"/>
          <w:sz w:val="24"/>
          <w14:ligatures w14:val="none"/>
        </w:rPr>
        <w:t>在附录的考核评价部分，建议优先设计客观、可观测的评价方式，尽量减少依赖于主观判断的评价项目，以降低未来在广泛实施中的操作难度与一致性挑战。</w:t>
      </w:r>
    </w:p>
    <w:p w14:paraId="28FEB625">
      <w:pPr>
        <w:rPr>
          <w:rFonts w:ascii="宋体" w:hAnsi="宋体" w:eastAsia="宋体" w:cs="宋体"/>
          <w:kern w:val="0"/>
          <w:sz w:val="24"/>
          <w14:ligatures w14:val="none"/>
        </w:rPr>
      </w:pPr>
    </w:p>
    <w:p w14:paraId="33CC00B9">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专家16</w:t>
      </w:r>
    </w:p>
    <w:p w14:paraId="2D428AD4">
      <w:pPr>
        <w:rPr>
          <w:rFonts w:ascii="宋体" w:hAnsi="宋体" w:eastAsia="宋体"/>
          <w:kern w:val="0"/>
          <w:sz w:val="24"/>
          <w14:ligatures w14:val="none"/>
        </w:rPr>
      </w:pPr>
      <w:r>
        <w:rPr>
          <w:rFonts w:ascii="宋体" w:hAnsi="宋体" w:eastAsia="宋体"/>
          <w:kern w:val="0"/>
          <w:sz w:val="24"/>
          <w14:ligatures w14:val="none"/>
        </w:rPr>
        <w:t>一、关于共识的价值与落实建议</w:t>
      </w:r>
      <w:r>
        <w:rPr>
          <w:rFonts w:ascii="宋体" w:hAnsi="宋体" w:eastAsia="宋体"/>
          <w:kern w:val="0"/>
          <w:sz w:val="24"/>
          <w14:ligatures w14:val="none"/>
        </w:rPr>
        <w:br w:type="textWrapping"/>
      </w:r>
      <w:r>
        <w:rPr>
          <w:rFonts w:ascii="宋体" w:hAnsi="宋体" w:eastAsia="宋体"/>
          <w:kern w:val="0"/>
          <w:sz w:val="24"/>
          <w14:ligatures w14:val="none"/>
        </w:rPr>
        <w:t>共识具有创新性、前沿性，填补了行业空白，并契合新医科建设对复合型师资的需求，在指引教学实践改革与强化伦理风险防控方面具有重要价值。建议在后续落实中，可鼓励教师探索如引导学生以专业问题持续“喂养”和优化AI模型等具体实践方法，以提升其专业应用的精准性与有效性。</w:t>
      </w:r>
    </w:p>
    <w:p w14:paraId="6CD4ADBF">
      <w:pPr>
        <w:rPr>
          <w:rFonts w:ascii="宋体" w:hAnsi="宋体" w:eastAsia="宋体"/>
          <w:kern w:val="0"/>
          <w:sz w:val="24"/>
          <w14:ligatures w14:val="none"/>
        </w:rPr>
      </w:pPr>
      <w:r>
        <w:rPr>
          <w:rFonts w:ascii="宋体" w:hAnsi="宋体" w:eastAsia="宋体"/>
          <w:kern w:val="0"/>
          <w:sz w:val="24"/>
          <w14:ligatures w14:val="none"/>
        </w:rPr>
        <w:t>二、关于推动共识获得官方认可的建议</w:t>
      </w:r>
      <w:r>
        <w:rPr>
          <w:rFonts w:ascii="宋体" w:hAnsi="宋体" w:eastAsia="宋体"/>
          <w:kern w:val="0"/>
          <w:sz w:val="24"/>
          <w14:ligatures w14:val="none"/>
        </w:rPr>
        <w:br w:type="textWrapping"/>
      </w:r>
      <w:r>
        <w:rPr>
          <w:rFonts w:ascii="宋体" w:hAnsi="宋体" w:eastAsia="宋体"/>
          <w:kern w:val="0"/>
          <w:sz w:val="24"/>
          <w14:ligatures w14:val="none"/>
        </w:rPr>
        <w:t>为促进共识更好落地，建议由牵头单位协调，推动将本共识提交至国家教育部、国家卫健委等相关主管部门，争取获得其认可并形成权威的官方发布或指引。教育部与卫健委分别为医学院校与教学医院的直接主管机构，其参与将极大增强共识的权威性与实施效力。</w:t>
      </w:r>
    </w:p>
    <w:p w14:paraId="361A6436">
      <w:pPr>
        <w:rPr>
          <w:rFonts w:ascii="宋体" w:hAnsi="宋体" w:eastAsia="宋体" w:cs="宋体"/>
          <w:kern w:val="0"/>
          <w:sz w:val="24"/>
          <w14:ligatures w14:val="none"/>
        </w:rPr>
      </w:pPr>
    </w:p>
    <w:p w14:paraId="43D5DB89">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专家17</w:t>
      </w:r>
    </w:p>
    <w:p w14:paraId="1C80140C">
      <w:pPr>
        <w:rPr>
          <w:rFonts w:ascii="宋体" w:hAnsi="宋体" w:eastAsia="宋体"/>
          <w:kern w:val="0"/>
          <w:sz w:val="24"/>
          <w14:ligatures w14:val="none"/>
        </w:rPr>
      </w:pPr>
      <w:r>
        <w:rPr>
          <w:rFonts w:ascii="宋体" w:hAnsi="宋体" w:eastAsia="宋体"/>
          <w:kern w:val="0"/>
          <w:sz w:val="24"/>
          <w14:ligatures w14:val="none"/>
        </w:rPr>
        <w:t>一、关于共识的落地与使用：建议增强灵活性以利推广</w:t>
      </w:r>
      <w:r>
        <w:rPr>
          <w:rFonts w:ascii="宋体" w:hAnsi="宋体" w:eastAsia="宋体"/>
          <w:kern w:val="0"/>
          <w:sz w:val="24"/>
          <w14:ligatures w14:val="none"/>
        </w:rPr>
        <w:br w:type="textWrapping"/>
      </w:r>
      <w:r>
        <w:rPr>
          <w:rFonts w:ascii="宋体" w:hAnsi="宋体" w:eastAsia="宋体"/>
          <w:kern w:val="0"/>
          <w:sz w:val="24"/>
          <w14:ligatures w14:val="none"/>
        </w:rPr>
        <w:t>共识框架具有前瞻性与引领性。为促进其在各医疗机构、尤其是临床一线广泛落地与应用，建议在测评方式上增强灵活性：</w:t>
      </w:r>
    </w:p>
    <w:p w14:paraId="788DC149">
      <w:pPr>
        <w:rPr>
          <w:rFonts w:ascii="宋体" w:hAnsi="宋体" w:eastAsia="宋体"/>
          <w:kern w:val="0"/>
          <w:sz w:val="24"/>
          <w14:ligatures w14:val="none"/>
        </w:rPr>
      </w:pPr>
      <w:r>
        <w:rPr>
          <w:rFonts w:ascii="宋体" w:hAnsi="宋体" w:eastAsia="宋体"/>
          <w:kern w:val="0"/>
          <w:sz w:val="24"/>
          <w14:ligatures w14:val="none"/>
        </w:rPr>
        <w:t>采用分层分级思路：设定基本素养要求与差异化发展路径。</w:t>
      </w:r>
    </w:p>
    <w:p w14:paraId="713CFECF">
      <w:pPr>
        <w:rPr>
          <w:rFonts w:ascii="宋体" w:hAnsi="宋体" w:eastAsia="宋体"/>
          <w:kern w:val="0"/>
          <w:sz w:val="24"/>
          <w14:ligatures w14:val="none"/>
        </w:rPr>
      </w:pPr>
      <w:r>
        <w:rPr>
          <w:rFonts w:ascii="宋体" w:hAnsi="宋体" w:eastAsia="宋体"/>
          <w:kern w:val="0"/>
          <w:sz w:val="24"/>
          <w14:ligatures w14:val="none"/>
        </w:rPr>
        <w:t>平衡评价方式：综合采用量化指标、描述性要求及主观观察等多种评价方式，避免因标准过于绝对或量化过细而在初期推广中形成使用障碍，使其更易成为被广泛接受和使用的“共识”，并在实践中迭代完善。</w:t>
      </w:r>
    </w:p>
    <w:p w14:paraId="4C083D9D">
      <w:pPr>
        <w:rPr>
          <w:rFonts w:ascii="宋体" w:hAnsi="宋体" w:eastAsia="宋体"/>
          <w:kern w:val="0"/>
          <w:sz w:val="24"/>
          <w14:ligatures w14:val="none"/>
        </w:rPr>
      </w:pPr>
      <w:r>
        <w:rPr>
          <w:rFonts w:ascii="宋体" w:hAnsi="宋体" w:eastAsia="宋体"/>
          <w:kern w:val="0"/>
          <w:sz w:val="24"/>
          <w14:ligatures w14:val="none"/>
        </w:rPr>
        <w:t>二、关于加强临床实践教学维度的建议</w:t>
      </w:r>
      <w:r>
        <w:rPr>
          <w:rFonts w:ascii="宋体" w:hAnsi="宋体" w:eastAsia="宋体"/>
          <w:kern w:val="0"/>
          <w:sz w:val="24"/>
          <w14:ligatures w14:val="none"/>
        </w:rPr>
        <w:br w:type="textWrapping"/>
      </w:r>
      <w:r>
        <w:rPr>
          <w:rFonts w:ascii="宋体" w:hAnsi="宋体" w:eastAsia="宋体"/>
          <w:kern w:val="0"/>
          <w:sz w:val="24"/>
          <w14:ligatures w14:val="none"/>
        </w:rPr>
        <w:t>作为承担教学任务的临床医生，其AI教学能力考核应紧密结合临床场景。当前框架在 “临床实践教学” 方面的体现相对薄弱。建议在后续修订中，补充并强化如何考核临床医生在基于案例的教学（CBL）、基于实践的学习（PBL）、模拟教学（Simulation-based learning）、查房教学、手术教学等具体临床教学场景中，应用AI、开展AI教学及培养学生相关素养的能力要求。这有助于真正体现“医学专业教师”的特色，并以教学促进临床AI工具的实践应用，实现医疗与教学相长。</w:t>
      </w:r>
    </w:p>
    <w:p w14:paraId="733097F5">
      <w:pPr>
        <w:rPr>
          <w:rFonts w:ascii="宋体" w:hAnsi="宋体" w:eastAsia="宋体" w:cs="宋体"/>
          <w:kern w:val="0"/>
          <w:sz w:val="24"/>
          <w14:ligatures w14:val="none"/>
        </w:rPr>
      </w:pPr>
    </w:p>
    <w:p w14:paraId="736AF78D">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专家18</w:t>
      </w:r>
    </w:p>
    <w:p w14:paraId="5690F131">
      <w:pPr>
        <w:rPr>
          <w:rFonts w:ascii="宋体" w:hAnsi="宋体" w:eastAsia="宋体"/>
        </w:rPr>
      </w:pPr>
      <w:r>
        <w:rPr>
          <w:rStyle w:val="15"/>
          <w:rFonts w:ascii="宋体" w:hAnsi="宋体" w:eastAsia="宋体" w:cs="Segoe UI"/>
          <w:b w:val="0"/>
          <w:bCs w:val="0"/>
          <w:color w:val="0F1115"/>
        </w:rPr>
        <w:t>一、关于完善前言与框架图示</w:t>
      </w:r>
    </w:p>
    <w:p w14:paraId="1181D319">
      <w:pPr>
        <w:rPr>
          <w:rFonts w:ascii="宋体" w:hAnsi="宋体" w:eastAsia="宋体"/>
        </w:rPr>
      </w:pPr>
      <w:r>
        <w:rPr>
          <w:rFonts w:ascii="宋体" w:hAnsi="宋体" w:eastAsia="宋体"/>
        </w:rPr>
        <w:t>建议在《共识》开篇增加“前言”或“背景与目标”部分，简要说明制定的背景、核心目标人群、适用范围及</w:t>
      </w:r>
      <w:r>
        <w:rPr>
          <w:rStyle w:val="15"/>
          <w:rFonts w:ascii="宋体" w:hAnsi="宋体" w:eastAsia="宋体" w:cs="Segoe UI"/>
          <w:b w:val="0"/>
          <w:bCs w:val="0"/>
          <w:color w:val="0F1115"/>
        </w:rPr>
        <w:t>预期作用</w:t>
      </w:r>
      <w:r>
        <w:rPr>
          <w:rFonts w:ascii="宋体" w:hAnsi="宋体" w:eastAsia="宋体"/>
        </w:rPr>
        <w:t>（如用于师资培训、个人发展评估或职称晋升参考等），以增强政策引导性。</w:t>
      </w:r>
    </w:p>
    <w:p w14:paraId="3C8C27F2">
      <w:pPr>
        <w:rPr>
          <w:rFonts w:ascii="宋体" w:hAnsi="宋体" w:eastAsia="宋体"/>
        </w:rPr>
      </w:pPr>
      <w:r>
        <w:rPr>
          <w:rFonts w:ascii="宋体" w:hAnsi="宋体" w:eastAsia="宋体"/>
        </w:rPr>
        <w:t>建议增加一个</w:t>
      </w:r>
      <w:r>
        <w:rPr>
          <w:rStyle w:val="15"/>
          <w:rFonts w:ascii="宋体" w:hAnsi="宋体" w:eastAsia="宋体" w:cs="Segoe UI"/>
          <w:b w:val="0"/>
          <w:bCs w:val="0"/>
          <w:color w:val="0F1115"/>
        </w:rPr>
        <w:t>维度关系示意图</w:t>
      </w:r>
      <w:r>
        <w:rPr>
          <w:rFonts w:ascii="宋体" w:hAnsi="宋体" w:eastAsia="宋体"/>
        </w:rPr>
        <w:t>，直观展示“基础认知、教学实施、伦理合规、科研创新、反思发展”五个维度之间的递进或循环关系，便于读者快速理解整体逻辑。</w:t>
      </w:r>
    </w:p>
    <w:p w14:paraId="67E53BCA">
      <w:pPr>
        <w:rPr>
          <w:rFonts w:ascii="宋体" w:hAnsi="宋体" w:eastAsia="宋体"/>
        </w:rPr>
      </w:pPr>
      <w:r>
        <w:rPr>
          <w:rStyle w:val="15"/>
          <w:rFonts w:ascii="宋体" w:hAnsi="宋体" w:eastAsia="宋体" w:cs="Segoe UI"/>
          <w:b w:val="0"/>
          <w:bCs w:val="0"/>
          <w:color w:val="0F1115"/>
        </w:rPr>
        <w:t>二、关于增加术语解释与框架对比</w:t>
      </w:r>
    </w:p>
    <w:p w14:paraId="60339C28">
      <w:pPr>
        <w:rPr>
          <w:rFonts w:ascii="宋体" w:hAnsi="宋体" w:eastAsia="宋体"/>
        </w:rPr>
      </w:pPr>
      <w:r>
        <w:rPr>
          <w:rFonts w:ascii="宋体" w:hAnsi="宋体" w:eastAsia="宋体"/>
        </w:rPr>
        <w:t>建议增加一个</w:t>
      </w:r>
      <w:r>
        <w:rPr>
          <w:rStyle w:val="15"/>
          <w:rFonts w:ascii="宋体" w:hAnsi="宋体" w:eastAsia="宋体" w:cs="Segoe UI"/>
          <w:b w:val="0"/>
          <w:bCs w:val="0"/>
          <w:color w:val="0F1115"/>
        </w:rPr>
        <w:t>术语表</w:t>
      </w:r>
      <w:r>
        <w:rPr>
          <w:rFonts w:ascii="宋体" w:hAnsi="宋体" w:eastAsia="宋体"/>
        </w:rPr>
        <w:t>，对关键概念进行简要定义，避免理解歧义。</w:t>
      </w:r>
    </w:p>
    <w:p w14:paraId="36FA9A53">
      <w:pPr>
        <w:rPr>
          <w:rFonts w:ascii="宋体" w:hAnsi="宋体" w:eastAsia="宋体"/>
        </w:rPr>
      </w:pPr>
      <w:r>
        <w:rPr>
          <w:rFonts w:ascii="宋体" w:hAnsi="宋体" w:eastAsia="宋体"/>
        </w:rPr>
        <w:t>建议将本共识框架与教育部《教师数字素养》行业标准、联合国教科文组织相关框架等进行简要</w:t>
      </w:r>
      <w:r>
        <w:rPr>
          <w:rStyle w:val="15"/>
          <w:rFonts w:ascii="宋体" w:hAnsi="宋体" w:eastAsia="宋体" w:cs="Segoe UI"/>
          <w:b w:val="0"/>
          <w:bCs w:val="0"/>
          <w:color w:val="0F1115"/>
        </w:rPr>
        <w:t>对比分析</w:t>
      </w:r>
      <w:r>
        <w:rPr>
          <w:rFonts w:ascii="宋体" w:hAnsi="宋体" w:eastAsia="宋体"/>
        </w:rPr>
        <w:t>，明确异同，从而更清晰地凸显本共识面向医学教育的</w:t>
      </w:r>
      <w:r>
        <w:rPr>
          <w:rStyle w:val="15"/>
          <w:rFonts w:ascii="宋体" w:hAnsi="宋体" w:eastAsia="宋体" w:cs="Segoe UI"/>
          <w:b w:val="0"/>
          <w:bCs w:val="0"/>
          <w:color w:val="0F1115"/>
        </w:rPr>
        <w:t>学科特色</w:t>
      </w:r>
      <w:r>
        <w:rPr>
          <w:rFonts w:ascii="宋体" w:hAnsi="宋体" w:eastAsia="宋体"/>
        </w:rPr>
        <w:t>。</w:t>
      </w:r>
    </w:p>
    <w:p w14:paraId="46FF3C4A">
      <w:pPr>
        <w:rPr>
          <w:rFonts w:ascii="宋体" w:hAnsi="宋体" w:eastAsia="宋体"/>
        </w:rPr>
      </w:pPr>
      <w:r>
        <w:rPr>
          <w:rStyle w:val="15"/>
          <w:rFonts w:ascii="宋体" w:hAnsi="宋体" w:eastAsia="宋体" w:cs="Segoe UI"/>
          <w:b w:val="0"/>
          <w:bCs w:val="0"/>
          <w:color w:val="0F1115"/>
        </w:rPr>
        <w:t>三、关于细化落地实施的考量</w:t>
      </w:r>
      <w:r>
        <w:rPr>
          <w:rFonts w:ascii="宋体" w:hAnsi="宋体" w:eastAsia="宋体"/>
        </w:rPr>
        <w:br w:type="textWrapping"/>
      </w:r>
      <w:r>
        <w:rPr>
          <w:rFonts w:ascii="宋体" w:hAnsi="宋体" w:eastAsia="宋体"/>
        </w:rPr>
        <w:t>作为测评工具，其设计需系统考虑以下操作性问题：</w:t>
      </w:r>
    </w:p>
    <w:p w14:paraId="48B8D06E">
      <w:pPr>
        <w:rPr>
          <w:rFonts w:ascii="宋体" w:hAnsi="宋体" w:eastAsia="宋体"/>
        </w:rPr>
      </w:pPr>
      <w:r>
        <w:rPr>
          <w:rStyle w:val="15"/>
          <w:rFonts w:ascii="宋体" w:hAnsi="宋体" w:eastAsia="宋体" w:cs="Segoe UI"/>
          <w:b w:val="0"/>
          <w:bCs w:val="0"/>
          <w:color w:val="0F1115"/>
        </w:rPr>
        <w:t>谁被测评（对象与动机）</w:t>
      </w:r>
      <w:r>
        <w:rPr>
          <w:rFonts w:ascii="宋体" w:hAnsi="宋体" w:eastAsia="宋体"/>
        </w:rPr>
        <w:t>：需明确不同学科（基础、临床）、不同类型（偏教学、偏科研）教师为何愿意参与测评，并考虑其需求的差异性。当前框架全面，但教师短期内难以全部达成，建议能力要求可适当“粗化”，部分过于具体的量化要求（如字数）可酌情简化。</w:t>
      </w:r>
    </w:p>
    <w:p w14:paraId="7520D4DD">
      <w:pPr>
        <w:rPr>
          <w:rFonts w:ascii="宋体" w:hAnsi="宋体" w:eastAsia="宋体"/>
        </w:rPr>
      </w:pPr>
      <w:r>
        <w:rPr>
          <w:rStyle w:val="15"/>
          <w:rFonts w:ascii="宋体" w:hAnsi="宋体" w:eastAsia="宋体" w:cs="Segoe UI"/>
          <w:b w:val="0"/>
          <w:bCs w:val="0"/>
          <w:color w:val="0F1115"/>
        </w:rPr>
        <w:t>谁来测评（实施主体）</w:t>
      </w:r>
      <w:r>
        <w:rPr>
          <w:rFonts w:ascii="宋体" w:hAnsi="宋体" w:eastAsia="宋体"/>
        </w:rPr>
        <w:t>：需明确测评是由教师自评，还是由教研室、学院、学校、行业教指委或专门认证机构来实施。这关系到工具的权威性与公信力。</w:t>
      </w:r>
    </w:p>
    <w:p w14:paraId="07931860">
      <w:pPr>
        <w:rPr>
          <w:rFonts w:ascii="宋体" w:hAnsi="宋体" w:eastAsia="宋体"/>
        </w:rPr>
      </w:pPr>
      <w:r>
        <w:rPr>
          <w:rStyle w:val="15"/>
          <w:rFonts w:ascii="宋体" w:hAnsi="宋体" w:eastAsia="宋体" w:cs="Segoe UI"/>
          <w:b w:val="0"/>
          <w:bCs w:val="0"/>
          <w:color w:val="0F1115"/>
        </w:rPr>
        <w:t>如何测评与核实（方法与证据）</w:t>
      </w:r>
      <w:r>
        <w:rPr>
          <w:rFonts w:ascii="宋体" w:hAnsi="宋体" w:eastAsia="宋体"/>
        </w:rPr>
        <w:t>：现有评价方法多样（笔试、实操、报告等），需考虑教师是主动提交证据（如通过信息化平台）还是被动接受检查。同时，应明确测评是</w:t>
      </w:r>
      <w:r>
        <w:rPr>
          <w:rStyle w:val="15"/>
          <w:rFonts w:ascii="宋体" w:hAnsi="宋体" w:eastAsia="宋体" w:cs="Segoe UI"/>
          <w:b w:val="0"/>
          <w:bCs w:val="0"/>
          <w:color w:val="0F1115"/>
        </w:rPr>
        <w:t>过程性、终结性还是形成性评价</w:t>
      </w:r>
      <w:r>
        <w:rPr>
          <w:rFonts w:ascii="宋体" w:hAnsi="宋体" w:eastAsia="宋体"/>
        </w:rPr>
        <w:t>，不同目标对应不同方案。</w:t>
      </w:r>
    </w:p>
    <w:p w14:paraId="311AD88B">
      <w:pPr>
        <w:rPr>
          <w:rFonts w:ascii="宋体" w:hAnsi="宋体" w:eastAsia="宋体"/>
        </w:rPr>
      </w:pPr>
      <w:r>
        <w:rPr>
          <w:rStyle w:val="15"/>
          <w:rFonts w:ascii="宋体" w:hAnsi="宋体" w:eastAsia="宋体" w:cs="Segoe UI"/>
          <w:b w:val="0"/>
          <w:bCs w:val="0"/>
          <w:color w:val="0F1115"/>
        </w:rPr>
        <w:t>测评结果如何应用（结果与激励）</w:t>
      </w:r>
      <w:r>
        <w:rPr>
          <w:rFonts w:ascii="宋体" w:hAnsi="宋体" w:eastAsia="宋体"/>
        </w:rPr>
        <w:t>：需明确测评结果是作为合格门槛、评优依据，还是与个人发展关联。考虑到全部达成的难度，可探索对五个维度进行</w:t>
      </w:r>
      <w:r>
        <w:rPr>
          <w:rStyle w:val="15"/>
          <w:rFonts w:ascii="宋体" w:hAnsi="宋体" w:eastAsia="宋体" w:cs="Segoe UI"/>
          <w:b w:val="0"/>
          <w:bCs w:val="0"/>
          <w:color w:val="0F1115"/>
        </w:rPr>
        <w:t>分项测评与认证</w:t>
      </w:r>
      <w:r>
        <w:rPr>
          <w:rFonts w:ascii="宋体" w:hAnsi="宋体" w:eastAsia="宋体"/>
        </w:rPr>
        <w:t>（如发放分类电子证书），或将能力区分为“</w:t>
      </w:r>
      <w:r>
        <w:rPr>
          <w:rStyle w:val="15"/>
          <w:rFonts w:ascii="宋体" w:hAnsi="宋体" w:eastAsia="宋体" w:cs="Segoe UI"/>
          <w:b w:val="0"/>
          <w:bCs w:val="0"/>
          <w:color w:val="0F1115"/>
        </w:rPr>
        <w:t>必备”与“选修</w:t>
      </w:r>
      <w:r>
        <w:rPr>
          <w:rFonts w:ascii="宋体" w:hAnsi="宋体" w:eastAsia="宋体"/>
        </w:rPr>
        <w:t>”，以增加灵活性。</w:t>
      </w:r>
    </w:p>
    <w:p w14:paraId="6DF212C7">
      <w:pPr>
        <w:rPr>
          <w:rFonts w:ascii="宋体" w:hAnsi="宋体" w:eastAsia="宋体"/>
        </w:rPr>
      </w:pPr>
      <w:r>
        <w:rPr>
          <w:rStyle w:val="15"/>
          <w:rFonts w:ascii="宋体" w:hAnsi="宋体" w:eastAsia="宋体" w:cs="Segoe UI"/>
          <w:b w:val="0"/>
          <w:bCs w:val="0"/>
          <w:color w:val="0F1115"/>
        </w:rPr>
        <w:t>四、关于建立动态完善机制</w:t>
      </w:r>
      <w:r>
        <w:rPr>
          <w:rFonts w:ascii="宋体" w:hAnsi="宋体" w:eastAsia="宋体"/>
        </w:rPr>
        <w:br w:type="textWrapping"/>
      </w:r>
      <w:r>
        <w:rPr>
          <w:rFonts w:ascii="宋体" w:hAnsi="宋体" w:eastAsia="宋体"/>
        </w:rPr>
        <w:t>鉴于AI技术快速迭代，共识标准也需与时俱进。建议可优先在协和、华西等院校或教师发展中心进行</w:t>
      </w:r>
      <w:r>
        <w:rPr>
          <w:rStyle w:val="15"/>
          <w:rFonts w:ascii="宋体" w:hAnsi="宋体" w:eastAsia="宋体" w:cs="Segoe UI"/>
          <w:b w:val="0"/>
          <w:bCs w:val="0"/>
          <w:color w:val="0F1115"/>
        </w:rPr>
        <w:t>试点</w:t>
      </w:r>
      <w:r>
        <w:rPr>
          <w:rFonts w:ascii="宋体" w:hAnsi="宋体" w:eastAsia="宋体"/>
        </w:rPr>
        <w:t>，在具体应用场景中持续完善，明确核心目标，不断提升标准的实用性与可行性。</w:t>
      </w:r>
    </w:p>
    <w:p w14:paraId="7AC744AA">
      <w:pPr>
        <w:rPr>
          <w:rFonts w:ascii="宋体" w:hAnsi="宋体" w:eastAsia="宋体"/>
        </w:rPr>
      </w:pPr>
    </w:p>
    <w:p w14:paraId="657B6D77">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专家19</w:t>
      </w:r>
    </w:p>
    <w:p w14:paraId="6DF2464D">
      <w:pPr>
        <w:rPr>
          <w:rFonts w:ascii="宋体" w:hAnsi="宋体" w:eastAsia="宋体"/>
        </w:rPr>
      </w:pPr>
      <w:r>
        <w:rPr>
          <w:rStyle w:val="15"/>
          <w:rFonts w:ascii="宋体" w:hAnsi="宋体" w:eastAsia="宋体" w:cs="Segoe UI"/>
          <w:b w:val="0"/>
          <w:bCs w:val="0"/>
          <w:color w:val="0F1115"/>
        </w:rPr>
        <w:t>一、关于核心维度应突出医学教育特殊性的建议</w:t>
      </w:r>
      <w:r>
        <w:rPr>
          <w:rFonts w:ascii="宋体" w:hAnsi="宋体" w:eastAsia="宋体"/>
        </w:rPr>
        <w:br w:type="textWrapping"/>
      </w:r>
      <w:r>
        <w:rPr>
          <w:rFonts w:ascii="宋体" w:hAnsi="宋体" w:eastAsia="宋体"/>
        </w:rPr>
        <w:t>共识应强调医学教师需掌握特定的AI临床决策支持能力。具体建议包括：</w:t>
      </w:r>
    </w:p>
    <w:p w14:paraId="027FEB5E">
      <w:pPr>
        <w:rPr>
          <w:rFonts w:ascii="宋体" w:hAnsi="宋体" w:eastAsia="宋体"/>
        </w:rPr>
      </w:pPr>
      <w:r>
        <w:rPr>
          <w:rFonts w:ascii="宋体" w:hAnsi="宋体" w:eastAsia="宋体"/>
        </w:rPr>
        <w:t>要求教师理解并掌握</w:t>
      </w:r>
      <w:r>
        <w:rPr>
          <w:rStyle w:val="15"/>
          <w:rFonts w:ascii="宋体" w:hAnsi="宋体" w:eastAsia="宋体" w:cs="Segoe UI"/>
          <w:b w:val="0"/>
          <w:bCs w:val="0"/>
          <w:color w:val="0F1115"/>
        </w:rPr>
        <w:t>AI辅助诊断工具（如影像识别、病理分析）的原理</w:t>
      </w:r>
      <w:r>
        <w:rPr>
          <w:rFonts w:ascii="宋体" w:hAnsi="宋体" w:eastAsia="宋体"/>
        </w:rPr>
        <w:t>，并能够指导学生批判性地验证AI的诊断结果。</w:t>
      </w:r>
    </w:p>
    <w:p w14:paraId="00751E23">
      <w:pPr>
        <w:rPr>
          <w:rFonts w:ascii="宋体" w:hAnsi="宋体" w:eastAsia="宋体"/>
        </w:rPr>
      </w:pPr>
      <w:r>
        <w:rPr>
          <w:rFonts w:ascii="宋体" w:hAnsi="宋体" w:eastAsia="宋体"/>
        </w:rPr>
        <w:t>推动教师参与开发</w:t>
      </w:r>
      <w:r>
        <w:rPr>
          <w:rStyle w:val="35"/>
          <w:rFonts w:ascii="宋体" w:hAnsi="宋体" w:eastAsia="宋体" w:cs="Segoe UI"/>
          <w:color w:val="0F1115"/>
        </w:rPr>
        <w:t> </w:t>
      </w:r>
      <w:r>
        <w:rPr>
          <w:rStyle w:val="15"/>
          <w:rFonts w:ascii="宋体" w:hAnsi="宋体" w:eastAsia="宋体" w:cs="Segoe UI"/>
          <w:b w:val="0"/>
          <w:bCs w:val="0"/>
          <w:color w:val="0F1115"/>
        </w:rPr>
        <w:t>“AI+精准医疗”教学案例</w:t>
      </w:r>
      <w:r>
        <w:rPr>
          <w:rFonts w:ascii="宋体" w:hAnsi="宋体" w:eastAsia="宋体"/>
        </w:rPr>
        <w:t>，例如基于患者画像进行个性化治疗方案设计等，以此深化对AI辅助诊疗的理解与应用。</w:t>
      </w:r>
    </w:p>
    <w:p w14:paraId="2811E5E8">
      <w:pPr>
        <w:rPr>
          <w:rFonts w:ascii="宋体" w:hAnsi="宋体" w:eastAsia="宋体"/>
        </w:rPr>
      </w:pPr>
      <w:r>
        <w:rPr>
          <w:rStyle w:val="15"/>
          <w:rFonts w:ascii="宋体" w:hAnsi="宋体" w:eastAsia="宋体" w:cs="Segoe UI"/>
          <w:b w:val="0"/>
          <w:bCs w:val="0"/>
          <w:color w:val="0F1115"/>
        </w:rPr>
        <w:t>二、关于补充跨学科融合合作能力的建议</w:t>
      </w:r>
      <w:r>
        <w:rPr>
          <w:rFonts w:ascii="宋体" w:hAnsi="宋体" w:eastAsia="宋体"/>
        </w:rPr>
        <w:br w:type="textWrapping"/>
      </w:r>
      <w:r>
        <w:rPr>
          <w:rFonts w:ascii="宋体" w:hAnsi="宋体" w:eastAsia="宋体"/>
        </w:rPr>
        <w:t>医学AI的发展依赖于多学科协作。建议在共识中明确，医学专业教师需具备与</w:t>
      </w:r>
      <w:r>
        <w:rPr>
          <w:rStyle w:val="15"/>
          <w:rFonts w:ascii="宋体" w:hAnsi="宋体" w:eastAsia="宋体" w:cs="Segoe UI"/>
          <w:b w:val="0"/>
          <w:bCs w:val="0"/>
          <w:color w:val="0F1115"/>
        </w:rPr>
        <w:t>计算机科学、数据科学、工程学等领域专家</w:t>
      </w:r>
      <w:r>
        <w:rPr>
          <w:rFonts w:ascii="宋体" w:hAnsi="宋体" w:eastAsia="宋体"/>
        </w:rPr>
        <w:t>进行有效合作的能力，能够共同解决医学实际问题。鼓励教师与工科院校及医院协同，共同开发具有操作性与指导性的医学教学案例，并在课程设计与能力培养中平衡技术创新与医学教育本质的关系。</w:t>
      </w:r>
    </w:p>
    <w:p w14:paraId="51ADC0CD">
      <w:pPr>
        <w:rPr>
          <w:rFonts w:ascii="宋体" w:hAnsi="宋体" w:eastAsia="宋体"/>
        </w:rPr>
      </w:pPr>
    </w:p>
    <w:p w14:paraId="288FD2AA">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专家20</w:t>
      </w:r>
    </w:p>
    <w:p w14:paraId="1D31514B">
      <w:pPr>
        <w:rPr>
          <w:rFonts w:ascii="宋体" w:hAnsi="宋体" w:eastAsia="宋体"/>
        </w:rPr>
      </w:pPr>
      <w:r>
        <w:rPr>
          <w:rStyle w:val="15"/>
          <w:rFonts w:ascii="宋体" w:hAnsi="宋体" w:eastAsia="宋体" w:cs="Segoe UI"/>
          <w:b w:val="0"/>
          <w:bCs w:val="0"/>
          <w:color w:val="0F1115"/>
        </w:rPr>
        <w:t>一、关于丰富具体能力维度的应用场景与内涵</w:t>
      </w:r>
    </w:p>
    <w:p w14:paraId="08086658">
      <w:pPr>
        <w:rPr>
          <w:rFonts w:ascii="宋体" w:hAnsi="宋体" w:eastAsia="宋体"/>
        </w:rPr>
      </w:pPr>
      <w:r>
        <w:rPr>
          <w:rStyle w:val="15"/>
          <w:rFonts w:ascii="宋体" w:hAnsi="宋体" w:eastAsia="宋体" w:cs="Segoe UI"/>
          <w:b w:val="0"/>
          <w:bCs w:val="0"/>
          <w:color w:val="0F1115"/>
        </w:rPr>
        <w:t>在“AI辅助教学设计”部分</w:t>
      </w:r>
      <w:r>
        <w:rPr>
          <w:rFonts w:ascii="宋体" w:hAnsi="宋体" w:eastAsia="宋体"/>
        </w:rPr>
        <w:t>（如虚拟仿真教学应用能力），建议根据不同专业的需要，进一步</w:t>
      </w:r>
      <w:r>
        <w:rPr>
          <w:rStyle w:val="15"/>
          <w:rFonts w:ascii="宋体" w:hAnsi="宋体" w:eastAsia="宋体" w:cs="Segoe UI"/>
          <w:b w:val="0"/>
          <w:bCs w:val="0"/>
          <w:color w:val="0F1115"/>
        </w:rPr>
        <w:t>丰富和细化其应用场景</w:t>
      </w:r>
      <w:r>
        <w:rPr>
          <w:rFonts w:ascii="宋体" w:hAnsi="宋体" w:eastAsia="宋体"/>
        </w:rPr>
        <w:t>。可考虑融入如数字孪生等新兴技术，以拓展场景的真实性与教学价值。</w:t>
      </w:r>
    </w:p>
    <w:p w14:paraId="454AE502">
      <w:pPr>
        <w:rPr>
          <w:rFonts w:ascii="宋体" w:hAnsi="宋体" w:eastAsia="宋体"/>
        </w:rPr>
      </w:pPr>
      <w:r>
        <w:rPr>
          <w:rStyle w:val="15"/>
          <w:rFonts w:ascii="宋体" w:hAnsi="宋体" w:eastAsia="宋体" w:cs="Segoe UI"/>
          <w:b w:val="0"/>
          <w:bCs w:val="0"/>
          <w:color w:val="0F1115"/>
        </w:rPr>
        <w:t>在“AI辅助科研创新”部分</w:t>
      </w:r>
      <w:r>
        <w:rPr>
          <w:rFonts w:ascii="宋体" w:hAnsi="宋体" w:eastAsia="宋体"/>
        </w:rPr>
        <w:t>，除已提及的能力外，建议根据不同岗位特点，进一步</w:t>
      </w:r>
      <w:r>
        <w:rPr>
          <w:rStyle w:val="15"/>
          <w:rFonts w:ascii="宋体" w:hAnsi="宋体" w:eastAsia="宋体" w:cs="Segoe UI"/>
          <w:b w:val="0"/>
          <w:bCs w:val="0"/>
          <w:color w:val="0F1115"/>
        </w:rPr>
        <w:t>丰富对科研创新及创新能力评价</w:t>
      </w:r>
      <w:r>
        <w:rPr>
          <w:rFonts w:ascii="宋体" w:hAnsi="宋体" w:eastAsia="宋体"/>
        </w:rPr>
        <w:t>等相关维度的描述。</w:t>
      </w:r>
    </w:p>
    <w:p w14:paraId="6540498D">
      <w:pPr>
        <w:rPr>
          <w:rFonts w:ascii="宋体" w:hAnsi="宋体" w:eastAsia="宋体"/>
        </w:rPr>
      </w:pPr>
      <w:r>
        <w:rPr>
          <w:rStyle w:val="15"/>
          <w:rFonts w:ascii="宋体" w:hAnsi="宋体" w:eastAsia="宋体" w:cs="Segoe UI"/>
          <w:b w:val="0"/>
          <w:bCs w:val="0"/>
          <w:color w:val="0F1115"/>
        </w:rPr>
        <w:t>二、关于增强能力清单的差异化与适应性</w:t>
      </w:r>
      <w:r>
        <w:rPr>
          <w:rFonts w:ascii="宋体" w:hAnsi="宋体" w:eastAsia="宋体"/>
        </w:rPr>
        <w:br w:type="textWrapping"/>
      </w:r>
      <w:r>
        <w:rPr>
          <w:rFonts w:ascii="宋体" w:hAnsi="宋体" w:eastAsia="宋体"/>
        </w:rPr>
        <w:t>鉴于医学专业教师在专业、岗位性质及年龄上存在差异，建议对能力要求进行更细致的</w:t>
      </w:r>
      <w:r>
        <w:rPr>
          <w:rStyle w:val="15"/>
          <w:rFonts w:ascii="宋体" w:hAnsi="宋体" w:eastAsia="宋体" w:cs="Segoe UI"/>
          <w:b w:val="0"/>
          <w:bCs w:val="0"/>
          <w:color w:val="0F1115"/>
        </w:rPr>
        <w:t>分层分类设计</w:t>
      </w:r>
      <w:r>
        <w:rPr>
          <w:rFonts w:ascii="宋体" w:hAnsi="宋体" w:eastAsia="宋体"/>
        </w:rPr>
        <w:t>，提供更具差异化的指引，以便不同使用单位能根据自身情况更好地适应与应用。</w:t>
      </w:r>
    </w:p>
    <w:p w14:paraId="6E529F87">
      <w:pPr>
        <w:rPr>
          <w:rFonts w:ascii="宋体" w:hAnsi="宋体" w:eastAsia="宋体"/>
        </w:rPr>
      </w:pPr>
      <w:r>
        <w:rPr>
          <w:rStyle w:val="15"/>
          <w:rFonts w:ascii="宋体" w:hAnsi="宋体" w:eastAsia="宋体" w:cs="Segoe UI"/>
          <w:b w:val="0"/>
          <w:bCs w:val="0"/>
          <w:color w:val="0F1115"/>
        </w:rPr>
        <w:t>三、关于优化共识文本的结构与引导</w:t>
      </w:r>
      <w:r>
        <w:rPr>
          <w:rFonts w:ascii="宋体" w:hAnsi="宋体" w:eastAsia="宋体"/>
        </w:rPr>
        <w:br w:type="textWrapping"/>
      </w:r>
      <w:r>
        <w:rPr>
          <w:rFonts w:ascii="宋体" w:hAnsi="宋体" w:eastAsia="宋体"/>
        </w:rPr>
        <w:t>为提升共识的引导性与适用性，建议：</w:t>
      </w:r>
    </w:p>
    <w:p w14:paraId="72BF012A">
      <w:pPr>
        <w:rPr>
          <w:rFonts w:ascii="宋体" w:hAnsi="宋体" w:eastAsia="宋体"/>
        </w:rPr>
      </w:pPr>
      <w:r>
        <w:rPr>
          <w:rFonts w:ascii="宋体" w:hAnsi="宋体" w:eastAsia="宋体"/>
        </w:rPr>
        <w:t>在共识文本开头增加“</w:t>
      </w:r>
      <w:r>
        <w:rPr>
          <w:rStyle w:val="15"/>
          <w:rFonts w:ascii="宋体" w:hAnsi="宋体" w:eastAsia="宋体" w:cs="Segoe UI"/>
          <w:b w:val="0"/>
          <w:bCs w:val="0"/>
          <w:color w:val="0F1115"/>
        </w:rPr>
        <w:t>引言</w:t>
      </w:r>
      <w:r>
        <w:rPr>
          <w:rFonts w:ascii="宋体" w:hAnsi="宋体" w:eastAsia="宋体"/>
        </w:rPr>
        <w:t>”，说明制定背景与目的。</w:t>
      </w:r>
    </w:p>
    <w:p w14:paraId="249CA384">
      <w:pPr>
        <w:rPr>
          <w:rFonts w:ascii="宋体" w:hAnsi="宋体" w:eastAsia="宋体"/>
        </w:rPr>
      </w:pPr>
      <w:r>
        <w:rPr>
          <w:rFonts w:ascii="宋体" w:hAnsi="宋体" w:eastAsia="宋体"/>
        </w:rPr>
        <w:t>在文本结尾部分，可考虑增加对“</w:t>
      </w:r>
      <w:r>
        <w:rPr>
          <w:rStyle w:val="15"/>
          <w:rFonts w:ascii="宋体" w:hAnsi="宋体" w:eastAsia="宋体" w:cs="Segoe UI"/>
          <w:b w:val="0"/>
          <w:bCs w:val="0"/>
          <w:color w:val="0F1115"/>
        </w:rPr>
        <w:t>使用建议与注意事项</w:t>
      </w:r>
      <w:r>
        <w:rPr>
          <w:rFonts w:ascii="宋体" w:hAnsi="宋体" w:eastAsia="宋体"/>
        </w:rPr>
        <w:t>”的说明，针对科研型、教学型及教学科研型等不同特点的高校，提示其应用的侧重点，以增强共识的针对性与可操作性。</w:t>
      </w:r>
    </w:p>
    <w:p w14:paraId="2839D127">
      <w:pPr>
        <w:rPr>
          <w:rFonts w:ascii="宋体" w:hAnsi="宋体" w:eastAsia="宋体"/>
        </w:rPr>
      </w:pPr>
    </w:p>
    <w:p w14:paraId="3DF13309">
      <w:pPr>
        <w:rPr>
          <w:rStyle w:val="15"/>
          <w:rFonts w:hint="eastAsia" w:ascii="宋体" w:hAnsi="宋体" w:eastAsia="宋体" w:cs="Segoe UI"/>
          <w:b w:val="0"/>
          <w:bCs w:val="0"/>
          <w:color w:val="0F1115"/>
          <w:sz w:val="30"/>
          <w:szCs w:val="30"/>
        </w:rPr>
      </w:pPr>
      <w:r>
        <w:rPr>
          <w:rStyle w:val="15"/>
          <w:rFonts w:hint="eastAsia" w:ascii="宋体" w:hAnsi="宋体" w:eastAsia="宋体" w:cs="Segoe UI"/>
          <w:b w:val="0"/>
          <w:bCs w:val="0"/>
          <w:color w:val="0F1115"/>
          <w:sz w:val="30"/>
          <w:szCs w:val="30"/>
        </w:rPr>
        <w:t>专家21</w:t>
      </w:r>
    </w:p>
    <w:p w14:paraId="66B47269">
      <w:pPr>
        <w:rPr>
          <w:rFonts w:ascii="宋体" w:hAnsi="宋体" w:eastAsia="宋体"/>
        </w:rPr>
      </w:pPr>
      <w:r>
        <w:rPr>
          <w:rStyle w:val="15"/>
          <w:rFonts w:ascii="宋体" w:hAnsi="宋体" w:eastAsia="宋体" w:cs="Segoe UI"/>
          <w:b w:val="0"/>
          <w:bCs w:val="0"/>
          <w:color w:val="0F1115"/>
        </w:rPr>
        <w:t>一、强化教师在临床实践中应用AI的“桥梁”能力</w:t>
      </w:r>
      <w:r>
        <w:rPr>
          <w:rFonts w:ascii="宋体" w:hAnsi="宋体" w:eastAsia="宋体"/>
        </w:rPr>
        <w:br w:type="textWrapping"/>
      </w:r>
      <w:r>
        <w:rPr>
          <w:rFonts w:ascii="宋体" w:hAnsi="宋体" w:eastAsia="宋体"/>
        </w:rPr>
        <w:t>医学是实践科学。建议在框架中，加强教师</w:t>
      </w:r>
      <w:r>
        <w:rPr>
          <w:rStyle w:val="15"/>
          <w:rFonts w:ascii="宋体" w:hAnsi="宋体" w:eastAsia="宋体" w:cs="Segoe UI"/>
          <w:b w:val="0"/>
          <w:bCs w:val="0"/>
          <w:color w:val="0F1115"/>
        </w:rPr>
        <w:t>在临床实践过程中运用AI</w:t>
      </w:r>
      <w:r>
        <w:rPr>
          <w:rFonts w:ascii="宋体" w:hAnsi="宋体" w:eastAsia="宋体"/>
        </w:rPr>
        <w:t>的能力要求。特别应强调，教师需具备将AI生成的虚拟病人或数据，与真实临床场景和服务对象有效连接、整合的“桥梁”作用。这是医学教师发挥AI教学价值的关键能力之一。</w:t>
      </w:r>
    </w:p>
    <w:p w14:paraId="33961AE2">
      <w:pPr>
        <w:rPr>
          <w:rFonts w:ascii="宋体" w:hAnsi="宋体" w:eastAsia="宋体"/>
        </w:rPr>
      </w:pPr>
      <w:r>
        <w:rPr>
          <w:rStyle w:val="15"/>
          <w:rFonts w:ascii="宋体" w:hAnsi="宋体" w:eastAsia="宋体" w:cs="Segoe UI"/>
          <w:b w:val="0"/>
          <w:bCs w:val="0"/>
          <w:color w:val="0F1115"/>
        </w:rPr>
        <w:t>二、明确分层分类的实施路径</w:t>
      </w:r>
      <w:r>
        <w:rPr>
          <w:rFonts w:ascii="宋体" w:hAnsi="宋体" w:eastAsia="宋体"/>
        </w:rPr>
        <w:br w:type="textWrapping"/>
      </w:r>
      <w:r>
        <w:rPr>
          <w:rFonts w:ascii="宋体" w:hAnsi="宋体" w:eastAsia="宋体"/>
        </w:rPr>
        <w:t>完全同意需在整体框架下，建立</w:t>
      </w:r>
      <w:r>
        <w:rPr>
          <w:rStyle w:val="15"/>
          <w:rFonts w:ascii="宋体" w:hAnsi="宋体" w:eastAsia="宋体" w:cs="Segoe UI"/>
          <w:b w:val="0"/>
          <w:bCs w:val="0"/>
          <w:color w:val="0F1115"/>
        </w:rPr>
        <w:t>清晰的分层与分类实施指引</w:t>
      </w:r>
      <w:r>
        <w:rPr>
          <w:rFonts w:ascii="宋体" w:hAnsi="宋体" w:eastAsia="宋体"/>
        </w:rPr>
        <w:t>。应充分考虑不同院校、不同学科教师对AI的需求和基础差异，设定差异化的目标与要求。这将为各使用单位针对不同教师制定个性化发展目标提供直接依据，极大增强框架的落地适应性。</w:t>
      </w:r>
    </w:p>
    <w:p w14:paraId="209229CB">
      <w:pPr>
        <w:rPr>
          <w:rFonts w:ascii="宋体" w:hAnsi="宋体" w:eastAsia="宋体"/>
        </w:rPr>
      </w:pPr>
      <w:r>
        <w:rPr>
          <w:rStyle w:val="15"/>
          <w:rFonts w:ascii="宋体" w:hAnsi="宋体" w:eastAsia="宋体" w:cs="Segoe UI"/>
          <w:b w:val="0"/>
          <w:bCs w:val="0"/>
          <w:color w:val="0F1115"/>
        </w:rPr>
        <w:t>三、补充标准制定与考评实施的明确指引</w:t>
      </w:r>
      <w:r>
        <w:rPr>
          <w:rFonts w:ascii="宋体" w:hAnsi="宋体" w:eastAsia="宋体"/>
        </w:rPr>
        <w:br w:type="textWrapping"/>
      </w:r>
      <w:r>
        <w:rPr>
          <w:rFonts w:ascii="宋体" w:hAnsi="宋体" w:eastAsia="宋体"/>
        </w:rPr>
        <w:t>建议在共识中，像临床指南一样，提供关于</w:t>
      </w:r>
      <w:r>
        <w:rPr>
          <w:rStyle w:val="15"/>
          <w:rFonts w:ascii="宋体" w:hAnsi="宋体" w:eastAsia="宋体" w:cs="Segoe UI"/>
          <w:b w:val="0"/>
          <w:bCs w:val="0"/>
          <w:color w:val="0F1115"/>
        </w:rPr>
        <w:t>标准由谁定、考评由谁做、具体如何操作</w:t>
      </w:r>
      <w:r>
        <w:rPr>
          <w:rFonts w:ascii="宋体" w:hAnsi="宋体" w:eastAsia="宋体"/>
        </w:rPr>
        <w:t>的更具象的流程与做法建议。即使共识本身是动态更新的，明确的实施指引也将极大帮助使用单位在落地过程中获得清晰、可循的操作路径。</w:t>
      </w:r>
    </w:p>
    <w:p w14:paraId="225A147C">
      <w:pPr>
        <w:rPr>
          <w:rFonts w:ascii="宋体" w:hAnsi="宋体" w:eastAsia="宋体"/>
        </w:rPr>
      </w:pPr>
    </w:p>
    <w:sectPr>
      <w:headerReference r:id="rId5" w:type="default"/>
      <w:footerReference r:id="rId6" w:type="default"/>
      <w:pgSz w:w="12240" w:h="15840"/>
      <w:pgMar w:top="1440" w:right="1440" w:bottom="1440" w:left="1440" w:header="708" w:footer="708"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Segoe UI">
    <w:altName w:val="苹方-简"/>
    <w:panose1 w:val="020B0502040204020203"/>
    <w:charset w:val="00"/>
    <w:family w:val="swiss"/>
    <w:pitch w:val="default"/>
    <w:sig w:usb0="00000000" w:usb1="00000000" w:usb2="00000009" w:usb3="00000000" w:csb0="000001FF"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C3B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9E083">
    <w:pPr>
      <w:spacing w:after="0" w:line="26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005"/>
    <w:rsid w:val="0001504F"/>
    <w:rsid w:val="0007529C"/>
    <w:rsid w:val="0019006E"/>
    <w:rsid w:val="00202673"/>
    <w:rsid w:val="002B7523"/>
    <w:rsid w:val="002F4556"/>
    <w:rsid w:val="00390CB8"/>
    <w:rsid w:val="00394FF1"/>
    <w:rsid w:val="003A32B8"/>
    <w:rsid w:val="003E76F0"/>
    <w:rsid w:val="00401249"/>
    <w:rsid w:val="00495CF3"/>
    <w:rsid w:val="004C4277"/>
    <w:rsid w:val="004C5EB5"/>
    <w:rsid w:val="004C74D5"/>
    <w:rsid w:val="005549FA"/>
    <w:rsid w:val="005A1093"/>
    <w:rsid w:val="005C6D09"/>
    <w:rsid w:val="00630EA2"/>
    <w:rsid w:val="006B0D8B"/>
    <w:rsid w:val="00764C9C"/>
    <w:rsid w:val="00770B8D"/>
    <w:rsid w:val="008048E7"/>
    <w:rsid w:val="008758BC"/>
    <w:rsid w:val="008E5A9F"/>
    <w:rsid w:val="0095137D"/>
    <w:rsid w:val="00993EDA"/>
    <w:rsid w:val="009D2DF6"/>
    <w:rsid w:val="00A24CF0"/>
    <w:rsid w:val="00A43915"/>
    <w:rsid w:val="00A612C4"/>
    <w:rsid w:val="00B56533"/>
    <w:rsid w:val="00B961C7"/>
    <w:rsid w:val="00B97B9E"/>
    <w:rsid w:val="00BA20AF"/>
    <w:rsid w:val="00BE2005"/>
    <w:rsid w:val="00C53269"/>
    <w:rsid w:val="00C9706D"/>
    <w:rsid w:val="00CD49BA"/>
    <w:rsid w:val="00D60929"/>
    <w:rsid w:val="00D61BCA"/>
    <w:rsid w:val="00DC7329"/>
    <w:rsid w:val="00E86CA9"/>
    <w:rsid w:val="00EA1C19"/>
    <w:rsid w:val="00EA4DDD"/>
    <w:rsid w:val="00EC0F14"/>
    <w:rsid w:val="5FEEFB48"/>
    <w:rsid w:val="73DCF303"/>
    <w:rsid w:val="7760492A"/>
    <w:rsid w:val="7DFFB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1"/>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6"/>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5">
    <w:name w:val="Strong"/>
    <w:basedOn w:val="14"/>
    <w:qFormat/>
    <w:uiPriority w:val="22"/>
    <w:rPr>
      <w:b/>
      <w:bCs/>
    </w:rPr>
  </w:style>
  <w:style w:type="character" w:customStyle="1" w:styleId="16">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4"/>
    <w:link w:val="5"/>
    <w:semiHidden/>
    <w:uiPriority w:val="9"/>
    <w:rPr>
      <w:rFonts w:cstheme="majorBidi"/>
      <w:color w:val="104862" w:themeColor="accent1" w:themeShade="BF"/>
      <w:sz w:val="28"/>
      <w:szCs w:val="28"/>
    </w:rPr>
  </w:style>
  <w:style w:type="character" w:customStyle="1" w:styleId="20">
    <w:name w:val="标题 5 字符"/>
    <w:basedOn w:val="14"/>
    <w:link w:val="6"/>
    <w:semiHidden/>
    <w:uiPriority w:val="9"/>
    <w:rPr>
      <w:rFonts w:cstheme="majorBidi"/>
      <w:color w:val="104862" w:themeColor="accent1" w:themeShade="BF"/>
      <w:sz w:val="24"/>
    </w:rPr>
  </w:style>
  <w:style w:type="character" w:customStyle="1" w:styleId="21">
    <w:name w:val="标题 6 字符"/>
    <w:basedOn w:val="14"/>
    <w:link w:val="7"/>
    <w:semiHidden/>
    <w:uiPriority w:val="9"/>
    <w:rPr>
      <w:rFonts w:cstheme="majorBidi"/>
      <w:b/>
      <w:bCs/>
      <w:color w:val="104862" w:themeColor="accent1" w:themeShade="BF"/>
    </w:rPr>
  </w:style>
  <w:style w:type="character" w:customStyle="1" w:styleId="22">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6">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4"/>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明显强调1"/>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4"/>
    <w:link w:val="31"/>
    <w:uiPriority w:val="30"/>
    <w:rPr>
      <w:i/>
      <w:iCs/>
      <w:color w:val="104862" w:themeColor="accent1" w:themeShade="BF"/>
    </w:rPr>
  </w:style>
  <w:style w:type="character" w:customStyle="1" w:styleId="33">
    <w:name w:val="明显参考1"/>
    <w:basedOn w:val="14"/>
    <w:qFormat/>
    <w:uiPriority w:val="32"/>
    <w:rPr>
      <w:b/>
      <w:bCs/>
      <w:smallCaps/>
      <w:color w:val="104862" w:themeColor="accent1" w:themeShade="BF"/>
      <w:spacing w:val="5"/>
    </w:rPr>
  </w:style>
  <w:style w:type="paragraph" w:customStyle="1" w:styleId="34">
    <w:name w:val="ds-markdown-paragraph"/>
    <w:basedOn w:val="1"/>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35">
    <w:name w:val="apple-converted-space"/>
    <w:basedOn w:val="14"/>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E31835AF-28A4-1447-A501-E0A5E4B4A31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1586</Words>
  <Characters>9044</Characters>
  <Lines>75</Lines>
  <Paragraphs>21</Paragraphs>
  <TotalTime>3</TotalTime>
  <ScaleCrop>false</ScaleCrop>
  <LinksUpToDate>false</LinksUpToDate>
  <CharactersWithSpaces>10609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2026-06-26T14:52:00Z</dcterms:created>
  <dc:creator>c18855</dc:creator>
  <cp:lastModifiedBy>WPS_1582889378</cp:lastModifiedBy>
  <dcterms:modified xsi:type="dcterms:W3CDTF">2026-08-28T17:33:01Z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0E6108E6942EBA28CD55916A14DFC4C0_43</vt:lpwstr>
  </property>
</Properties>
</file>