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1FE58">
      <w:pPr>
        <w:jc w:val="center"/>
        <w:rPr>
          <w:rFonts w:eastAsia="黑体"/>
          <w:b/>
          <w:sz w:val="28"/>
          <w:szCs w:val="28"/>
          <w:lang w:eastAsia="zh-CN"/>
        </w:rPr>
      </w:pPr>
      <w:bookmarkStart w:id="1" w:name="_GoBack"/>
      <w:bookmarkEnd w:id="1"/>
      <w:r>
        <w:rPr>
          <w:rFonts w:hint="eastAsia" w:eastAsia="黑体"/>
          <w:b/>
          <w:sz w:val="28"/>
          <w:lang w:eastAsia="zh-CN"/>
        </w:rPr>
        <w:t>《Expert Consensus on Artificial Intelligence Proficiency for Medical Educators(CAIP-ME, 2025 Edition)》</w:t>
      </w:r>
      <w:r>
        <w:rPr>
          <w:rFonts w:eastAsia="黑体"/>
          <w:b/>
          <w:sz w:val="28"/>
          <w:szCs w:val="28"/>
          <w:lang w:eastAsia="zh-CN"/>
        </w:rPr>
        <w:t xml:space="preserve">Meeting Minutes of the First-Round Expert Review </w:t>
      </w:r>
    </w:p>
    <w:p w14:paraId="2747E236">
      <w:pPr>
        <w:jc w:val="center"/>
        <w:rPr>
          <w:lang w:eastAsia="zh-CN"/>
        </w:rPr>
      </w:pPr>
      <w:r>
        <w:rPr>
          <w:rFonts w:eastAsia="黑体"/>
          <w:b/>
          <w:sz w:val="32"/>
          <w:lang w:eastAsia="zh-CN"/>
        </w:rPr>
        <w:t>《医学专业教师AI素养（CAIP-ME）能力清单</w:t>
      </w:r>
      <w:r>
        <w:rPr>
          <w:rFonts w:hint="eastAsia" w:eastAsia="黑体"/>
          <w:b/>
          <w:sz w:val="32"/>
          <w:lang w:eastAsia="zh-CN"/>
        </w:rPr>
        <w:t>专家共识 2025》</w:t>
      </w:r>
      <w:r>
        <w:rPr>
          <w:rFonts w:eastAsia="黑体"/>
          <w:b/>
          <w:sz w:val="32"/>
          <w:lang w:eastAsia="zh-CN"/>
        </w:rPr>
        <w:t>首轮专家点评会议纪要</w:t>
      </w:r>
    </w:p>
    <w:p w14:paraId="1404021A">
      <w:pPr>
        <w:pStyle w:val="3"/>
        <w:rPr>
          <w:rFonts w:ascii="黑体" w:hAnsi="黑体" w:eastAsia="黑体"/>
        </w:rPr>
      </w:pPr>
      <w:r>
        <w:rPr>
          <w:rFonts w:ascii="黑体" w:hAnsi="黑体" w:eastAsia="黑体"/>
        </w:rPr>
        <w:t>一、会议基本信息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7560"/>
      </w:tblGrid>
      <w:tr w14:paraId="04DDAFD6">
        <w:trPr>
          <w:cantSplit/>
          <w:tblHeader/>
        </w:trPr>
        <w:tc>
          <w:tcPr>
            <w:tcW w:w="18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16247">
            <w:pPr>
              <w:spacing w:after="0" w:line="240" w:lineRule="auto"/>
              <w:jc w:val="center"/>
            </w:pPr>
            <w:r>
              <w:rPr>
                <w:rFonts w:eastAsia="黑体"/>
                <w:b/>
                <w:sz w:val="20"/>
              </w:rPr>
              <w:t>项目</w:t>
            </w:r>
          </w:p>
        </w:tc>
        <w:tc>
          <w:tcPr>
            <w:tcW w:w="756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43EE6">
            <w:pPr>
              <w:spacing w:after="0" w:line="240" w:lineRule="auto"/>
              <w:jc w:val="center"/>
            </w:pPr>
            <w:r>
              <w:rPr>
                <w:rFonts w:eastAsia="黑体"/>
                <w:b/>
                <w:sz w:val="20"/>
              </w:rPr>
              <w:t>内容</w:t>
            </w:r>
          </w:p>
        </w:tc>
      </w:tr>
      <w:tr w14:paraId="35A2ED83">
        <w:trPr>
          <w:cantSplit/>
        </w:trPr>
        <w:tc>
          <w:tcPr>
            <w:tcW w:w="1800" w:type="dxa"/>
            <w:shd w:val="clear" w:color="auto" w:fill="FFFFFF"/>
          </w:tcPr>
          <w:p w14:paraId="47AF53A6">
            <w:pPr>
              <w:spacing w:after="0" w:line="240" w:lineRule="auto"/>
              <w:jc w:val="center"/>
            </w:pPr>
            <w:r>
              <w:t>会议名称</w:t>
            </w:r>
          </w:p>
        </w:tc>
        <w:tc>
          <w:tcPr>
            <w:tcW w:w="7560" w:type="dxa"/>
            <w:shd w:val="clear" w:color="auto" w:fill="FFFFFF"/>
          </w:tcPr>
          <w:p w14:paraId="2C28D5E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医学专业教师AI素养能力清单及测评共识（2025）首轮专家点评会议</w:t>
            </w:r>
          </w:p>
        </w:tc>
      </w:tr>
      <w:tr w14:paraId="6D2BCF8E">
        <w:trPr>
          <w:cantSplit/>
        </w:trPr>
        <w:tc>
          <w:tcPr>
            <w:tcW w:w="1800" w:type="dxa"/>
            <w:shd w:val="clear" w:color="auto" w:fill="FFFFFF"/>
          </w:tcPr>
          <w:p w14:paraId="467E9853">
            <w:pPr>
              <w:spacing w:after="0" w:line="240" w:lineRule="auto"/>
              <w:jc w:val="center"/>
            </w:pPr>
            <w:r>
              <w:t>会议时间</w:t>
            </w:r>
          </w:p>
        </w:tc>
        <w:tc>
          <w:tcPr>
            <w:tcW w:w="7560" w:type="dxa"/>
            <w:shd w:val="clear" w:color="auto" w:fill="FFFFFF"/>
          </w:tcPr>
          <w:p w14:paraId="01A68AE9">
            <w:pPr>
              <w:spacing w:after="0" w:line="240" w:lineRule="auto"/>
              <w:rPr>
                <w:lang w:eastAsia="zh-CN"/>
              </w:rPr>
            </w:pPr>
            <w:r>
              <w:t>2025年12月15日18:30-21:0</w:t>
            </w:r>
            <w:r>
              <w:rPr>
                <w:rFonts w:hint="eastAsia"/>
                <w:lang w:eastAsia="zh-CN"/>
              </w:rPr>
              <w:t>0</w:t>
            </w:r>
          </w:p>
        </w:tc>
      </w:tr>
      <w:tr w14:paraId="1CD06A10">
        <w:trPr>
          <w:cantSplit/>
        </w:trPr>
        <w:tc>
          <w:tcPr>
            <w:tcW w:w="1800" w:type="dxa"/>
            <w:shd w:val="clear" w:color="auto" w:fill="FFFFFF"/>
          </w:tcPr>
          <w:p w14:paraId="44C65C4B">
            <w:pPr>
              <w:spacing w:after="0" w:line="240" w:lineRule="auto"/>
              <w:jc w:val="center"/>
            </w:pPr>
            <w:r>
              <w:t>会议形式</w:t>
            </w:r>
          </w:p>
        </w:tc>
        <w:tc>
          <w:tcPr>
            <w:tcW w:w="7560" w:type="dxa"/>
            <w:shd w:val="clear" w:color="auto" w:fill="FFFFFF"/>
          </w:tcPr>
          <w:p w14:paraId="08CF893C">
            <w:pPr>
              <w:spacing w:after="0" w:line="240" w:lineRule="auto"/>
            </w:pPr>
            <w:r>
              <w:t>线上腾讯会议</w:t>
            </w:r>
          </w:p>
        </w:tc>
      </w:tr>
      <w:tr w14:paraId="30C72E8E">
        <w:trPr>
          <w:cantSplit/>
        </w:trPr>
        <w:tc>
          <w:tcPr>
            <w:tcW w:w="1800" w:type="dxa"/>
            <w:shd w:val="clear" w:color="auto" w:fill="FFFFFF"/>
          </w:tcPr>
          <w:p w14:paraId="2CD88FB5">
            <w:pPr>
              <w:spacing w:after="0" w:line="240" w:lineRule="auto"/>
              <w:jc w:val="center"/>
            </w:pPr>
            <w:r>
              <w:t>参会人员</w:t>
            </w:r>
          </w:p>
        </w:tc>
        <w:tc>
          <w:tcPr>
            <w:tcW w:w="7560" w:type="dxa"/>
            <w:shd w:val="clear" w:color="auto" w:fill="FFFFFF"/>
          </w:tcPr>
          <w:p w14:paraId="0B0DF045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来自临床医学、基础医学、公共卫生、信息科学、人工智能、伦理学、教育学等领域的2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eastAsia="zh-CN"/>
              </w:rPr>
              <w:t>位点评专家，以及中国医学科学院北京协和医学院、广东医科大学执笔组成员。</w:t>
            </w:r>
          </w:p>
        </w:tc>
      </w:tr>
      <w:tr w14:paraId="24ACD7E0">
        <w:trPr>
          <w:cantSplit/>
        </w:trPr>
        <w:tc>
          <w:tcPr>
            <w:tcW w:w="1800" w:type="dxa"/>
            <w:shd w:val="clear" w:color="auto" w:fill="FFFFFF"/>
          </w:tcPr>
          <w:p w14:paraId="6451CCDC">
            <w:pPr>
              <w:spacing w:after="0" w:line="240" w:lineRule="auto"/>
              <w:jc w:val="center"/>
            </w:pPr>
            <w:r>
              <w:t>会议定位</w:t>
            </w:r>
          </w:p>
        </w:tc>
        <w:tc>
          <w:tcPr>
            <w:tcW w:w="7560" w:type="dxa"/>
            <w:shd w:val="clear" w:color="auto" w:fill="FFFFFF"/>
          </w:tcPr>
          <w:p w14:paraId="312CF481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正式德尔菲咨询前的首轮专家预审会议，重点对20项初始能力框架、五维结构、考评指标和后续德尔菲实施方案提出修改意见。</w:t>
            </w:r>
          </w:p>
        </w:tc>
      </w:tr>
    </w:tbl>
    <w:p w14:paraId="15E26C24">
      <w:pPr>
        <w:spacing w:after="160"/>
        <w:rPr>
          <w:lang w:eastAsia="zh-CN"/>
        </w:rPr>
      </w:pPr>
    </w:p>
    <w:p w14:paraId="2A5B6AA9">
      <w:pPr>
        <w:pStyle w:val="3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二、会议总体说明</w:t>
      </w:r>
    </w:p>
    <w:p w14:paraId="1017971C">
      <w:pPr>
        <w:rPr>
          <w:lang w:eastAsia="zh-CN"/>
        </w:rPr>
      </w:pPr>
      <w:r>
        <w:rPr>
          <w:lang w:eastAsia="zh-CN"/>
        </w:rPr>
        <w:t>本次会议围绕《医学专业教师AI素养（CAIP-ME）能力清单及测评共识（2025）》初稿开展首轮专家点评。会议在文献综述、框架整合、能力条目拆解和前期准备工作基础上召开，旨在邀请跨学科专家对共识草案的价值导向、医学特色、能力维度、条目设置、考评可行性及后续德尔菲咨询方案进行集中审阅。</w:t>
      </w:r>
    </w:p>
    <w:p w14:paraId="740CCC1C">
      <w:pPr>
        <w:rPr>
          <w:lang w:eastAsia="zh-CN"/>
        </w:rPr>
      </w:pPr>
      <w:r>
        <w:rPr>
          <w:lang w:eastAsia="zh-CN"/>
        </w:rPr>
        <w:t>本轮会议的主要作用是为正式德尔菲咨询前的框架修订提供依据。专家意见集中指向分层分类评价、量化考评可操作性、伦理与公平深化、临床实践教学强化、文件结构优化、机构支持与动态迭代等方面。会后执笔组拟根据专家意见对20项初始能力条目进行修订和扩展，并进一步完善前言、术语、附录、考评方法和后续实施路径。</w:t>
      </w:r>
    </w:p>
    <w:p w14:paraId="29FF3E31">
      <w:pPr>
        <w:pStyle w:val="3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三、会议议程与主要内容</w:t>
      </w:r>
    </w:p>
    <w:p w14:paraId="4001A68E">
      <w:pPr>
        <w:pStyle w:val="4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（一）开场与致辞</w:t>
      </w:r>
    </w:p>
    <w:p w14:paraId="1A5F7DBD">
      <w:pPr>
        <w:rPr>
          <w:lang w:eastAsia="zh-CN"/>
        </w:rPr>
      </w:pPr>
      <w:r>
        <w:rPr>
          <w:lang w:eastAsia="zh-CN"/>
        </w:rPr>
        <w:t>主持人介绍会议背景、会议目标和会场纪律，并宣布会议开始。</w:t>
      </w:r>
    </w:p>
    <w:p w14:paraId="5DC9D764">
      <w:pPr>
        <w:pStyle w:val="16"/>
        <w:numPr>
          <w:ilvl w:val="0"/>
          <w:numId w:val="0"/>
        </w:numPr>
        <w:ind w:leftChars="0"/>
        <w:rPr>
          <w:lang w:eastAsia="zh-CN"/>
        </w:rPr>
      </w:pPr>
      <w:r>
        <w:rPr>
          <w:lang w:eastAsia="zh-CN"/>
        </w:rPr>
        <w:t>执笔组前期已通过文献综述、框架整合、能力拆解、专家预研及德尔菲法设计等步骤，形成涵盖五大维度、20项核心能力的共识草案</w:t>
      </w:r>
      <w:r>
        <w:rPr>
          <w:rFonts w:hint="eastAsia"/>
          <w:lang w:eastAsia="zh-CN"/>
        </w:rPr>
        <w:t>。</w:t>
      </w:r>
    </w:p>
    <w:p w14:paraId="2358F8A9">
      <w:pPr>
        <w:pStyle w:val="4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（二）专家介绍</w:t>
      </w:r>
    </w:p>
    <w:p w14:paraId="2748435D">
      <w:pPr>
        <w:rPr>
          <w:lang w:eastAsia="zh-CN"/>
        </w:rPr>
      </w:pPr>
      <w:r>
        <w:rPr>
          <w:lang w:eastAsia="zh-CN"/>
        </w:rPr>
        <w:t>主持人依次介绍参会点评专家。参会专家来自临床医学、基础医学、公共卫生、信息科学、人工智能、医学伦理、教育学、医学管理等多个领域，体现了本共识在医学教育、AI技术、伦理治理和教师发展等方面的跨学科属性。</w:t>
      </w:r>
    </w:p>
    <w:p w14:paraId="1A4D03B4">
      <w:pPr>
        <w:pStyle w:val="4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（三）共识编制情况及内容汇报</w:t>
      </w:r>
    </w:p>
    <w:p w14:paraId="1793DDB8">
      <w:pPr>
        <w:rPr>
          <w:lang w:eastAsia="zh-CN"/>
        </w:rPr>
      </w:pPr>
      <w:r>
        <w:rPr>
          <w:rFonts w:hint="eastAsia"/>
          <w:lang w:val="en-US" w:eastAsia="zh-CN"/>
        </w:rPr>
        <w:t>专家1</w:t>
      </w:r>
      <w:r>
        <w:rPr>
          <w:lang w:eastAsia="zh-CN"/>
        </w:rPr>
        <w:t>代表执笔组汇报共识编制背景、方法和初稿内容。汇报指出，生成式AI时代医学专业人员和医学教师需直面隐私保护、法律风险、伦理思辨、教学评价和学生合理使用AI等问题。前期团队已完成《医学生AI素养能力清单》相关工作，现推进医学教师版共识建设。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6760"/>
      </w:tblGrid>
      <w:tr w14:paraId="06E794E5">
        <w:trPr>
          <w:cantSplit/>
          <w:tblHeader/>
        </w:trPr>
        <w:tc>
          <w:tcPr>
            <w:tcW w:w="260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ADA0B5">
            <w:pPr>
              <w:spacing w:after="0" w:line="240" w:lineRule="auto"/>
              <w:jc w:val="center"/>
            </w:pPr>
            <w:r>
              <w:rPr>
                <w:rFonts w:eastAsia="黑体"/>
                <w:b/>
              </w:rPr>
              <w:t>维度</w:t>
            </w:r>
          </w:p>
        </w:tc>
        <w:tc>
          <w:tcPr>
            <w:tcW w:w="6760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FAF076">
            <w:pPr>
              <w:spacing w:after="0" w:line="240" w:lineRule="auto"/>
              <w:jc w:val="center"/>
            </w:pPr>
            <w:r>
              <w:rPr>
                <w:rFonts w:eastAsia="黑体"/>
                <w:b/>
              </w:rPr>
              <w:t>初始能力内容</w:t>
            </w:r>
          </w:p>
        </w:tc>
      </w:tr>
      <w:tr w14:paraId="11B27E4B">
        <w:trPr>
          <w:cantSplit/>
        </w:trPr>
        <w:tc>
          <w:tcPr>
            <w:tcW w:w="2600" w:type="dxa"/>
            <w:shd w:val="clear" w:color="auto" w:fill="FFFFFF"/>
          </w:tcPr>
          <w:p w14:paraId="7D47C73D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维度一：AI基础知识与技术认知</w:t>
            </w:r>
          </w:p>
        </w:tc>
        <w:tc>
          <w:tcPr>
            <w:tcW w:w="6760" w:type="dxa"/>
            <w:shd w:val="clear" w:color="auto" w:fill="FFFFFF"/>
          </w:tcPr>
          <w:p w14:paraId="45B37C4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AI核心概念掌握、医学AI工具辨识、AI技术追踪与发展能力。</w:t>
            </w:r>
          </w:p>
        </w:tc>
      </w:tr>
      <w:tr w14:paraId="031DA84C">
        <w:trPr>
          <w:cantSplit/>
        </w:trPr>
        <w:tc>
          <w:tcPr>
            <w:tcW w:w="2600" w:type="dxa"/>
            <w:shd w:val="clear" w:color="auto" w:fill="FFFFFF"/>
          </w:tcPr>
          <w:p w14:paraId="07A3AAF6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维度二：AI融合教学实施</w:t>
            </w:r>
          </w:p>
        </w:tc>
        <w:tc>
          <w:tcPr>
            <w:tcW w:w="6760" w:type="dxa"/>
            <w:shd w:val="clear" w:color="auto" w:fill="FFFFFF"/>
          </w:tcPr>
          <w:p w14:paraId="2CE25D2F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AI辅助教学设计、虚拟仿真教学、AI教学资源开发、AI协同课堂组织、学生学情AI分析、AI教学效果评估。</w:t>
            </w:r>
          </w:p>
        </w:tc>
      </w:tr>
      <w:tr w14:paraId="6E2308F7">
        <w:trPr>
          <w:cantSplit/>
        </w:trPr>
        <w:tc>
          <w:tcPr>
            <w:tcW w:w="2600" w:type="dxa"/>
            <w:shd w:val="clear" w:color="auto" w:fill="FFFFFF"/>
          </w:tcPr>
          <w:p w14:paraId="23CE2562">
            <w:pPr>
              <w:spacing w:after="0" w:line="240" w:lineRule="auto"/>
              <w:jc w:val="center"/>
            </w:pPr>
            <w:r>
              <w:t>维度三：伦理与合规</w:t>
            </w:r>
          </w:p>
        </w:tc>
        <w:tc>
          <w:tcPr>
            <w:tcW w:w="6760" w:type="dxa"/>
            <w:shd w:val="clear" w:color="auto" w:fill="FFFFFF"/>
          </w:tcPr>
          <w:p w14:paraId="367CD5CE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医学数据隐私与合规、伦理思辨引导、学术诚信引导、AI公平应用践行。</w:t>
            </w:r>
          </w:p>
        </w:tc>
      </w:tr>
      <w:tr w14:paraId="4F0BE6A2">
        <w:trPr>
          <w:cantSplit/>
        </w:trPr>
        <w:tc>
          <w:tcPr>
            <w:tcW w:w="2600" w:type="dxa"/>
            <w:shd w:val="clear" w:color="auto" w:fill="FFFFFF"/>
          </w:tcPr>
          <w:p w14:paraId="511BD05C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维度四：AI赋能科研创新</w:t>
            </w:r>
          </w:p>
        </w:tc>
        <w:tc>
          <w:tcPr>
            <w:tcW w:w="6760" w:type="dxa"/>
            <w:shd w:val="clear" w:color="auto" w:fill="FFFFFF"/>
          </w:tcPr>
          <w:p w14:paraId="3315312A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AI辅助文献分析、AI处理科研数据、AI辅助科研方案设计。</w:t>
            </w:r>
          </w:p>
        </w:tc>
      </w:tr>
      <w:tr w14:paraId="748B8F10">
        <w:trPr>
          <w:cantSplit/>
        </w:trPr>
        <w:tc>
          <w:tcPr>
            <w:tcW w:w="2600" w:type="dxa"/>
            <w:shd w:val="clear" w:color="auto" w:fill="FFFFFF"/>
          </w:tcPr>
          <w:p w14:paraId="169BAE8B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维度五：教学反思与发展</w:t>
            </w:r>
          </w:p>
        </w:tc>
        <w:tc>
          <w:tcPr>
            <w:tcW w:w="6760" w:type="dxa"/>
            <w:shd w:val="clear" w:color="auto" w:fill="FFFFFF"/>
          </w:tcPr>
          <w:p w14:paraId="6D83CE3B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AI教学实践反思、跨学科交流协作、教学创新实践、终身学习与适应。</w:t>
            </w:r>
          </w:p>
        </w:tc>
      </w:tr>
    </w:tbl>
    <w:p w14:paraId="28FC4CBA">
      <w:pPr>
        <w:spacing w:after="160"/>
        <w:rPr>
          <w:lang w:eastAsia="zh-CN"/>
        </w:rPr>
      </w:pPr>
    </w:p>
    <w:p w14:paraId="72185568">
      <w:pPr>
        <w:rPr>
          <w:lang w:eastAsia="zh-CN"/>
        </w:rPr>
      </w:pPr>
      <w:r>
        <w:rPr>
          <w:lang w:eastAsia="zh-CN"/>
        </w:rPr>
        <w:t>汇报同时说明，每项能力拟包含内涵界定、量化考评要点及考评方法。专家普遍认为考评方法仍需进一步斟酌，应在可操作性、一致性、分层分类和医学特色之间取得平衡。</w:t>
      </w:r>
    </w:p>
    <w:p w14:paraId="2A916ED1">
      <w:pPr>
        <w:pStyle w:val="3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四、专家点评意见汇总</w:t>
      </w:r>
    </w:p>
    <w:p w14:paraId="28552151">
      <w:r>
        <w:rPr>
          <w:lang w:eastAsia="zh-CN"/>
        </w:rPr>
        <w:t>与会专家围绕框架结构、能力条目、评价方式、伦理价值、临床场景、落地机制和后续标准化路径提出意见。</w:t>
      </w:r>
      <w:r>
        <w:t>主要意见归纳如下：</w:t>
      </w:r>
    </w:p>
    <w:p w14:paraId="2BA7E230"/>
    <w:p w14:paraId="5317BD3D"/>
    <w:tbl>
      <w:tblPr>
        <w:tblStyle w:val="33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6471"/>
      </w:tblGrid>
      <w:tr w14:paraId="2125AF80">
        <w:trPr>
          <w:cantSplit/>
          <w:tblHeader/>
          <w:jc w:val="center"/>
        </w:trPr>
        <w:tc>
          <w:tcPr>
            <w:tcW w:w="1975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BEEA6">
            <w:pPr>
              <w:spacing w:after="0" w:line="240" w:lineRule="auto"/>
              <w:jc w:val="center"/>
            </w:pPr>
            <w:r>
              <w:rPr>
                <w:rFonts w:eastAsia="黑体"/>
                <w:b/>
                <w:sz w:val="18"/>
              </w:rPr>
              <w:t>方向</w:t>
            </w:r>
          </w:p>
        </w:tc>
        <w:tc>
          <w:tcPr>
            <w:tcW w:w="6471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2F486C">
            <w:pPr>
              <w:spacing w:after="0" w:line="240" w:lineRule="auto"/>
              <w:jc w:val="center"/>
            </w:pPr>
            <w:r>
              <w:rPr>
                <w:rFonts w:eastAsia="黑体"/>
                <w:b/>
                <w:sz w:val="18"/>
              </w:rPr>
              <w:t>主要建议</w:t>
            </w:r>
          </w:p>
        </w:tc>
      </w:tr>
      <w:tr w14:paraId="0708FDE8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3DCA9605">
            <w:pPr>
              <w:spacing w:after="0" w:line="240" w:lineRule="auto"/>
              <w:jc w:val="center"/>
            </w:pPr>
            <w:r>
              <w:t>分层分类评价</w:t>
            </w:r>
          </w:p>
        </w:tc>
        <w:tc>
          <w:tcPr>
            <w:tcW w:w="6471" w:type="dxa"/>
            <w:shd w:val="clear" w:color="auto" w:fill="FFFFFF"/>
          </w:tcPr>
          <w:p w14:paraId="1FEA1376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建议根据教师类型、职称层级、AI认知发展阶段及教学任务差异开展差异化评价，避免“一刀切”。可设置必修能力与选修能力，形成基础要求与进阶要求相结合的评价体系。</w:t>
            </w:r>
          </w:p>
        </w:tc>
      </w:tr>
      <w:tr w14:paraId="3DF21F48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7F016699">
            <w:pPr>
              <w:spacing w:after="0" w:line="240" w:lineRule="auto"/>
              <w:jc w:val="center"/>
            </w:pPr>
            <w:r>
              <w:t>量化与可操作性</w:t>
            </w:r>
          </w:p>
        </w:tc>
        <w:tc>
          <w:tcPr>
            <w:tcW w:w="6471" w:type="dxa"/>
            <w:shd w:val="clear" w:color="auto" w:fill="FFFFFF"/>
          </w:tcPr>
          <w:p w14:paraId="73C9FA0F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建议对过细量化指标酌情放宽，或将其置于附录。考评方法应明确主观评价与客观评价的比例，提升一致性和可执行性；未来可探索统一评测平台或工具。</w:t>
            </w:r>
          </w:p>
        </w:tc>
      </w:tr>
      <w:tr w14:paraId="0A5082B2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0CA6D9BD">
            <w:pPr>
              <w:spacing w:after="0" w:line="240" w:lineRule="auto"/>
              <w:jc w:val="center"/>
            </w:pPr>
            <w:r>
              <w:t>框架与维度优化</w:t>
            </w:r>
          </w:p>
        </w:tc>
        <w:tc>
          <w:tcPr>
            <w:tcW w:w="6471" w:type="dxa"/>
            <w:shd w:val="clear" w:color="auto" w:fill="FFFFFF"/>
          </w:tcPr>
          <w:p w14:paraId="77FBCD32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建议进一步审视五大维度的平行性和逻辑层次，可从基本素养、知识体系、实践能力、评价能力等角度重构顶层设计；建议将human-centered AI或AI以人为本作为首要价值导向；第五维度中部分重叠能力可适当合并。</w:t>
            </w:r>
          </w:p>
        </w:tc>
      </w:tr>
      <w:tr w14:paraId="559341EF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4DB29592">
            <w:pPr>
              <w:spacing w:after="0" w:line="240" w:lineRule="auto"/>
              <w:jc w:val="center"/>
            </w:pPr>
            <w:r>
              <w:t>增补能力项</w:t>
            </w:r>
          </w:p>
        </w:tc>
        <w:tc>
          <w:tcPr>
            <w:tcW w:w="6471" w:type="dxa"/>
            <w:shd w:val="clear" w:color="auto" w:fill="FFFFFF"/>
          </w:tcPr>
          <w:p w14:paraId="5720D0A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建议增补突发公共卫生事件和新发传染病相关AI识别与防控示例，强化教师识别学生AI代写作业能力、AI生成内容批判性评估能力、AI偏见识别能力，以及AI辅助临床诊断决策理解与批判验证能力。</w:t>
            </w:r>
          </w:p>
        </w:tc>
      </w:tr>
      <w:tr w14:paraId="4A6BBA0D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0D555095">
            <w:pPr>
              <w:spacing w:after="0" w:line="240" w:lineRule="auto"/>
              <w:jc w:val="center"/>
            </w:pPr>
            <w:r>
              <w:t>伦理与公平深化</w:t>
            </w:r>
          </w:p>
        </w:tc>
        <w:tc>
          <w:tcPr>
            <w:tcW w:w="6471" w:type="dxa"/>
            <w:shd w:val="clear" w:color="auto" w:fill="FFFFFF"/>
          </w:tcPr>
          <w:p w14:paraId="1D01270B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建议将伦理要求从合规底线提升至医学伦理价值导向，关注AI教学可能放大健康不平等和结构性偏见的风险；建议在AI公平应用中增加学生数字素养诊断与干预能力。</w:t>
            </w:r>
          </w:p>
        </w:tc>
      </w:tr>
      <w:tr w14:paraId="3655E634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21CD5366">
            <w:pPr>
              <w:spacing w:after="0" w:line="240" w:lineRule="auto"/>
              <w:jc w:val="center"/>
            </w:pPr>
            <w:r>
              <w:t>临床实践教学强化</w:t>
            </w:r>
          </w:p>
        </w:tc>
        <w:tc>
          <w:tcPr>
            <w:tcW w:w="6471" w:type="dxa"/>
            <w:shd w:val="clear" w:color="auto" w:fill="FFFFFF"/>
          </w:tcPr>
          <w:p w14:paraId="5D053F41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建议进一步加强临床带教场景中AI应用，包括CBL、PBL、模拟教学、查房、临床决策支持理解与批判性验证等内容，以体现医学专业特色。</w:t>
            </w:r>
          </w:p>
        </w:tc>
      </w:tr>
      <w:tr w14:paraId="27D7B9AE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186D1848">
            <w:pPr>
              <w:spacing w:after="0" w:line="240" w:lineRule="auto"/>
              <w:jc w:val="center"/>
            </w:pPr>
            <w:r>
              <w:t>文件结构与落地</w:t>
            </w:r>
          </w:p>
        </w:tc>
        <w:tc>
          <w:tcPr>
            <w:tcW w:w="6471" w:type="dxa"/>
            <w:shd w:val="clear" w:color="auto" w:fill="FFFFFF"/>
          </w:tcPr>
          <w:p w14:paraId="2C494F42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建议前置背景、目标人群、适用范围、维度关系图和术语表，将详细考评要点置于附件。建议推动部委联合发布或先行试点，形成边使用、边反馈、边迭代的工作机制。</w:t>
            </w:r>
          </w:p>
        </w:tc>
      </w:tr>
      <w:tr w14:paraId="5D6F99E4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19FAFD1D">
            <w:pPr>
              <w:spacing w:after="0" w:line="240" w:lineRule="auto"/>
              <w:jc w:val="center"/>
            </w:pPr>
            <w:r>
              <w:t>参考对标</w:t>
            </w:r>
          </w:p>
        </w:tc>
        <w:tc>
          <w:tcPr>
            <w:tcW w:w="6471" w:type="dxa"/>
            <w:shd w:val="clear" w:color="auto" w:fill="FFFFFF"/>
          </w:tcPr>
          <w:p w14:paraId="4CCCFE27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建议与教育部《教师数字素养》相关标准及UNESCO教师AI素养框架进行对标，并明确本共识相较通用教师AI素养框架的医学特色。</w:t>
            </w:r>
          </w:p>
        </w:tc>
      </w:tr>
      <w:tr w14:paraId="0CA84897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1D6F9579">
            <w:pPr>
              <w:spacing w:after="0" w:line="240" w:lineRule="auto"/>
              <w:jc w:val="center"/>
            </w:pPr>
            <w:r>
              <w:t>学生素养同步</w:t>
            </w:r>
          </w:p>
        </w:tc>
        <w:tc>
          <w:tcPr>
            <w:tcW w:w="6471" w:type="dxa"/>
            <w:shd w:val="clear" w:color="auto" w:fill="FFFFFF"/>
          </w:tcPr>
          <w:p w14:paraId="5CC60E0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建议同步关注医学生AI素养建设，与教师AI素养框架形成衔接。执笔组说明医学生AI素养相关工作已完成并发布。</w:t>
            </w:r>
          </w:p>
        </w:tc>
      </w:tr>
      <w:tr w14:paraId="0195B9BE">
        <w:trPr>
          <w:cantSplit/>
          <w:jc w:val="center"/>
        </w:trPr>
        <w:tc>
          <w:tcPr>
            <w:tcW w:w="1975" w:type="dxa"/>
            <w:shd w:val="clear" w:color="auto" w:fill="FFFFFF"/>
          </w:tcPr>
          <w:p w14:paraId="2EF573A4">
            <w:pPr>
              <w:spacing w:after="0" w:line="240" w:lineRule="auto"/>
              <w:jc w:val="center"/>
            </w:pPr>
            <w:r>
              <w:t>机构支持</w:t>
            </w:r>
          </w:p>
        </w:tc>
        <w:tc>
          <w:tcPr>
            <w:tcW w:w="6471" w:type="dxa"/>
            <w:shd w:val="clear" w:color="auto" w:fill="FFFFFF"/>
          </w:tcPr>
          <w:p w14:paraId="1962298E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建议补充院校和医院对教师AI教学创新的制度、资源、平台和评价支持；建议增加跨机构协同，包括校-院-企及国际协作，共建医学教育AI生态。</w:t>
            </w:r>
          </w:p>
        </w:tc>
      </w:tr>
    </w:tbl>
    <w:p w14:paraId="68036C49">
      <w:pPr>
        <w:spacing w:after="160"/>
      </w:pPr>
    </w:p>
    <w:p w14:paraId="665E2A8C">
      <w:pPr>
        <w:pStyle w:val="3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五、会议总结与后续工作安排</w:t>
      </w:r>
    </w:p>
    <w:p w14:paraId="45933618">
      <w:pPr>
        <w:pStyle w:val="16"/>
        <w:rPr>
          <w:lang w:eastAsia="zh-CN"/>
        </w:rPr>
      </w:pPr>
      <w:r>
        <w:rPr>
          <w:lang w:eastAsia="zh-CN"/>
        </w:rPr>
        <w:t>意见梳理：会后执笔组将系统整理2</w:t>
      </w:r>
      <w:r>
        <w:rPr>
          <w:rFonts w:hint="eastAsia"/>
          <w:lang w:val="en-US" w:eastAsia="zh-CN"/>
        </w:rPr>
        <w:t>4</w:t>
      </w:r>
      <w:r>
        <w:rPr>
          <w:lang w:eastAsia="zh-CN"/>
        </w:rPr>
        <w:t>位专家的口头及书面意见，并逐条研判吸纳。</w:t>
      </w:r>
    </w:p>
    <w:p w14:paraId="3B8F0C83">
      <w:pPr>
        <w:pStyle w:val="16"/>
        <w:rPr>
          <w:lang w:eastAsia="zh-CN"/>
        </w:rPr>
      </w:pPr>
      <w:r>
        <w:rPr>
          <w:lang w:eastAsia="zh-CN"/>
        </w:rPr>
        <w:t>修订方向：依据专家意见修订能力表述，优化五维框架和能力条目，完善前言、目标人群、适用范围、术语表、附录及考评方法。</w:t>
      </w:r>
    </w:p>
    <w:p w14:paraId="79DFD69A">
      <w:pPr>
        <w:pStyle w:val="16"/>
        <w:rPr>
          <w:lang w:eastAsia="zh-CN"/>
        </w:rPr>
      </w:pPr>
      <w:r>
        <w:rPr>
          <w:lang w:eastAsia="zh-CN"/>
        </w:rPr>
        <w:t>能力清单完善：在20项初始能力基础上，结合专家建议进一步补充和整合能力条目，为后续正式德尔菲咨询形成更完善版本。</w:t>
      </w:r>
    </w:p>
    <w:p w14:paraId="1B38CA0F">
      <w:pPr>
        <w:pStyle w:val="16"/>
        <w:rPr>
          <w:lang w:eastAsia="zh-CN"/>
        </w:rPr>
      </w:pPr>
      <w:r>
        <w:rPr>
          <w:lang w:eastAsia="zh-CN"/>
        </w:rPr>
        <w:t>后续流程：开展两轮德尔菲专家咨询，推进多院校试点应用，持续迭代，并探索申请团体标准或国家级医学教育AI素养指引。</w:t>
      </w:r>
    </w:p>
    <w:p w14:paraId="6CAC5B84">
      <w:pPr>
        <w:pStyle w:val="16"/>
        <w:rPr>
          <w:lang w:eastAsia="zh-CN"/>
        </w:rPr>
      </w:pPr>
      <w:r>
        <w:rPr>
          <w:lang w:eastAsia="zh-CN"/>
        </w:rPr>
        <w:t>持续参与：邀请各位专家继续参与后续德尔菲函询、试点验证和共识修订工作。</w:t>
      </w:r>
    </w:p>
    <w:p w14:paraId="17F2D28A">
      <w:pPr>
        <w:rPr>
          <w:rFonts w:ascii="黑体" w:hAnsi="黑体" w:eastAsia="黑体"/>
          <w:lang w:eastAsia="zh-CN"/>
        </w:rPr>
      </w:pPr>
    </w:p>
    <w:p w14:paraId="141F2C37">
      <w:pPr>
        <w:rPr>
          <w:rFonts w:ascii="黑体" w:hAnsi="黑体" w:eastAsia="黑体"/>
          <w:lang w:eastAsia="zh-CN"/>
        </w:rPr>
      </w:pPr>
    </w:p>
    <w:p w14:paraId="429B07A8">
      <w:pPr>
        <w:rPr>
          <w:rFonts w:ascii="黑体" w:hAnsi="黑体" w:eastAsia="黑体"/>
          <w:b/>
          <w:bCs/>
          <w:sz w:val="28"/>
          <w:szCs w:val="28"/>
          <w:lang w:eastAsia="zh-CN"/>
        </w:rPr>
      </w:pPr>
      <w:r>
        <w:rPr>
          <w:rFonts w:ascii="黑体" w:hAnsi="黑体" w:eastAsia="黑体"/>
          <w:b/>
          <w:bCs/>
          <w:sz w:val="28"/>
          <w:szCs w:val="28"/>
          <w:lang w:eastAsia="zh-CN"/>
        </w:rPr>
        <w:t>附</w:t>
      </w:r>
      <w:r>
        <w:rPr>
          <w:rFonts w:hint="eastAsia" w:ascii="黑体" w:hAnsi="黑体" w:eastAsia="黑体" w:cs="微软雅黑"/>
          <w:b/>
          <w:bCs/>
          <w:sz w:val="28"/>
          <w:szCs w:val="28"/>
          <w:lang w:eastAsia="zh-CN"/>
        </w:rPr>
        <w:t>录</w:t>
      </w:r>
      <w:r>
        <w:rPr>
          <w:rFonts w:ascii="黑体" w:hAnsi="黑体" w:eastAsia="黑体"/>
          <w:b/>
          <w:bCs/>
          <w:sz w:val="28"/>
          <w:szCs w:val="28"/>
          <w:lang w:eastAsia="zh-CN"/>
        </w:rPr>
        <w:t>：参会</w:t>
      </w:r>
      <w:r>
        <w:rPr>
          <w:rFonts w:hint="eastAsia" w:ascii="黑体" w:hAnsi="黑体" w:eastAsia="黑体" w:cs="微软雅黑"/>
          <w:b/>
          <w:bCs/>
          <w:sz w:val="28"/>
          <w:szCs w:val="28"/>
          <w:lang w:eastAsia="zh-CN"/>
        </w:rPr>
        <w:t>专</w:t>
      </w:r>
      <w:r>
        <w:rPr>
          <w:rFonts w:ascii="黑体" w:hAnsi="黑体" w:eastAsia="黑体"/>
          <w:b/>
          <w:bCs/>
          <w:sz w:val="28"/>
          <w:szCs w:val="28"/>
          <w:lang w:eastAsia="zh-CN"/>
        </w:rPr>
        <w:t>家名</w:t>
      </w:r>
      <w:r>
        <w:rPr>
          <w:rFonts w:hint="eastAsia" w:ascii="黑体" w:hAnsi="黑体" w:eastAsia="黑体" w:cs="微软雅黑"/>
          <w:b/>
          <w:bCs/>
          <w:sz w:val="28"/>
          <w:szCs w:val="28"/>
          <w:lang w:eastAsia="zh-CN"/>
        </w:rPr>
        <w:t>单</w:t>
      </w:r>
    </w:p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6499"/>
      </w:tblGrid>
      <w:tr w14:paraId="077375AE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2D5956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马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乐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103BD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西安交通大学公共卫生学院副院长</w:t>
            </w:r>
          </w:p>
        </w:tc>
      </w:tr>
      <w:tr w14:paraId="36D83A30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124041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马永慧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1DD52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厦门大学医学院生命伦理中心主任</w:t>
            </w:r>
          </w:p>
        </w:tc>
      </w:tr>
      <w:tr w14:paraId="21C37B02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19F1DA6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史颖弘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4FC9DC57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复旦大学附属中山医院副院长</w:t>
            </w:r>
          </w:p>
        </w:tc>
      </w:tr>
      <w:tr w14:paraId="0213DC0E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60E1783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石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锐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4C7BEB17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四川大学华西医院信息处处长</w:t>
            </w:r>
          </w:p>
        </w:tc>
      </w:tr>
      <w:tr w14:paraId="73D51358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3CDB0F8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刘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辉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7E8E79C3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中国医学科学院北京协和医院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医学信息研究所所长</w:t>
            </w:r>
          </w:p>
        </w:tc>
      </w:tr>
      <w:tr w14:paraId="5D34FF94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601F246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刘章锁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61749BF8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郑州大学附属第一医院肾内科教授</w:t>
            </w:r>
          </w:p>
        </w:tc>
      </w:tr>
      <w:tr w14:paraId="340ACB39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3543358D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孙佳月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1FB518FC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东北大学</w:t>
            </w:r>
            <w:r>
              <w:rPr>
                <w:rFonts w:hint="eastAsia" w:ascii="仿宋" w:hAnsi="仿宋" w:eastAsia="仿宋" w:cs="华文仿宋"/>
                <w:color w:val="333333"/>
                <w:sz w:val="28"/>
                <w:szCs w:val="28"/>
                <w:shd w:val="clear" w:color="auto" w:fill="FFFFFF"/>
              </w:rPr>
              <w:t>信息科学与工程学院教授</w:t>
            </w:r>
          </w:p>
        </w:tc>
      </w:tr>
      <w:tr w14:paraId="367A4F71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1B37801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吴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昊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2BAB5E81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重庆医科大学附属第一医院党委书记</w:t>
            </w:r>
          </w:p>
        </w:tc>
      </w:tr>
      <w:tr w14:paraId="764A7A7D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0DB2333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张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闯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58B3F16F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北京邮电大学教授、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北京物资学院副院长</w:t>
            </w:r>
          </w:p>
        </w:tc>
      </w:tr>
      <w:tr w14:paraId="6BB79B56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6DC6EB69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张文生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33088890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中国科学院自动化研究所研究员</w:t>
            </w:r>
          </w:p>
        </w:tc>
      </w:tr>
      <w:tr w14:paraId="7CA08720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3C6FB03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李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航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37830D4E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中国医学科学院北京协和医院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教育处处长</w:t>
            </w:r>
          </w:p>
        </w:tc>
      </w:tr>
      <w:tr w14:paraId="3D2D85F4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152096F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李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维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7FA21B44">
            <w:pPr>
              <w:spacing w:line="360" w:lineRule="auto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北京大学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医学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图书馆副馆长</w:t>
            </w:r>
          </w:p>
        </w:tc>
      </w:tr>
      <w:tr w14:paraId="105A1293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37D8333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李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勤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0757459A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北京理工大学医学技术学院副院长</w:t>
            </w:r>
          </w:p>
        </w:tc>
      </w:tr>
      <w:tr w14:paraId="66F5E73A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50D5706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迟宝荣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3DB251FE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吉林大学学位委员会副主任</w:t>
            </w:r>
          </w:p>
        </w:tc>
      </w:tr>
      <w:tr w14:paraId="356B4CC8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51ED2171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陈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卉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6095C4A0">
            <w:pPr>
              <w:spacing w:line="360" w:lineRule="auto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首都医科大学生物医学工程学院智能医学工程系主任</w:t>
            </w:r>
          </w:p>
        </w:tc>
      </w:tr>
      <w:tr w14:paraId="5204D255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472033B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陈清财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7EFEC3D7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哈尔滨工业大学（深圳）智能计算研究中心主任</w:t>
            </w:r>
          </w:p>
        </w:tc>
      </w:tr>
      <w:tr w14:paraId="4848DD6B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244454F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姚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岚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37C90771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华中科大附属同济医学院卫管学院院长</w:t>
            </w:r>
          </w:p>
        </w:tc>
      </w:tr>
      <w:tr w14:paraId="37605142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396B310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洪</w:t>
            </w:r>
            <w:r>
              <w:rPr>
                <w:rFonts w:hint="eastAsia" w:ascii="仿宋" w:hAnsi="仿宋" w:eastAsia="仿宋" w:cs="华文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莉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4F7BDFB1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上海交通大学医学院附属上海儿童医学中心副院长</w:t>
            </w:r>
          </w:p>
        </w:tc>
      </w:tr>
      <w:tr w14:paraId="6B21B489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08392B4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骆斯慧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3771466B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中国科学技术大学附属第一医院内分泌代谢科研究员</w:t>
            </w:r>
          </w:p>
        </w:tc>
      </w:tr>
      <w:tr w14:paraId="36BA3B30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65DDCBD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卿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平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1EB24DD8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四川大学华西医学中心教学部部长</w:t>
            </w:r>
          </w:p>
        </w:tc>
      </w:tr>
      <w:tr w14:paraId="2F825038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7D0EA7D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陶春静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0EF908D5">
            <w:pPr>
              <w:spacing w:line="360" w:lineRule="auto"/>
              <w:jc w:val="center"/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北京航空航天大学医学科学与工程学院副院长</w:t>
            </w:r>
          </w:p>
        </w:tc>
      </w:tr>
      <w:tr w14:paraId="109F83D4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193681E9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彭志行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75FE56BD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中国疾病预防控制中心信息中心副主任</w:t>
            </w:r>
          </w:p>
        </w:tc>
      </w:tr>
      <w:tr w14:paraId="5FB16CF4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5C01CCE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曾志嵘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3BD53115">
            <w:pPr>
              <w:spacing w:line="360" w:lineRule="auto"/>
              <w:jc w:val="center"/>
            </w:pPr>
            <w:bookmarkStart w:id="0" w:name="OLE_LINK2"/>
            <w:r>
              <w:rPr>
                <w:rFonts w:hint="eastAsia" w:ascii="仿宋" w:hAnsi="仿宋" w:eastAsia="仿宋" w:cs="华文仿宋"/>
                <w:sz w:val="28"/>
                <w:szCs w:val="28"/>
              </w:rPr>
              <w:t>广东医科大学副校长</w:t>
            </w:r>
            <w:bookmarkEnd w:id="0"/>
          </w:p>
        </w:tc>
      </w:tr>
      <w:tr w14:paraId="5749391F">
        <w:trPr>
          <w:jc w:val="center"/>
        </w:trPr>
        <w:tc>
          <w:tcPr>
            <w:tcW w:w="2023" w:type="dxa"/>
            <w:tcBorders>
              <w:tl2br w:val="nil"/>
              <w:tr2bl w:val="nil"/>
            </w:tcBorders>
            <w:vAlign w:val="center"/>
          </w:tcPr>
          <w:p w14:paraId="794CE9B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</w:pPr>
            <w:r>
              <w:rPr>
                <w:rFonts w:hint="eastAsia" w:ascii="仿宋" w:hAnsi="仿宋" w:eastAsia="仿宋" w:cs="华文仿宋"/>
                <w:sz w:val="28"/>
                <w:szCs w:val="28"/>
              </w:rPr>
              <w:t>薛华丹</w:t>
            </w:r>
          </w:p>
        </w:tc>
        <w:tc>
          <w:tcPr>
            <w:tcW w:w="6499" w:type="dxa"/>
            <w:tcBorders>
              <w:tl2br w:val="nil"/>
              <w:tr2bl w:val="nil"/>
            </w:tcBorders>
            <w:vAlign w:val="center"/>
          </w:tcPr>
          <w:p w14:paraId="045E9324">
            <w:pPr>
              <w:spacing w:line="360" w:lineRule="auto"/>
              <w:jc w:val="center"/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中国医学科学院北京协和医院</w:t>
            </w:r>
            <w:r>
              <w:rPr>
                <w:rFonts w:hint="eastAsia" w:ascii="仿宋" w:hAnsi="仿宋" w:eastAsia="仿宋" w:cs="华文仿宋"/>
                <w:sz w:val="28"/>
                <w:szCs w:val="28"/>
              </w:rPr>
              <w:t>放射科副主任兼西院放射科主任</w:t>
            </w:r>
          </w:p>
        </w:tc>
      </w:tr>
    </w:tbl>
    <w:p w14:paraId="195741DE">
      <w:pPr>
        <w:spacing w:after="160" w:line="360" w:lineRule="auto"/>
        <w:jc w:val="center"/>
        <w:rPr>
          <w:rFonts w:ascii="仿宋" w:hAnsi="仿宋" w:eastAsia="仿宋"/>
          <w:sz w:val="28"/>
          <w:szCs w:val="28"/>
          <w:lang w:eastAsia="zh-CN"/>
        </w:rPr>
      </w:pPr>
    </w:p>
    <w:sectPr>
      <w:footerReference r:id="rId5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18DB4">
    <w:pPr>
      <w:pStyle w:val="24"/>
      <w:jc w:val="center"/>
      <w:rPr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7DF0"/>
    <w:rsid w:val="0015074B"/>
    <w:rsid w:val="00213492"/>
    <w:rsid w:val="0029639D"/>
    <w:rsid w:val="00326F90"/>
    <w:rsid w:val="003E1E71"/>
    <w:rsid w:val="005A1093"/>
    <w:rsid w:val="009318C0"/>
    <w:rsid w:val="00AA1D8D"/>
    <w:rsid w:val="00B47730"/>
    <w:rsid w:val="00B87998"/>
    <w:rsid w:val="00CB0664"/>
    <w:rsid w:val="00FC693F"/>
    <w:rsid w:val="5FBEE59B"/>
    <w:rsid w:val="6F1FBD74"/>
    <w:rsid w:val="7DED8A76"/>
    <w:rsid w:val="8F79FDE8"/>
    <w:rsid w:val="F9BD4239"/>
    <w:rsid w:val="FE8FB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Times New Roman" w:hAnsi="Times New Roman" w:eastAsia="宋体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60"/>
      <w:outlineLvl w:val="0"/>
    </w:pPr>
    <w:rPr>
      <w:rFonts w:asciiTheme="majorHAnsi" w:hAnsiTheme="majorHAnsi" w:eastAsiaTheme="majorEastAsia" w:cstheme="majorBidi"/>
      <w:b/>
      <w:bCs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80"/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80"/>
      <w:contextualSpacing/>
    </w:pPr>
  </w:style>
  <w:style w:type="paragraph" w:styleId="17">
    <w:name w:val="Body Text 3"/>
    <w:basedOn w:val="1"/>
    <w:link w:val="146"/>
    <w:unhideWhenUsed/>
    <w:uiPriority w:val="99"/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line="480" w:lineRule="auto"/>
    </w:pPr>
  </w:style>
  <w:style w:type="paragraph" w:styleId="29">
    <w:name w:val="List Continue 2"/>
    <w:basedOn w:val="1"/>
    <w:unhideWhenUsed/>
    <w:uiPriority w:val="99"/>
    <w:pPr>
      <w:ind w:left="720"/>
      <w:contextualSpacing/>
    </w:pPr>
  </w:style>
  <w:style w:type="paragraph" w:styleId="30">
    <w:name w:val="List Continue 3"/>
    <w:basedOn w:val="1"/>
    <w:unhideWhenUsed/>
    <w:uiPriority w:val="99"/>
    <w:pPr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583</Words>
  <Characters>3325</Characters>
  <Lines>27</Lines>
  <Paragraphs>7</Paragraphs>
  <TotalTime>2</TotalTime>
  <ScaleCrop>false</ScaleCrop>
  <LinksUpToDate>false</LinksUpToDate>
  <CharactersWithSpaces>3901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2026-06-27T04:43:00Z</dcterms:created>
  <dc:creator>python-docx</dc:creator>
  <dc:description>generated by python-docx</dc:description>
  <cp:lastModifiedBy>WPS_1582889378</cp:lastModifiedBy>
  <dcterms:modified xsi:type="dcterms:W3CDTF">2026-08-28T17:32:45Z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1BFF5F7AC01F95ADBD55916A278F0564_43</vt:lpwstr>
  </property>
</Properties>
</file>