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C9101" w14:textId="77777777" w:rsidR="00FB561C" w:rsidRPr="004E5AB1" w:rsidRDefault="00FB561C" w:rsidP="00FB561C">
      <w:pPr>
        <w:pStyle w:val="Heading2"/>
        <w:rPr>
          <w:rFonts w:ascii="Times New Roman" w:hAnsi="Times New Roman" w:cs="Times New Roman"/>
        </w:rPr>
      </w:pPr>
      <w:r w:rsidRPr="004E5AB1">
        <w:rPr>
          <w:rFonts w:ascii="Times New Roman" w:eastAsia="Times New Roman" w:hAnsi="Times New Roman" w:cs="Times New Roman"/>
        </w:rPr>
        <w:t>Appendix:</w:t>
      </w:r>
    </w:p>
    <w:p w14:paraId="6083C22E" w14:textId="77777777" w:rsidR="00FB561C" w:rsidRPr="004E5AB1" w:rsidRDefault="00FB561C" w:rsidP="00FB561C">
      <w:pPr>
        <w:pStyle w:val="Heading3"/>
        <w:rPr>
          <w:rFonts w:ascii="Times New Roman" w:hAnsi="Times New Roman" w:cs="Times New Roman"/>
        </w:rPr>
      </w:pPr>
      <w:r w:rsidRPr="004E5AB1">
        <w:rPr>
          <w:rFonts w:ascii="Times New Roman" w:eastAsia="Times New Roman" w:hAnsi="Times New Roman" w:cs="Times New Roman"/>
        </w:rPr>
        <w:t>Glossary of Key Terms</w:t>
      </w:r>
      <w:r w:rsidRPr="004E5AB1">
        <w:rPr>
          <w:rFonts w:ascii="Times New Roman" w:hAnsi="Times New Roman" w:cs="Times New Roman"/>
        </w:rPr>
        <w:t xml:space="preserve"> (also provided as Additional file 12)</w:t>
      </w:r>
    </w:p>
    <w:p w14:paraId="39BD516D" w14:textId="77777777" w:rsidR="00FB561C" w:rsidRPr="004E5AB1" w:rsidRDefault="00FB561C" w:rsidP="00FB561C">
      <w:pPr>
        <w:rPr>
          <w:rFonts w:ascii="Times New Roman" w:hAnsi="Times New Roman" w:cs="Times New Roman"/>
        </w:rPr>
      </w:pPr>
      <w:r w:rsidRPr="004E5AB1">
        <w:rPr>
          <w:rStyle w:val="Strong"/>
          <w:rFonts w:ascii="Times New Roman" w:eastAsia="Times New Roman" w:hAnsi="Times New Roman" w:cs="Times New Roman"/>
          <w:b w:val="0"/>
          <w:bCs/>
          <w:i/>
          <w:iCs/>
        </w:rPr>
        <w:t>Generative AI</w:t>
      </w:r>
      <w:r w:rsidRPr="004E5AB1">
        <w:rPr>
          <w:rFonts w:ascii="Times New Roman" w:eastAsia="Times New Roman" w:hAnsi="Times New Roman" w:cs="Times New Roman"/>
        </w:rPr>
        <w:br/>
        <w:t>Refers to next-generation artificial intelligence technologies capable of generating multimodal content—including text, code, images, audio, and video—and specifically applied in contexts such as medical education, clinical decision support, and health management. It represents the core technological paradigm and a key driver of educational transformation addressed in this consensus.</w:t>
      </w:r>
    </w:p>
    <w:p w14:paraId="2EE99FF6" w14:textId="77777777" w:rsidR="00FB561C" w:rsidRPr="004E5AB1" w:rsidRDefault="00FB561C" w:rsidP="00FB561C">
      <w:pPr>
        <w:rPr>
          <w:rFonts w:ascii="Times New Roman" w:hAnsi="Times New Roman" w:cs="Times New Roman"/>
        </w:rPr>
      </w:pPr>
      <w:r w:rsidRPr="004E5AB1">
        <w:rPr>
          <w:rStyle w:val="Strong"/>
          <w:rFonts w:ascii="Times New Roman" w:eastAsia="Times New Roman" w:hAnsi="Times New Roman" w:cs="Times New Roman"/>
          <w:b w:val="0"/>
          <w:bCs/>
          <w:i/>
          <w:iCs/>
        </w:rPr>
        <w:t>AI Literacy for Medical Educators</w:t>
      </w:r>
      <w:r w:rsidRPr="004E5AB1">
        <w:rPr>
          <w:rFonts w:ascii="Times New Roman" w:eastAsia="Times New Roman" w:hAnsi="Times New Roman" w:cs="Times New Roman"/>
        </w:rPr>
        <w:br/>
        <w:t>Denotes the integrated set of knowledge, skills, attitudes, and values that medical educators should possess to adapt to the new human–AI collaborative educational paradigm. This includes cognitive understanding, technical application, ethical judgment, innovative practice, and ecosystem-building capacities related to AI. Its essence lies in becoming a “wise educator” who can understand, harness, critically evaluate, and ethically leverage AI to enhance medical education.</w:t>
      </w:r>
    </w:p>
    <w:p w14:paraId="53AA6048" w14:textId="77777777" w:rsidR="00FB561C" w:rsidRPr="004E5AB1" w:rsidRDefault="00FB561C" w:rsidP="00FB561C">
      <w:pPr>
        <w:rPr>
          <w:rFonts w:ascii="Times New Roman" w:hAnsi="Times New Roman" w:cs="Times New Roman"/>
        </w:rPr>
      </w:pPr>
      <w:r w:rsidRPr="004E5AB1">
        <w:rPr>
          <w:rStyle w:val="Strong"/>
          <w:rFonts w:ascii="Times New Roman" w:eastAsia="Times New Roman" w:hAnsi="Times New Roman" w:cs="Times New Roman"/>
          <w:b w:val="0"/>
          <w:bCs/>
          <w:i/>
          <w:iCs/>
        </w:rPr>
        <w:t>Competency Framework</w:t>
      </w:r>
      <w:r w:rsidRPr="004E5AB1">
        <w:rPr>
          <w:rFonts w:ascii="Times New Roman" w:eastAsia="Times New Roman" w:hAnsi="Times New Roman" w:cs="Times New Roman"/>
        </w:rPr>
        <w:br/>
        <w:t>A structured model that systematically describes the core dimensions, specific competencies, and interrelationships constituting AI literacy for medical educators. It provides clear, standardized guidance for faculty professional development, competency assessment, training program design, and institutional faculty capacity building.</w:t>
      </w:r>
    </w:p>
    <w:p w14:paraId="4A3C81AC" w14:textId="77777777" w:rsidR="00FB561C" w:rsidRPr="004E5AB1" w:rsidRDefault="00FB561C" w:rsidP="00FB561C">
      <w:pPr>
        <w:rPr>
          <w:rFonts w:ascii="Times New Roman" w:hAnsi="Times New Roman" w:cs="Times New Roman"/>
        </w:rPr>
      </w:pPr>
      <w:r w:rsidRPr="004E5AB1">
        <w:rPr>
          <w:rStyle w:val="Strong"/>
          <w:rFonts w:ascii="Times New Roman" w:eastAsia="Times New Roman" w:hAnsi="Times New Roman" w:cs="Times New Roman"/>
          <w:b w:val="0"/>
          <w:bCs/>
          <w:i/>
          <w:iCs/>
        </w:rPr>
        <w:t>Foundational Competencies</w:t>
      </w:r>
      <w:r w:rsidRPr="004E5AB1">
        <w:rPr>
          <w:rFonts w:ascii="Times New Roman" w:eastAsia="Times New Roman" w:hAnsi="Times New Roman" w:cs="Times New Roman"/>
        </w:rPr>
        <w:br/>
        <w:t xml:space="preserve">The essential baseline knowledge and skills required for all medical educators to meet the basic demands of teaching in the AI era. These competencies ensure minimum standards of teaching </w:t>
      </w:r>
      <w:r w:rsidRPr="004E5AB1">
        <w:rPr>
          <w:rFonts w:ascii="Times New Roman" w:eastAsia="Times New Roman" w:hAnsi="Times New Roman" w:cs="Times New Roman"/>
        </w:rPr>
        <w:lastRenderedPageBreak/>
        <w:t>quality, safety, and ethical compliance and constitute mandatory content in institutional faculty training and the benchmark for teacher evaluation.</w:t>
      </w:r>
    </w:p>
    <w:p w14:paraId="0E478352" w14:textId="77777777" w:rsidR="00FB561C" w:rsidRPr="004E5AB1" w:rsidRDefault="00FB561C" w:rsidP="00FB561C">
      <w:pPr>
        <w:rPr>
          <w:rFonts w:ascii="Times New Roman" w:hAnsi="Times New Roman" w:cs="Times New Roman"/>
        </w:rPr>
      </w:pPr>
      <w:r w:rsidRPr="004E5AB1">
        <w:rPr>
          <w:rFonts w:ascii="Times New Roman" w:eastAsia="Times New Roman" w:hAnsi="Times New Roman" w:cs="Times New Roman"/>
        </w:rPr>
        <w:t>Developmental Competencies</w:t>
      </w:r>
      <w:r w:rsidRPr="004E5AB1">
        <w:rPr>
          <w:rFonts w:ascii="Times New Roman" w:eastAsia="Times New Roman" w:hAnsi="Times New Roman" w:cs="Times New Roman"/>
        </w:rPr>
        <w:br/>
        <w:t>Advanced proficiencies that educators may selectively cultivate beyond foundational competencies, aligned with their discipline, course characteristics, and career aspirations. These reflect individualized pathways toward teaching excellence, research innovation, or leadership roles, showcasing professional distinctiveness and developmental depth.</w:t>
      </w:r>
    </w:p>
    <w:p w14:paraId="6885A07A" w14:textId="77777777" w:rsidR="00FB561C" w:rsidRPr="004E5AB1" w:rsidRDefault="00FB561C" w:rsidP="00FB561C">
      <w:pPr>
        <w:rPr>
          <w:rFonts w:ascii="Times New Roman" w:hAnsi="Times New Roman" w:cs="Times New Roman"/>
        </w:rPr>
      </w:pPr>
      <w:r w:rsidRPr="004E5AB1">
        <w:rPr>
          <w:rStyle w:val="Strong"/>
          <w:rFonts w:ascii="Times New Roman" w:eastAsia="Times New Roman" w:hAnsi="Times New Roman" w:cs="Times New Roman"/>
          <w:b w:val="0"/>
          <w:bCs/>
          <w:i/>
          <w:iCs/>
        </w:rPr>
        <w:t>Algorithmic Bias</w:t>
      </w:r>
      <w:r w:rsidRPr="004E5AB1">
        <w:rPr>
          <w:rFonts w:ascii="Times New Roman" w:eastAsia="Times New Roman" w:hAnsi="Times New Roman" w:cs="Times New Roman"/>
        </w:rPr>
        <w:br/>
        <w:t>Systematic and unfair discriminatory outputs or decisions produced by AI models due to unrepresentative training data, flawed algorithm design, or the unconscious encoding of societal prejudices—often disadvantaging specific groups based on gender, race, age, geography, or other attributes.</w:t>
      </w:r>
    </w:p>
    <w:p w14:paraId="696A514B" w14:textId="77777777" w:rsidR="00FB561C" w:rsidRPr="004E5AB1" w:rsidRDefault="00FB561C" w:rsidP="00FB561C">
      <w:pPr>
        <w:rPr>
          <w:rFonts w:ascii="Times New Roman" w:hAnsi="Times New Roman" w:cs="Times New Roman"/>
        </w:rPr>
      </w:pPr>
      <w:r w:rsidRPr="004E5AB1">
        <w:rPr>
          <w:rStyle w:val="Strong"/>
          <w:rFonts w:ascii="Times New Roman" w:eastAsia="Times New Roman" w:hAnsi="Times New Roman" w:cs="Times New Roman"/>
          <w:b w:val="0"/>
          <w:bCs/>
          <w:i/>
          <w:iCs/>
        </w:rPr>
        <w:t>Digital Divide (in AI Education Context)</w:t>
      </w:r>
      <w:r w:rsidRPr="004E5AB1">
        <w:rPr>
          <w:rFonts w:ascii="Times New Roman" w:eastAsia="Times New Roman" w:hAnsi="Times New Roman" w:cs="Times New Roman"/>
        </w:rPr>
        <w:br/>
        <w:t>Refers specifically to the substantial gaps among student or faculty groups in access to, acquisition of, comprehension of, and effective use of digital infrastructure, AI-enabled teaching resources, and intelligent tools. Such disparities may exacerbate inequalities in educational opportunities, processes, and outcomes.</w:t>
      </w:r>
    </w:p>
    <w:p w14:paraId="2EBD9672" w14:textId="77777777" w:rsidR="00FB561C" w:rsidRPr="004E5AB1" w:rsidRDefault="00FB561C" w:rsidP="00FB561C">
      <w:pPr>
        <w:rPr>
          <w:rFonts w:ascii="Times New Roman" w:hAnsi="Times New Roman" w:cs="Times New Roman"/>
        </w:rPr>
      </w:pPr>
      <w:r w:rsidRPr="004E5AB1">
        <w:rPr>
          <w:rStyle w:val="Strong"/>
          <w:rFonts w:ascii="Times New Roman" w:eastAsia="Times New Roman" w:hAnsi="Times New Roman" w:cs="Times New Roman"/>
          <w:b w:val="0"/>
          <w:bCs/>
          <w:i/>
          <w:iCs/>
        </w:rPr>
        <w:t>Data Anonymization and De-identification</w:t>
      </w:r>
      <w:r w:rsidRPr="004E5AB1">
        <w:rPr>
          <w:rFonts w:ascii="Times New Roman" w:eastAsia="Times New Roman" w:hAnsi="Times New Roman" w:cs="Times New Roman"/>
        </w:rPr>
        <w:br/>
        <w:t>Critical technical measures for protecting personal privacy. These involve removing, replacing, generalizing, or encrypting identifiers in datasets—whether direct or indirect—that could link information to a specific individual. The process renders re-identification impossible and irreversible, ensuring compliance with legal and regulatory requirements.</w:t>
      </w:r>
    </w:p>
    <w:p w14:paraId="3A4151FB" w14:textId="77777777" w:rsidR="00FB561C" w:rsidRPr="004E5AB1" w:rsidRDefault="00FB561C" w:rsidP="00FB561C">
      <w:pPr>
        <w:rPr>
          <w:rFonts w:ascii="Times New Roman" w:hAnsi="Times New Roman" w:cs="Times New Roman"/>
        </w:rPr>
      </w:pPr>
      <w:r w:rsidRPr="004E5AB1">
        <w:rPr>
          <w:rStyle w:val="Strong"/>
          <w:rFonts w:ascii="Times New Roman" w:eastAsia="Times New Roman" w:hAnsi="Times New Roman" w:cs="Times New Roman"/>
          <w:b w:val="0"/>
          <w:bCs/>
          <w:i/>
          <w:iCs/>
        </w:rPr>
        <w:lastRenderedPageBreak/>
        <w:t>Human–AI Collaboration</w:t>
      </w:r>
      <w:r w:rsidRPr="004E5AB1">
        <w:rPr>
          <w:rFonts w:ascii="Times New Roman" w:eastAsia="Times New Roman" w:hAnsi="Times New Roman" w:cs="Times New Roman"/>
        </w:rPr>
        <w:br/>
        <w:t>A novel partnership in teaching, clinical practice, or research where humans (teachers/doctors) and AI systems leverage their respective strengths—such as human intuition and ethical reasoning versus AI’s computational power and pattern recognition—to establish clear division of labor, mutual complementarity, and co-evolution, achieving performance superior to either party acting alone.</w:t>
      </w:r>
    </w:p>
    <w:p w14:paraId="76F2D75B" w14:textId="77777777" w:rsidR="00FB561C" w:rsidRPr="004E5AB1" w:rsidRDefault="00FB561C" w:rsidP="00FB561C">
      <w:pPr>
        <w:rPr>
          <w:rFonts w:ascii="Times New Roman" w:hAnsi="Times New Roman" w:cs="Times New Roman"/>
        </w:rPr>
      </w:pPr>
      <w:r w:rsidRPr="004E5AB1">
        <w:rPr>
          <w:rStyle w:val="Strong"/>
          <w:rFonts w:ascii="Times New Roman" w:eastAsia="Times New Roman" w:hAnsi="Times New Roman" w:cs="Times New Roman"/>
          <w:b w:val="0"/>
          <w:bCs/>
          <w:i/>
          <w:iCs/>
        </w:rPr>
        <w:t>Virtual Simulation–Based Teaching</w:t>
      </w:r>
      <w:r w:rsidRPr="004E5AB1">
        <w:rPr>
          <w:rFonts w:ascii="Times New Roman" w:eastAsia="Times New Roman" w:hAnsi="Times New Roman" w:cs="Times New Roman"/>
        </w:rPr>
        <w:br/>
        <w:t>An immersive training approach that uses AI, virtual reality (VR), augmented reality (AR), and high-fidelity physiological simulators to create highly realistic, interactive, and repeatable clinical or experimental environments. It enables safe, controlled practice of high-risk procedures, complex case management, and emergency response, fostering clinical and decision-making skills.</w:t>
      </w:r>
    </w:p>
    <w:p w14:paraId="5D3CC1B5" w14:textId="77777777" w:rsidR="00FB561C" w:rsidRPr="004E5AB1" w:rsidRDefault="00FB561C" w:rsidP="00FB561C">
      <w:pPr>
        <w:rPr>
          <w:rFonts w:ascii="Times New Roman" w:hAnsi="Times New Roman" w:cs="Times New Roman"/>
        </w:rPr>
      </w:pPr>
      <w:r w:rsidRPr="004E5AB1">
        <w:rPr>
          <w:rStyle w:val="Strong"/>
          <w:rFonts w:ascii="Times New Roman" w:eastAsia="Times New Roman" w:hAnsi="Times New Roman" w:cs="Times New Roman"/>
          <w:b w:val="0"/>
          <w:bCs/>
          <w:i/>
          <w:iCs/>
        </w:rPr>
        <w:t>Formative Assessment</w:t>
      </w:r>
      <w:r w:rsidRPr="004E5AB1">
        <w:rPr>
          <w:rFonts w:ascii="Times New Roman" w:eastAsia="Times New Roman" w:hAnsi="Times New Roman" w:cs="Times New Roman"/>
        </w:rPr>
        <w:br/>
        <w:t>An evaluation approach embedded throughout the teaching and learning process, aimed at monitoring student progress, diagnosing difficulties, and providing timely feedback to adjust instruction and improve learning activities. AI technologies enable its real-time, dynamic, personalized, and scalable implementation.</w:t>
      </w:r>
    </w:p>
    <w:p w14:paraId="7EE01C22" w14:textId="77777777" w:rsidR="00FB561C" w:rsidRPr="004E5AB1" w:rsidRDefault="00FB561C" w:rsidP="00FB561C">
      <w:pPr>
        <w:rPr>
          <w:rFonts w:ascii="Times New Roman" w:hAnsi="Times New Roman" w:cs="Times New Roman"/>
        </w:rPr>
      </w:pPr>
      <w:r w:rsidRPr="004E5AB1">
        <w:rPr>
          <w:rStyle w:val="Strong"/>
          <w:rFonts w:ascii="Times New Roman" w:eastAsia="Times New Roman" w:hAnsi="Times New Roman" w:cs="Times New Roman"/>
          <w:b w:val="0"/>
          <w:bCs/>
          <w:i/>
          <w:iCs/>
        </w:rPr>
        <w:t>Developmental Evaluation</w:t>
      </w:r>
      <w:r w:rsidRPr="004E5AB1">
        <w:rPr>
          <w:rFonts w:ascii="Times New Roman" w:eastAsia="Times New Roman" w:hAnsi="Times New Roman" w:cs="Times New Roman"/>
        </w:rPr>
        <w:br/>
        <w:t>An evaluation philosophy and model fundamentally oriented toward promoting continuous professional growth of the evaluated individual (here, the teacher). It emphasizes collecting diverse evidence and conducting diagnostic analysis to deliver constructive feedback, helping teachers identify strengths and clarify improvement directions—rather than making summative judgments or assigning rewards/punishments.</w:t>
      </w:r>
    </w:p>
    <w:p w14:paraId="76A44D51" w14:textId="77777777" w:rsidR="00FB561C" w:rsidRPr="004E5AB1" w:rsidRDefault="00FB561C" w:rsidP="00FB561C">
      <w:pPr>
        <w:rPr>
          <w:rFonts w:ascii="Times New Roman" w:hAnsi="Times New Roman" w:cs="Times New Roman"/>
        </w:rPr>
      </w:pPr>
      <w:r w:rsidRPr="004E5AB1">
        <w:rPr>
          <w:rStyle w:val="Strong"/>
          <w:rFonts w:ascii="Times New Roman" w:eastAsia="Times New Roman" w:hAnsi="Times New Roman" w:cs="Times New Roman"/>
          <w:b w:val="0"/>
          <w:bCs/>
          <w:i/>
          <w:iCs/>
        </w:rPr>
        <w:lastRenderedPageBreak/>
        <w:t>Observable Indicators</w:t>
      </w:r>
      <w:r w:rsidRPr="004E5AB1">
        <w:rPr>
          <w:rFonts w:ascii="Times New Roman" w:eastAsia="Times New Roman" w:hAnsi="Times New Roman" w:cs="Times New Roman"/>
        </w:rPr>
        <w:br/>
        <w:t>Concrete, specific behavioral manifestations, task outcomes, or data-based criteria established to translate abstract “competencies” into measurable and verifiable evaluation activities. They serve as the critical bridge between theoretical frameworks and empirical assessment evidence, ensuring objectivity and operational feasibility.</w:t>
      </w:r>
    </w:p>
    <w:p w14:paraId="18371E21" w14:textId="77777777" w:rsidR="00FB561C" w:rsidRPr="004E5AB1" w:rsidRDefault="00FB561C" w:rsidP="00FB561C">
      <w:pPr>
        <w:rPr>
          <w:rFonts w:ascii="Times New Roman" w:hAnsi="Times New Roman" w:cs="Times New Roman"/>
        </w:rPr>
      </w:pPr>
      <w:r w:rsidRPr="004E5AB1">
        <w:rPr>
          <w:rStyle w:val="Strong"/>
          <w:rFonts w:ascii="Times New Roman" w:eastAsia="Times New Roman" w:hAnsi="Times New Roman" w:cs="Times New Roman"/>
          <w:b w:val="0"/>
          <w:bCs/>
          <w:i/>
          <w:iCs/>
        </w:rPr>
        <w:t>Delphi Method</w:t>
      </w:r>
      <w:r w:rsidRPr="004E5AB1">
        <w:rPr>
          <w:rFonts w:ascii="Times New Roman" w:eastAsia="Times New Roman" w:hAnsi="Times New Roman" w:cs="Times New Roman"/>
        </w:rPr>
        <w:br/>
        <w:t>A structured group decision-making and forecasting technique. It involves multiple rounds of anonymous expert questionnaires, systematically collecting, feeding back, and synthesizing domain experts’ opinions. Through iterative cycles, dispersed views gradually converge, ultimately achieving high consensus on a specific issue. It is one of the core research methodologies employed in developing this consensus.</w:t>
      </w:r>
      <w:bookmarkStart w:id="0" w:name="Discussion"/>
      <w:bookmarkStart w:id="1" w:name="_Discussion_1"/>
      <w:bookmarkEnd w:id="0"/>
      <w:bookmarkEnd w:id="1"/>
    </w:p>
    <w:p w14:paraId="2D6ACA86" w14:textId="77777777" w:rsidR="00DE6AE2" w:rsidRDefault="00DE6AE2"/>
    <w:sectPr w:rsidR="00DE6A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61C"/>
    <w:rsid w:val="00195413"/>
    <w:rsid w:val="003A03A7"/>
    <w:rsid w:val="003D0186"/>
    <w:rsid w:val="006B77C2"/>
    <w:rsid w:val="007278E4"/>
    <w:rsid w:val="00A3738C"/>
    <w:rsid w:val="00B91ABC"/>
    <w:rsid w:val="00BC6C35"/>
    <w:rsid w:val="00CB270D"/>
    <w:rsid w:val="00CF7583"/>
    <w:rsid w:val="00DE6AE2"/>
    <w:rsid w:val="00FB5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BA6DC"/>
  <w15:chartTrackingRefBased/>
  <w15:docId w15:val="{38F418A0-EDC1-499E-B8ED-E2DF7B473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561C"/>
    <w:pPr>
      <w:spacing w:after="0" w:line="480" w:lineRule="auto"/>
    </w:pPr>
    <w:rPr>
      <w:rFonts w:eastAsiaTheme="minorEastAsia"/>
      <w:kern w:val="0"/>
      <w14:ligatures w14:val="none"/>
    </w:rPr>
  </w:style>
  <w:style w:type="paragraph" w:styleId="Heading1">
    <w:name w:val="heading 1"/>
    <w:basedOn w:val="Normal"/>
    <w:next w:val="Normal"/>
    <w:link w:val="Heading1Char"/>
    <w:uiPriority w:val="9"/>
    <w:qFormat/>
    <w:rsid w:val="00FB561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FB561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FB561C"/>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B561C"/>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B561C"/>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B561C"/>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B561C"/>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B561C"/>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B561C"/>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56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qFormat/>
    <w:rsid w:val="00FB56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qFormat/>
    <w:rsid w:val="00FB56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56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56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56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56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56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561C"/>
    <w:rPr>
      <w:rFonts w:eastAsiaTheme="majorEastAsia" w:cstheme="majorBidi"/>
      <w:color w:val="272727" w:themeColor="text1" w:themeTint="D8"/>
    </w:rPr>
  </w:style>
  <w:style w:type="paragraph" w:styleId="Title">
    <w:name w:val="Title"/>
    <w:basedOn w:val="Normal"/>
    <w:next w:val="Normal"/>
    <w:link w:val="TitleChar"/>
    <w:uiPriority w:val="10"/>
    <w:qFormat/>
    <w:rsid w:val="00FB561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B56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561C"/>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B56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561C"/>
    <w:pPr>
      <w:spacing w:before="160" w:after="160" w:line="278" w:lineRule="auto"/>
      <w:jc w:val="center"/>
    </w:pPr>
    <w:rPr>
      <w:rFonts w:eastAsia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FB561C"/>
    <w:rPr>
      <w:i/>
      <w:iCs/>
      <w:color w:val="404040" w:themeColor="text1" w:themeTint="BF"/>
    </w:rPr>
  </w:style>
  <w:style w:type="paragraph" w:styleId="ListParagraph">
    <w:name w:val="List Paragraph"/>
    <w:basedOn w:val="Normal"/>
    <w:uiPriority w:val="34"/>
    <w:qFormat/>
    <w:rsid w:val="00FB561C"/>
    <w:pPr>
      <w:spacing w:after="160" w:line="278" w:lineRule="auto"/>
      <w:ind w:left="720"/>
      <w:contextualSpacing/>
    </w:pPr>
    <w:rPr>
      <w:rFonts w:eastAsiaTheme="minorHAnsi"/>
      <w:kern w:val="2"/>
      <w14:ligatures w14:val="standardContextual"/>
    </w:rPr>
  </w:style>
  <w:style w:type="character" w:styleId="IntenseEmphasis">
    <w:name w:val="Intense Emphasis"/>
    <w:basedOn w:val="DefaultParagraphFont"/>
    <w:uiPriority w:val="21"/>
    <w:qFormat/>
    <w:rsid w:val="00FB561C"/>
    <w:rPr>
      <w:i/>
      <w:iCs/>
      <w:color w:val="0F4761" w:themeColor="accent1" w:themeShade="BF"/>
    </w:rPr>
  </w:style>
  <w:style w:type="paragraph" w:styleId="IntenseQuote">
    <w:name w:val="Intense Quote"/>
    <w:basedOn w:val="Normal"/>
    <w:next w:val="Normal"/>
    <w:link w:val="IntenseQuoteChar"/>
    <w:uiPriority w:val="30"/>
    <w:qFormat/>
    <w:rsid w:val="00FB561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B561C"/>
    <w:rPr>
      <w:i/>
      <w:iCs/>
      <w:color w:val="0F4761" w:themeColor="accent1" w:themeShade="BF"/>
    </w:rPr>
  </w:style>
  <w:style w:type="character" w:styleId="IntenseReference">
    <w:name w:val="Intense Reference"/>
    <w:basedOn w:val="DefaultParagraphFont"/>
    <w:uiPriority w:val="32"/>
    <w:qFormat/>
    <w:rsid w:val="00FB561C"/>
    <w:rPr>
      <w:b/>
      <w:bCs/>
      <w:smallCaps/>
      <w:color w:val="0F4761" w:themeColor="accent1" w:themeShade="BF"/>
      <w:spacing w:val="5"/>
    </w:rPr>
  </w:style>
  <w:style w:type="character" w:styleId="Strong">
    <w:name w:val="Strong"/>
    <w:basedOn w:val="DefaultParagraphFont"/>
    <w:uiPriority w:val="22"/>
    <w:qFormat/>
    <w:rsid w:val="00FB561C"/>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827</Words>
  <Characters>4715</Characters>
  <Application>Microsoft Office Word</Application>
  <DocSecurity>0</DocSecurity>
  <Lines>39</Lines>
  <Paragraphs>11</Paragraphs>
  <ScaleCrop>false</ScaleCrop>
  <Company>Springer Nature</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2026-10-07T08:19:00Z</dcterms:created>
  <dcterms:modified xsi:type="dcterms:W3CDTF">2026-10-07T08:19:00Z</dcterms:modified>
</cp:coreProperties>
</file>