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374691">
      <w:pPr>
        <w:pStyle w:val="3"/>
        <w:spacing w:before="0" w:after="200"/>
        <w:rPr>
          <w:rFonts w:cstheme="majorHAnsi"/>
          <w:szCs w:val="32"/>
        </w:rPr>
      </w:pPr>
      <w:r>
        <w:t>Additional file 11: Detailed CAIP-ME Competency Table and Evaluation Suggestions</w:t>
      </w:r>
    </w:p>
    <w:p w14:paraId="079B310D">
      <w:pPr>
        <w:spacing w:after="120" w:line="259" w:lineRule="auto"/>
        <w:rPr>
          <w:rFonts w:asciiTheme="minorHAnsi" w:hAnsiTheme="minorHAnsi"/>
          <w:szCs w:val="24"/>
          <w:lang w:eastAsia="zh-CN"/>
        </w:rPr>
      </w:pPr>
      <w:r>
        <w:rPr>
          <w:rFonts w:asciiTheme="minorHAnsi" w:hAnsiTheme="minorHAnsi"/>
          <w:szCs w:val="24"/>
        </w:rPr>
        <w:t>This appendix provides the full competency content for the Competency Items of Medical Educators’ AI Proficiency (CAIP-ME) framework and the associated evaluation suggestions. Each competency row corresponds to one consensus item. The CAIP-ME code, positioning, competency statement, definition, and key behavioral indicators are shown below.</w:t>
      </w:r>
    </w:p>
    <w:p w14:paraId="2904D2B2">
      <w:pPr>
        <w:spacing w:after="120" w:line="259" w:lineRule="auto"/>
        <w:rPr>
          <w:rFonts w:asciiTheme="minorHAnsi" w:hAnsiTheme="minorHAnsi"/>
          <w:szCs w:val="24"/>
          <w:lang w:eastAsia="zh-CN"/>
        </w:rPr>
      </w:pPr>
    </w:p>
    <w:p w14:paraId="67B56350">
      <w:r>
        <w:rPr>
          <w:b/>
          <w:bCs/>
        </w:rPr>
        <w:t xml:space="preserve">Appendix Table A11-1. </w:t>
      </w:r>
      <w:r>
        <w:t>Detailed CAIP-ME Competency Table</w:t>
      </w:r>
    </w:p>
    <w:tbl>
      <w:tblPr>
        <w:tblStyle w:val="32"/>
        <w:tblW w:w="9360" w:type="dxa"/>
        <w:jc w:val="center"/>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64"/>
        <w:gridCol w:w="833"/>
        <w:gridCol w:w="1782"/>
        <w:gridCol w:w="1887"/>
        <w:gridCol w:w="2132"/>
        <w:gridCol w:w="1932"/>
      </w:tblGrid>
      <w:tr w14:paraId="75E429F7">
        <w:trPr>
          <w:cantSplit/>
          <w:tblHeader/>
          <w:jc w:val="center"/>
        </w:trPr>
        <w:tc>
          <w:tcPr>
            <w:tcW w:w="1368" w:type="dxa"/>
            <w:tcBorders>
              <w:top w:val="single" w:color="000000" w:themeColor="text1" w:sz="4" w:space="0"/>
              <w:bottom w:val="single" w:color="000000" w:themeColor="text1" w:sz="4" w:space="0"/>
            </w:tcBorders>
            <w:tcMar>
              <w:top w:w="72" w:type="dxa"/>
              <w:left w:w="72" w:type="dxa"/>
              <w:bottom w:w="72" w:type="dxa"/>
              <w:right w:w="72" w:type="dxa"/>
            </w:tcMar>
            <w:vAlign w:val="center"/>
          </w:tcPr>
          <w:p w14:paraId="34AFD89E">
            <w:pPr>
              <w:jc w:val="center"/>
              <w:rPr>
                <w:rFonts w:asciiTheme="minorHAnsi" w:hAnsiTheme="minorHAnsi"/>
                <w:bCs/>
                <w:szCs w:val="24"/>
              </w:rPr>
            </w:pPr>
            <w:r>
              <w:rPr>
                <w:rFonts w:asciiTheme="minorHAnsi" w:hAnsiTheme="minorHAnsi"/>
                <w:bCs/>
                <w:szCs w:val="24"/>
              </w:rPr>
              <w:t>Dimension</w:t>
            </w:r>
          </w:p>
        </w:tc>
        <w:tc>
          <w:tcPr>
            <w:tcW w:w="1296" w:type="dxa"/>
            <w:tcBorders>
              <w:top w:val="single" w:color="000000" w:themeColor="text1" w:sz="4" w:space="0"/>
              <w:bottom w:val="single" w:color="000000" w:themeColor="text1" w:sz="4" w:space="0"/>
            </w:tcBorders>
            <w:tcMar>
              <w:top w:w="72" w:type="dxa"/>
              <w:left w:w="72" w:type="dxa"/>
              <w:bottom w:w="72" w:type="dxa"/>
              <w:right w:w="72" w:type="dxa"/>
            </w:tcMar>
            <w:vAlign w:val="center"/>
          </w:tcPr>
          <w:p w14:paraId="5915F618">
            <w:pPr>
              <w:jc w:val="center"/>
              <w:rPr>
                <w:rFonts w:asciiTheme="minorHAnsi" w:hAnsiTheme="minorHAnsi"/>
                <w:bCs/>
                <w:szCs w:val="24"/>
              </w:rPr>
            </w:pPr>
            <w:r>
              <w:rPr>
                <w:rFonts w:asciiTheme="minorHAnsi" w:hAnsiTheme="minorHAnsi"/>
                <w:bCs/>
                <w:szCs w:val="24"/>
              </w:rPr>
              <w:t>CAIP-ME code</w:t>
            </w:r>
          </w:p>
        </w:tc>
        <w:tc>
          <w:tcPr>
            <w:tcW w:w="1296" w:type="dxa"/>
            <w:tcBorders>
              <w:top w:val="single" w:color="000000" w:themeColor="text1" w:sz="4" w:space="0"/>
              <w:bottom w:val="single" w:color="000000" w:themeColor="text1" w:sz="4" w:space="0"/>
            </w:tcBorders>
            <w:tcMar>
              <w:top w:w="72" w:type="dxa"/>
              <w:left w:w="72" w:type="dxa"/>
              <w:bottom w:w="72" w:type="dxa"/>
              <w:right w:w="72" w:type="dxa"/>
            </w:tcMar>
            <w:vAlign w:val="center"/>
          </w:tcPr>
          <w:p w14:paraId="3A8EE89C">
            <w:pPr>
              <w:jc w:val="center"/>
              <w:rPr>
                <w:rFonts w:asciiTheme="minorHAnsi" w:hAnsiTheme="minorHAnsi"/>
                <w:bCs/>
                <w:szCs w:val="24"/>
              </w:rPr>
            </w:pPr>
            <w:r>
              <w:rPr>
                <w:rFonts w:asciiTheme="minorHAnsi" w:hAnsiTheme="minorHAnsi"/>
                <w:bCs/>
                <w:szCs w:val="24"/>
              </w:rPr>
              <w:t>Positioning</w:t>
            </w:r>
          </w:p>
        </w:tc>
        <w:tc>
          <w:tcPr>
            <w:tcW w:w="2088" w:type="dxa"/>
            <w:tcBorders>
              <w:top w:val="single" w:color="000000" w:themeColor="text1" w:sz="4" w:space="0"/>
              <w:bottom w:val="single" w:color="000000" w:themeColor="text1" w:sz="4" w:space="0"/>
            </w:tcBorders>
            <w:tcMar>
              <w:top w:w="72" w:type="dxa"/>
              <w:left w:w="72" w:type="dxa"/>
              <w:bottom w:w="72" w:type="dxa"/>
              <w:right w:w="72" w:type="dxa"/>
            </w:tcMar>
            <w:vAlign w:val="center"/>
          </w:tcPr>
          <w:p w14:paraId="177E861C">
            <w:pPr>
              <w:jc w:val="center"/>
              <w:rPr>
                <w:rFonts w:asciiTheme="minorHAnsi" w:hAnsiTheme="minorHAnsi"/>
                <w:bCs/>
                <w:szCs w:val="24"/>
              </w:rPr>
            </w:pPr>
            <w:r>
              <w:rPr>
                <w:rFonts w:asciiTheme="minorHAnsi" w:hAnsiTheme="minorHAnsi"/>
                <w:bCs/>
                <w:szCs w:val="24"/>
              </w:rPr>
              <w:t>Competency statement</w:t>
            </w:r>
          </w:p>
        </w:tc>
        <w:tc>
          <w:tcPr>
            <w:tcW w:w="2232" w:type="dxa"/>
            <w:tcBorders>
              <w:top w:val="single" w:color="000000" w:themeColor="text1" w:sz="4" w:space="0"/>
              <w:bottom w:val="single" w:color="000000" w:themeColor="text1" w:sz="4" w:space="0"/>
            </w:tcBorders>
            <w:tcMar>
              <w:top w:w="72" w:type="dxa"/>
              <w:left w:w="72" w:type="dxa"/>
              <w:bottom w:w="72" w:type="dxa"/>
              <w:right w:w="72" w:type="dxa"/>
            </w:tcMar>
            <w:vAlign w:val="center"/>
          </w:tcPr>
          <w:p w14:paraId="6BEBA70D">
            <w:pPr>
              <w:jc w:val="center"/>
              <w:rPr>
                <w:rFonts w:asciiTheme="minorHAnsi" w:hAnsiTheme="minorHAnsi"/>
                <w:bCs/>
                <w:szCs w:val="24"/>
              </w:rPr>
            </w:pPr>
            <w:r>
              <w:rPr>
                <w:rFonts w:asciiTheme="minorHAnsi" w:hAnsiTheme="minorHAnsi"/>
                <w:bCs/>
                <w:szCs w:val="24"/>
              </w:rPr>
              <w:t>Definition</w:t>
            </w:r>
          </w:p>
        </w:tc>
        <w:tc>
          <w:tcPr>
            <w:tcW w:w="2520" w:type="dxa"/>
            <w:tcBorders>
              <w:top w:val="single" w:color="000000" w:themeColor="text1" w:sz="4" w:space="0"/>
              <w:bottom w:val="single" w:color="000000" w:themeColor="text1" w:sz="4" w:space="0"/>
            </w:tcBorders>
            <w:tcMar>
              <w:top w:w="72" w:type="dxa"/>
              <w:left w:w="72" w:type="dxa"/>
              <w:bottom w:w="72" w:type="dxa"/>
              <w:right w:w="72" w:type="dxa"/>
            </w:tcMar>
            <w:vAlign w:val="center"/>
          </w:tcPr>
          <w:p w14:paraId="4A74977B">
            <w:pPr>
              <w:jc w:val="center"/>
              <w:rPr>
                <w:rFonts w:asciiTheme="minorHAnsi" w:hAnsiTheme="minorHAnsi"/>
                <w:bCs/>
                <w:szCs w:val="24"/>
              </w:rPr>
            </w:pPr>
            <w:r>
              <w:rPr>
                <w:rFonts w:asciiTheme="minorHAnsi" w:hAnsiTheme="minorHAnsi"/>
                <w:bCs/>
                <w:szCs w:val="24"/>
              </w:rPr>
              <w:t>Key behavioral indicators</w:t>
            </w:r>
          </w:p>
        </w:tc>
      </w:tr>
      <w:tr w14:paraId="5CE188C9">
        <w:trPr>
          <w:jc w:val="center"/>
        </w:trPr>
        <w:tc>
          <w:tcPr>
            <w:tcW w:w="1368" w:type="dxa"/>
            <w:tcBorders>
              <w:top w:val="single" w:color="000000" w:themeColor="text1" w:sz="4" w:space="0"/>
            </w:tcBorders>
            <w:tcMar>
              <w:top w:w="72" w:type="dxa"/>
              <w:left w:w="72" w:type="dxa"/>
              <w:bottom w:w="72" w:type="dxa"/>
              <w:right w:w="72" w:type="dxa"/>
            </w:tcMar>
            <w:vAlign w:val="center"/>
          </w:tcPr>
          <w:p w14:paraId="4D2AD23B">
            <w:pPr>
              <w:rPr>
                <w:rFonts w:asciiTheme="minorHAnsi" w:hAnsiTheme="minorHAnsi"/>
                <w:szCs w:val="24"/>
              </w:rPr>
            </w:pPr>
            <w:r>
              <w:rPr>
                <w:rFonts w:asciiTheme="minorHAnsi" w:hAnsiTheme="minorHAnsi"/>
                <w:szCs w:val="24"/>
              </w:rPr>
              <w:t>Dimension I: Value Cognition and Ethical Foundation</w:t>
            </w:r>
          </w:p>
        </w:tc>
        <w:tc>
          <w:tcPr>
            <w:tcW w:w="1296" w:type="dxa"/>
            <w:tcBorders>
              <w:top w:val="single" w:color="000000" w:themeColor="text1" w:sz="4" w:space="0"/>
            </w:tcBorders>
            <w:tcMar>
              <w:top w:w="72" w:type="dxa"/>
              <w:left w:w="72" w:type="dxa"/>
              <w:bottom w:w="72" w:type="dxa"/>
              <w:right w:w="72" w:type="dxa"/>
            </w:tcMar>
            <w:vAlign w:val="center"/>
          </w:tcPr>
          <w:p w14:paraId="7ECFF1AE">
            <w:pPr>
              <w:rPr>
                <w:rFonts w:asciiTheme="minorHAnsi" w:hAnsiTheme="minorHAnsi"/>
                <w:szCs w:val="24"/>
              </w:rPr>
            </w:pPr>
            <w:r>
              <w:rPr>
                <w:rFonts w:asciiTheme="minorHAnsi" w:hAnsiTheme="minorHAnsi"/>
                <w:szCs w:val="24"/>
              </w:rPr>
              <w:t>CAIP-ME1</w:t>
            </w:r>
          </w:p>
        </w:tc>
        <w:tc>
          <w:tcPr>
            <w:tcW w:w="1296" w:type="dxa"/>
            <w:tcBorders>
              <w:top w:val="single" w:color="000000" w:themeColor="text1" w:sz="4" w:space="0"/>
            </w:tcBorders>
            <w:tcMar>
              <w:top w:w="72" w:type="dxa"/>
              <w:left w:w="72" w:type="dxa"/>
              <w:bottom w:w="72" w:type="dxa"/>
              <w:right w:w="72" w:type="dxa"/>
            </w:tcMar>
            <w:vAlign w:val="center"/>
          </w:tcPr>
          <w:p w14:paraId="0A778EA9">
            <w:pPr>
              <w:rPr>
                <w:rFonts w:asciiTheme="minorHAnsi" w:hAnsiTheme="minorHAnsi"/>
                <w:szCs w:val="24"/>
              </w:rPr>
            </w:pPr>
            <w:r>
              <w:rPr>
                <w:rFonts w:asciiTheme="minorHAnsi" w:hAnsiTheme="minorHAnsi"/>
                <w:szCs w:val="24"/>
              </w:rPr>
              <w:t>Foundational</w:t>
            </w:r>
          </w:p>
        </w:tc>
        <w:tc>
          <w:tcPr>
            <w:tcW w:w="2088" w:type="dxa"/>
            <w:tcBorders>
              <w:top w:val="single" w:color="000000" w:themeColor="text1" w:sz="4" w:space="0"/>
            </w:tcBorders>
            <w:tcMar>
              <w:top w:w="72" w:type="dxa"/>
              <w:left w:w="72" w:type="dxa"/>
              <w:bottom w:w="72" w:type="dxa"/>
              <w:right w:w="72" w:type="dxa"/>
            </w:tcMar>
            <w:vAlign w:val="center"/>
          </w:tcPr>
          <w:p w14:paraId="27A892D5">
            <w:pPr>
              <w:rPr>
                <w:rFonts w:asciiTheme="minorHAnsi" w:hAnsiTheme="minorHAnsi"/>
                <w:szCs w:val="24"/>
              </w:rPr>
            </w:pPr>
            <w:r>
              <w:rPr>
                <w:rFonts w:asciiTheme="minorHAnsi" w:hAnsiTheme="minorHAnsi"/>
                <w:szCs w:val="24"/>
              </w:rPr>
              <w:t>AI Empowerment Value Recognition in Medical Education</w:t>
            </w:r>
          </w:p>
        </w:tc>
        <w:tc>
          <w:tcPr>
            <w:tcW w:w="2232" w:type="dxa"/>
            <w:tcBorders>
              <w:top w:val="single" w:color="000000" w:themeColor="text1" w:sz="4" w:space="0"/>
            </w:tcBorders>
            <w:tcMar>
              <w:top w:w="72" w:type="dxa"/>
              <w:left w:w="72" w:type="dxa"/>
              <w:bottom w:w="72" w:type="dxa"/>
              <w:right w:w="72" w:type="dxa"/>
            </w:tcMar>
            <w:vAlign w:val="center"/>
          </w:tcPr>
          <w:p w14:paraId="0915BA04">
            <w:pPr>
              <w:rPr>
                <w:rFonts w:asciiTheme="minorHAnsi" w:hAnsiTheme="minorHAnsi"/>
                <w:szCs w:val="24"/>
              </w:rPr>
            </w:pPr>
            <w:r>
              <w:rPr>
                <w:rFonts w:asciiTheme="minorHAnsi" w:hAnsiTheme="minorHAnsi"/>
                <w:szCs w:val="24"/>
              </w:rPr>
              <w:t>Deep understanding of AI's transformative role in enhancing medical education quality, promoting educational equity, and training future doctors. Recognizes the necessity and urgency of developing one’s own AI literacy from the perspective of modernizing medical education and national health strategies.</w:t>
            </w:r>
          </w:p>
        </w:tc>
        <w:tc>
          <w:tcPr>
            <w:tcW w:w="2520" w:type="dxa"/>
            <w:tcBorders>
              <w:top w:val="single" w:color="000000" w:themeColor="text1" w:sz="4" w:space="0"/>
            </w:tcBorders>
            <w:tcMar>
              <w:top w:w="72" w:type="dxa"/>
              <w:left w:w="72" w:type="dxa"/>
              <w:bottom w:w="72" w:type="dxa"/>
              <w:right w:w="72" w:type="dxa"/>
            </w:tcMar>
            <w:vAlign w:val="center"/>
          </w:tcPr>
          <w:p w14:paraId="218DED9E">
            <w:pPr>
              <w:rPr>
                <w:rFonts w:asciiTheme="minorHAnsi" w:hAnsiTheme="minorHAnsi"/>
                <w:szCs w:val="24"/>
              </w:rPr>
            </w:pPr>
            <w:r>
              <w:rPr>
                <w:rFonts w:asciiTheme="minorHAnsi" w:hAnsiTheme="minorHAnsi"/>
                <w:szCs w:val="24"/>
              </w:rPr>
              <w:t>Actively discusses the potential benefits of AI in addressing specific teaching challenges during seminars or course design; commits time and effort to enhance AI teaching skills; advocates for exploring AI integration into teaching within teams.</w:t>
            </w:r>
          </w:p>
        </w:tc>
      </w:tr>
      <w:tr w14:paraId="363D986D">
        <w:trPr>
          <w:jc w:val="center"/>
        </w:trPr>
        <w:tc>
          <w:tcPr>
            <w:tcW w:w="1368" w:type="dxa"/>
            <w:tcMar>
              <w:top w:w="72" w:type="dxa"/>
              <w:left w:w="72" w:type="dxa"/>
              <w:bottom w:w="72" w:type="dxa"/>
              <w:right w:w="72" w:type="dxa"/>
            </w:tcMar>
            <w:vAlign w:val="center"/>
          </w:tcPr>
          <w:p w14:paraId="53495E4F">
            <w:pPr>
              <w:rPr>
                <w:rFonts w:asciiTheme="minorHAnsi" w:hAnsiTheme="minorHAnsi"/>
                <w:szCs w:val="24"/>
              </w:rPr>
            </w:pPr>
            <w:r>
              <w:rPr>
                <w:rFonts w:asciiTheme="minorHAnsi" w:hAnsiTheme="minorHAnsi"/>
                <w:szCs w:val="24"/>
              </w:rPr>
              <w:t>Dimension I: Value Cognition and Ethical Foundation</w:t>
            </w:r>
          </w:p>
        </w:tc>
        <w:tc>
          <w:tcPr>
            <w:tcW w:w="1296" w:type="dxa"/>
            <w:tcMar>
              <w:top w:w="72" w:type="dxa"/>
              <w:left w:w="72" w:type="dxa"/>
              <w:bottom w:w="72" w:type="dxa"/>
              <w:right w:w="72" w:type="dxa"/>
            </w:tcMar>
            <w:vAlign w:val="center"/>
          </w:tcPr>
          <w:p w14:paraId="40B3EDFE">
            <w:pPr>
              <w:rPr>
                <w:rFonts w:asciiTheme="minorHAnsi" w:hAnsiTheme="minorHAnsi"/>
                <w:szCs w:val="24"/>
              </w:rPr>
            </w:pPr>
            <w:r>
              <w:rPr>
                <w:rFonts w:asciiTheme="minorHAnsi" w:hAnsiTheme="minorHAnsi"/>
                <w:szCs w:val="24"/>
              </w:rPr>
              <w:t>CAIP-ME2</w:t>
            </w:r>
          </w:p>
        </w:tc>
        <w:tc>
          <w:tcPr>
            <w:tcW w:w="1296" w:type="dxa"/>
            <w:tcMar>
              <w:top w:w="72" w:type="dxa"/>
              <w:left w:w="72" w:type="dxa"/>
              <w:bottom w:w="72" w:type="dxa"/>
              <w:right w:w="72" w:type="dxa"/>
            </w:tcMar>
            <w:vAlign w:val="center"/>
          </w:tcPr>
          <w:p w14:paraId="51BDF553">
            <w:pPr>
              <w:rPr>
                <w:rFonts w:asciiTheme="minorHAnsi" w:hAnsiTheme="minorHAnsi"/>
                <w:szCs w:val="24"/>
              </w:rPr>
            </w:pPr>
            <w:r>
              <w:rPr>
                <w:rFonts w:asciiTheme="minorHAnsi" w:hAnsiTheme="minorHAnsi"/>
                <w:szCs w:val="24"/>
              </w:rPr>
              <w:t>Foundational</w:t>
            </w:r>
          </w:p>
        </w:tc>
        <w:tc>
          <w:tcPr>
            <w:tcW w:w="2088" w:type="dxa"/>
            <w:tcMar>
              <w:top w:w="72" w:type="dxa"/>
              <w:left w:w="72" w:type="dxa"/>
              <w:bottom w:w="72" w:type="dxa"/>
              <w:right w:w="72" w:type="dxa"/>
            </w:tcMar>
            <w:vAlign w:val="center"/>
          </w:tcPr>
          <w:p w14:paraId="7F795900">
            <w:pPr>
              <w:rPr>
                <w:rFonts w:asciiTheme="minorHAnsi" w:hAnsiTheme="minorHAnsi"/>
                <w:szCs w:val="24"/>
              </w:rPr>
            </w:pPr>
            <w:r>
              <w:rPr>
                <w:rFonts w:asciiTheme="minorHAnsi" w:hAnsiTheme="minorHAnsi"/>
                <w:szCs w:val="24"/>
              </w:rPr>
              <w:t>Medical AI Ethical Risk Identification and Assessment</w:t>
            </w:r>
          </w:p>
        </w:tc>
        <w:tc>
          <w:tcPr>
            <w:tcW w:w="2232" w:type="dxa"/>
            <w:tcMar>
              <w:top w:w="72" w:type="dxa"/>
              <w:left w:w="72" w:type="dxa"/>
              <w:bottom w:w="72" w:type="dxa"/>
              <w:right w:w="72" w:type="dxa"/>
            </w:tcMar>
            <w:vAlign w:val="center"/>
          </w:tcPr>
          <w:p w14:paraId="6D584BC2">
            <w:pPr>
              <w:rPr>
                <w:rFonts w:asciiTheme="minorHAnsi" w:hAnsiTheme="minorHAnsi"/>
                <w:szCs w:val="24"/>
              </w:rPr>
            </w:pPr>
            <w:r>
              <w:rPr>
                <w:rFonts w:asciiTheme="minorHAnsi" w:hAnsiTheme="minorHAnsi"/>
                <w:szCs w:val="24"/>
              </w:rPr>
              <w:t>Systematically identifies ethical, legal, and social risks associated with AI in medical education, research, and simulated clinical applications. Understands core AI governance principles and applies them in accordance with medical ethics.</w:t>
            </w:r>
          </w:p>
        </w:tc>
        <w:tc>
          <w:tcPr>
            <w:tcW w:w="2520" w:type="dxa"/>
            <w:tcMar>
              <w:top w:w="72" w:type="dxa"/>
              <w:left w:w="72" w:type="dxa"/>
              <w:bottom w:w="72" w:type="dxa"/>
              <w:right w:w="72" w:type="dxa"/>
            </w:tcMar>
            <w:vAlign w:val="center"/>
          </w:tcPr>
          <w:p w14:paraId="6F5F4DEE">
            <w:pPr>
              <w:rPr>
                <w:rFonts w:asciiTheme="minorHAnsi" w:hAnsiTheme="minorHAnsi"/>
                <w:szCs w:val="24"/>
              </w:rPr>
            </w:pPr>
            <w:r>
              <w:rPr>
                <w:rFonts w:asciiTheme="minorHAnsi" w:hAnsiTheme="minorHAnsi"/>
                <w:szCs w:val="24"/>
              </w:rPr>
              <w:t>Reviews privacy policies and data governance requirements before using AI tools involving patient or student data; critically analyzes AI cases or teaching tools for algorithmic bias and fairness concerns; incorporates ethical guidance into teaching designs.</w:t>
            </w:r>
          </w:p>
        </w:tc>
      </w:tr>
      <w:tr w14:paraId="61657E0A">
        <w:trPr>
          <w:jc w:val="center"/>
        </w:trPr>
        <w:tc>
          <w:tcPr>
            <w:tcW w:w="1368" w:type="dxa"/>
            <w:tcMar>
              <w:top w:w="72" w:type="dxa"/>
              <w:left w:w="72" w:type="dxa"/>
              <w:bottom w:w="72" w:type="dxa"/>
              <w:right w:w="72" w:type="dxa"/>
            </w:tcMar>
            <w:vAlign w:val="center"/>
          </w:tcPr>
          <w:p w14:paraId="740D55E7">
            <w:pPr>
              <w:rPr>
                <w:rFonts w:asciiTheme="minorHAnsi" w:hAnsiTheme="minorHAnsi"/>
                <w:szCs w:val="24"/>
              </w:rPr>
            </w:pPr>
            <w:r>
              <w:rPr>
                <w:rFonts w:asciiTheme="minorHAnsi" w:hAnsiTheme="minorHAnsi"/>
                <w:szCs w:val="24"/>
              </w:rPr>
              <w:t>Dimension I: Value Cognition and Ethical Foundation</w:t>
            </w:r>
          </w:p>
        </w:tc>
        <w:tc>
          <w:tcPr>
            <w:tcW w:w="1296" w:type="dxa"/>
            <w:tcMar>
              <w:top w:w="72" w:type="dxa"/>
              <w:left w:w="72" w:type="dxa"/>
              <w:bottom w:w="72" w:type="dxa"/>
              <w:right w:w="72" w:type="dxa"/>
            </w:tcMar>
            <w:vAlign w:val="center"/>
          </w:tcPr>
          <w:p w14:paraId="3EA5639F">
            <w:pPr>
              <w:rPr>
                <w:rFonts w:asciiTheme="minorHAnsi" w:hAnsiTheme="minorHAnsi"/>
                <w:szCs w:val="24"/>
              </w:rPr>
            </w:pPr>
            <w:r>
              <w:rPr>
                <w:rFonts w:asciiTheme="minorHAnsi" w:hAnsiTheme="minorHAnsi"/>
                <w:szCs w:val="24"/>
              </w:rPr>
              <w:t>CAIP-ME3</w:t>
            </w:r>
          </w:p>
        </w:tc>
        <w:tc>
          <w:tcPr>
            <w:tcW w:w="1296" w:type="dxa"/>
            <w:tcMar>
              <w:top w:w="72" w:type="dxa"/>
              <w:left w:w="72" w:type="dxa"/>
              <w:bottom w:w="72" w:type="dxa"/>
              <w:right w:w="72" w:type="dxa"/>
            </w:tcMar>
            <w:vAlign w:val="center"/>
          </w:tcPr>
          <w:p w14:paraId="69EBA965">
            <w:pPr>
              <w:rPr>
                <w:rFonts w:asciiTheme="minorHAnsi" w:hAnsiTheme="minorHAnsi"/>
                <w:szCs w:val="24"/>
              </w:rPr>
            </w:pPr>
            <w:r>
              <w:rPr>
                <w:rFonts w:asciiTheme="minorHAnsi" w:hAnsiTheme="minorHAnsi"/>
                <w:szCs w:val="24"/>
              </w:rPr>
              <w:t>Foundational</w:t>
            </w:r>
          </w:p>
        </w:tc>
        <w:tc>
          <w:tcPr>
            <w:tcW w:w="2088" w:type="dxa"/>
            <w:tcMar>
              <w:top w:w="72" w:type="dxa"/>
              <w:left w:w="72" w:type="dxa"/>
              <w:bottom w:w="72" w:type="dxa"/>
              <w:right w:w="72" w:type="dxa"/>
            </w:tcMar>
            <w:vAlign w:val="center"/>
          </w:tcPr>
          <w:p w14:paraId="10CE7158">
            <w:pPr>
              <w:rPr>
                <w:rFonts w:asciiTheme="minorHAnsi" w:hAnsiTheme="minorHAnsi"/>
                <w:szCs w:val="24"/>
              </w:rPr>
            </w:pPr>
            <w:r>
              <w:rPr>
                <w:rFonts w:asciiTheme="minorHAnsi" w:hAnsiTheme="minorHAnsi"/>
                <w:szCs w:val="24"/>
              </w:rPr>
              <w:t>Academic Integrity and AI Usage Norm Guidance</w:t>
            </w:r>
          </w:p>
        </w:tc>
        <w:tc>
          <w:tcPr>
            <w:tcW w:w="2232" w:type="dxa"/>
            <w:tcMar>
              <w:top w:w="72" w:type="dxa"/>
              <w:left w:w="72" w:type="dxa"/>
              <w:bottom w:w="72" w:type="dxa"/>
              <w:right w:w="72" w:type="dxa"/>
            </w:tcMar>
            <w:vAlign w:val="center"/>
          </w:tcPr>
          <w:p w14:paraId="5ADEF4CA">
            <w:pPr>
              <w:rPr>
                <w:rFonts w:asciiTheme="minorHAnsi" w:hAnsiTheme="minorHAnsi"/>
                <w:szCs w:val="24"/>
              </w:rPr>
            </w:pPr>
            <w:r>
              <w:rPr>
                <w:rFonts w:asciiTheme="minorHAnsi" w:hAnsiTheme="minorHAnsi"/>
                <w:szCs w:val="24"/>
              </w:rPr>
              <w:t>Defines boundaries and norms for reasonable AI usage in medical learning, assignments, papers, and research. Establishes clear rules to guide students in transparent AI-assisted learning.</w:t>
            </w:r>
          </w:p>
        </w:tc>
        <w:tc>
          <w:tcPr>
            <w:tcW w:w="2520" w:type="dxa"/>
            <w:tcMar>
              <w:top w:w="72" w:type="dxa"/>
              <w:left w:w="72" w:type="dxa"/>
              <w:bottom w:w="72" w:type="dxa"/>
              <w:right w:w="72" w:type="dxa"/>
            </w:tcMar>
            <w:vAlign w:val="center"/>
          </w:tcPr>
          <w:p w14:paraId="3661CF96">
            <w:pPr>
              <w:rPr>
                <w:rFonts w:asciiTheme="minorHAnsi" w:hAnsiTheme="minorHAnsi"/>
                <w:szCs w:val="24"/>
              </w:rPr>
            </w:pPr>
            <w:r>
              <w:rPr>
                <w:rFonts w:asciiTheme="minorHAnsi" w:hAnsiTheme="minorHAnsi"/>
                <w:szCs w:val="24"/>
              </w:rPr>
              <w:t>Develops and publishes clear AI-assisted learning guidelines; can identify AI-generated content in student work; educates and corrects improper AI use.</w:t>
            </w:r>
          </w:p>
        </w:tc>
      </w:tr>
      <w:tr w14:paraId="063629CF">
        <w:trPr>
          <w:jc w:val="center"/>
        </w:trPr>
        <w:tc>
          <w:tcPr>
            <w:tcW w:w="1368" w:type="dxa"/>
            <w:tcMar>
              <w:top w:w="72" w:type="dxa"/>
              <w:left w:w="72" w:type="dxa"/>
              <w:bottom w:w="72" w:type="dxa"/>
              <w:right w:w="72" w:type="dxa"/>
            </w:tcMar>
            <w:vAlign w:val="center"/>
          </w:tcPr>
          <w:p w14:paraId="0DA12997">
            <w:pPr>
              <w:rPr>
                <w:rFonts w:asciiTheme="minorHAnsi" w:hAnsiTheme="minorHAnsi"/>
                <w:szCs w:val="24"/>
              </w:rPr>
            </w:pPr>
            <w:r>
              <w:rPr>
                <w:rFonts w:asciiTheme="minorHAnsi" w:hAnsiTheme="minorHAnsi"/>
                <w:szCs w:val="24"/>
              </w:rPr>
              <w:t>Dimension I: Value Cognition and Ethical Foundation</w:t>
            </w:r>
          </w:p>
        </w:tc>
        <w:tc>
          <w:tcPr>
            <w:tcW w:w="1296" w:type="dxa"/>
            <w:tcMar>
              <w:top w:w="72" w:type="dxa"/>
              <w:left w:w="72" w:type="dxa"/>
              <w:bottom w:w="72" w:type="dxa"/>
              <w:right w:w="72" w:type="dxa"/>
            </w:tcMar>
            <w:vAlign w:val="center"/>
          </w:tcPr>
          <w:p w14:paraId="7AC5452B">
            <w:pPr>
              <w:rPr>
                <w:rFonts w:asciiTheme="minorHAnsi" w:hAnsiTheme="minorHAnsi"/>
                <w:szCs w:val="24"/>
              </w:rPr>
            </w:pPr>
            <w:r>
              <w:rPr>
                <w:rFonts w:asciiTheme="minorHAnsi" w:hAnsiTheme="minorHAnsi"/>
                <w:szCs w:val="24"/>
              </w:rPr>
              <w:t>CAIP-ME4</w:t>
            </w:r>
          </w:p>
        </w:tc>
        <w:tc>
          <w:tcPr>
            <w:tcW w:w="1296" w:type="dxa"/>
            <w:tcMar>
              <w:top w:w="72" w:type="dxa"/>
              <w:left w:w="72" w:type="dxa"/>
              <w:bottom w:w="72" w:type="dxa"/>
              <w:right w:w="72" w:type="dxa"/>
            </w:tcMar>
            <w:vAlign w:val="center"/>
          </w:tcPr>
          <w:p w14:paraId="7CFB6F1D">
            <w:pPr>
              <w:rPr>
                <w:rFonts w:asciiTheme="minorHAnsi" w:hAnsiTheme="minorHAnsi"/>
                <w:szCs w:val="24"/>
              </w:rPr>
            </w:pPr>
            <w:r>
              <w:rPr>
                <w:rFonts w:asciiTheme="minorHAnsi" w:hAnsiTheme="minorHAnsi"/>
                <w:szCs w:val="24"/>
              </w:rPr>
              <w:t>Foundational</w:t>
            </w:r>
          </w:p>
        </w:tc>
        <w:tc>
          <w:tcPr>
            <w:tcW w:w="2088" w:type="dxa"/>
            <w:tcMar>
              <w:top w:w="72" w:type="dxa"/>
              <w:left w:w="72" w:type="dxa"/>
              <w:bottom w:w="72" w:type="dxa"/>
              <w:right w:w="72" w:type="dxa"/>
            </w:tcMar>
            <w:vAlign w:val="center"/>
          </w:tcPr>
          <w:p w14:paraId="54E2AC56">
            <w:pPr>
              <w:rPr>
                <w:rFonts w:asciiTheme="minorHAnsi" w:hAnsiTheme="minorHAnsi"/>
                <w:szCs w:val="24"/>
              </w:rPr>
            </w:pPr>
            <w:r>
              <w:rPr>
                <w:rFonts w:asciiTheme="minorHAnsi" w:hAnsiTheme="minorHAnsi"/>
                <w:szCs w:val="24"/>
              </w:rPr>
              <w:t>Practice Ability to Promote Educational Equity and Justice</w:t>
            </w:r>
          </w:p>
        </w:tc>
        <w:tc>
          <w:tcPr>
            <w:tcW w:w="2232" w:type="dxa"/>
            <w:tcMar>
              <w:top w:w="72" w:type="dxa"/>
              <w:left w:w="72" w:type="dxa"/>
              <w:bottom w:w="72" w:type="dxa"/>
              <w:right w:w="72" w:type="dxa"/>
            </w:tcMar>
            <w:vAlign w:val="center"/>
          </w:tcPr>
          <w:p w14:paraId="16FA4260">
            <w:pPr>
              <w:rPr>
                <w:rFonts w:asciiTheme="minorHAnsi" w:hAnsiTheme="minorHAnsi"/>
                <w:szCs w:val="24"/>
              </w:rPr>
            </w:pPr>
            <w:r>
              <w:rPr>
                <w:rFonts w:asciiTheme="minorHAnsi" w:hAnsiTheme="minorHAnsi"/>
                <w:szCs w:val="24"/>
              </w:rPr>
              <w:t>Addresses fairness issues arising from digital divides, resource inequalities, and algorithmic biases. Ensures all students benefit equally from AI-enhanced education.</w:t>
            </w:r>
          </w:p>
        </w:tc>
        <w:tc>
          <w:tcPr>
            <w:tcW w:w="2520" w:type="dxa"/>
            <w:tcMar>
              <w:top w:w="72" w:type="dxa"/>
              <w:left w:w="72" w:type="dxa"/>
              <w:bottom w:w="72" w:type="dxa"/>
              <w:right w:w="72" w:type="dxa"/>
            </w:tcMar>
            <w:vAlign w:val="center"/>
          </w:tcPr>
          <w:p w14:paraId="19D11C44">
            <w:pPr>
              <w:rPr>
                <w:rFonts w:asciiTheme="minorHAnsi" w:hAnsiTheme="minorHAnsi"/>
                <w:szCs w:val="24"/>
              </w:rPr>
            </w:pPr>
            <w:r>
              <w:rPr>
                <w:rFonts w:asciiTheme="minorHAnsi" w:hAnsiTheme="minorHAnsi"/>
                <w:szCs w:val="24"/>
              </w:rPr>
              <w:t>Ensures free and accessible core AI teaching resources; provides additional support for less tech-savvy students; considers diversity in disease spectrums and population characteristics when designing AI teaching cases.</w:t>
            </w:r>
          </w:p>
        </w:tc>
      </w:tr>
      <w:tr w14:paraId="474EB6E1">
        <w:trPr>
          <w:jc w:val="center"/>
        </w:trPr>
        <w:tc>
          <w:tcPr>
            <w:tcW w:w="1368" w:type="dxa"/>
            <w:tcMar>
              <w:top w:w="72" w:type="dxa"/>
              <w:left w:w="72" w:type="dxa"/>
              <w:bottom w:w="72" w:type="dxa"/>
              <w:right w:w="72" w:type="dxa"/>
            </w:tcMar>
            <w:vAlign w:val="center"/>
          </w:tcPr>
          <w:p w14:paraId="66EE9A27">
            <w:pPr>
              <w:rPr>
                <w:rFonts w:asciiTheme="minorHAnsi" w:hAnsiTheme="minorHAnsi"/>
                <w:szCs w:val="24"/>
              </w:rPr>
            </w:pPr>
            <w:r>
              <w:rPr>
                <w:rFonts w:asciiTheme="minorHAnsi" w:hAnsiTheme="minorHAnsi"/>
                <w:szCs w:val="24"/>
              </w:rPr>
              <w:t>Dimension II: Technical Understanding and Tool Application</w:t>
            </w:r>
          </w:p>
        </w:tc>
        <w:tc>
          <w:tcPr>
            <w:tcW w:w="1296" w:type="dxa"/>
            <w:tcMar>
              <w:top w:w="72" w:type="dxa"/>
              <w:left w:w="72" w:type="dxa"/>
              <w:bottom w:w="72" w:type="dxa"/>
              <w:right w:w="72" w:type="dxa"/>
            </w:tcMar>
            <w:vAlign w:val="center"/>
          </w:tcPr>
          <w:p w14:paraId="6A9CAD98">
            <w:pPr>
              <w:rPr>
                <w:rFonts w:asciiTheme="minorHAnsi" w:hAnsiTheme="minorHAnsi"/>
                <w:szCs w:val="24"/>
              </w:rPr>
            </w:pPr>
            <w:r>
              <w:rPr>
                <w:rFonts w:asciiTheme="minorHAnsi" w:hAnsiTheme="minorHAnsi"/>
                <w:szCs w:val="24"/>
              </w:rPr>
              <w:t>CAIP-ME5</w:t>
            </w:r>
          </w:p>
        </w:tc>
        <w:tc>
          <w:tcPr>
            <w:tcW w:w="1296" w:type="dxa"/>
            <w:tcMar>
              <w:top w:w="72" w:type="dxa"/>
              <w:left w:w="72" w:type="dxa"/>
              <w:bottom w:w="72" w:type="dxa"/>
              <w:right w:w="72" w:type="dxa"/>
            </w:tcMar>
            <w:vAlign w:val="center"/>
          </w:tcPr>
          <w:p w14:paraId="17BCA1D9">
            <w:pPr>
              <w:rPr>
                <w:rFonts w:asciiTheme="minorHAnsi" w:hAnsiTheme="minorHAnsi"/>
                <w:szCs w:val="24"/>
              </w:rPr>
            </w:pPr>
            <w:r>
              <w:rPr>
                <w:rFonts w:asciiTheme="minorHAnsi" w:hAnsiTheme="minorHAnsi"/>
                <w:szCs w:val="24"/>
              </w:rPr>
              <w:t>Foundational</w:t>
            </w:r>
          </w:p>
        </w:tc>
        <w:tc>
          <w:tcPr>
            <w:tcW w:w="2088" w:type="dxa"/>
            <w:tcMar>
              <w:top w:w="72" w:type="dxa"/>
              <w:left w:w="72" w:type="dxa"/>
              <w:bottom w:w="72" w:type="dxa"/>
              <w:right w:w="72" w:type="dxa"/>
            </w:tcMar>
            <w:vAlign w:val="center"/>
          </w:tcPr>
          <w:p w14:paraId="3A99BE73">
            <w:pPr>
              <w:rPr>
                <w:rFonts w:asciiTheme="minorHAnsi" w:hAnsiTheme="minorHAnsi"/>
                <w:szCs w:val="24"/>
              </w:rPr>
            </w:pPr>
            <w:r>
              <w:rPr>
                <w:rFonts w:asciiTheme="minorHAnsi" w:hAnsiTheme="minorHAnsi"/>
                <w:szCs w:val="24"/>
              </w:rPr>
              <w:t>Understanding Core Concepts and Medical Applications of AI</w:t>
            </w:r>
          </w:p>
        </w:tc>
        <w:tc>
          <w:tcPr>
            <w:tcW w:w="2232" w:type="dxa"/>
            <w:tcMar>
              <w:top w:w="72" w:type="dxa"/>
              <w:left w:w="72" w:type="dxa"/>
              <w:bottom w:w="72" w:type="dxa"/>
              <w:right w:w="72" w:type="dxa"/>
            </w:tcMar>
            <w:vAlign w:val="center"/>
          </w:tcPr>
          <w:p w14:paraId="372C1998">
            <w:pPr>
              <w:rPr>
                <w:rFonts w:asciiTheme="minorHAnsi" w:hAnsiTheme="minorHAnsi"/>
                <w:szCs w:val="24"/>
              </w:rPr>
            </w:pPr>
            <w:r>
              <w:rPr>
                <w:rFonts w:asciiTheme="minorHAnsi" w:hAnsiTheme="minorHAnsi"/>
                <w:szCs w:val="24"/>
              </w:rPr>
              <w:t>Grasps fundamental concepts of machine learning, generative AI, and large language models. Explains typical AI applications in medical scenarios and their limitations.</w:t>
            </w:r>
          </w:p>
        </w:tc>
        <w:tc>
          <w:tcPr>
            <w:tcW w:w="2520" w:type="dxa"/>
            <w:tcMar>
              <w:top w:w="72" w:type="dxa"/>
              <w:left w:w="72" w:type="dxa"/>
              <w:bottom w:w="72" w:type="dxa"/>
              <w:right w:w="72" w:type="dxa"/>
            </w:tcMar>
            <w:vAlign w:val="center"/>
          </w:tcPr>
          <w:p w14:paraId="31DEB190">
            <w:pPr>
              <w:rPr>
                <w:rFonts w:asciiTheme="minorHAnsi" w:hAnsiTheme="minorHAnsi"/>
                <w:szCs w:val="24"/>
              </w:rPr>
            </w:pPr>
            <w:r>
              <w:rPr>
                <w:rFonts w:asciiTheme="minorHAnsi" w:hAnsiTheme="minorHAnsi"/>
                <w:szCs w:val="24"/>
              </w:rPr>
              <w:t>Can explain why AI might make errors; compares AI vs human expert performance; selects appropriate AI technologies for teaching objectives.</w:t>
            </w:r>
          </w:p>
        </w:tc>
      </w:tr>
      <w:tr w14:paraId="1B290FFE">
        <w:trPr>
          <w:jc w:val="center"/>
        </w:trPr>
        <w:tc>
          <w:tcPr>
            <w:tcW w:w="1368" w:type="dxa"/>
            <w:tcMar>
              <w:top w:w="72" w:type="dxa"/>
              <w:left w:w="72" w:type="dxa"/>
              <w:bottom w:w="72" w:type="dxa"/>
              <w:right w:w="72" w:type="dxa"/>
            </w:tcMar>
            <w:vAlign w:val="center"/>
          </w:tcPr>
          <w:p w14:paraId="31CAC036">
            <w:pPr>
              <w:rPr>
                <w:rFonts w:asciiTheme="minorHAnsi" w:hAnsiTheme="minorHAnsi"/>
                <w:szCs w:val="24"/>
              </w:rPr>
            </w:pPr>
            <w:r>
              <w:rPr>
                <w:rFonts w:asciiTheme="minorHAnsi" w:hAnsiTheme="minorHAnsi"/>
                <w:szCs w:val="24"/>
              </w:rPr>
              <w:t>Dimension II: Technical Understanding and Tool Application</w:t>
            </w:r>
          </w:p>
        </w:tc>
        <w:tc>
          <w:tcPr>
            <w:tcW w:w="1296" w:type="dxa"/>
            <w:tcMar>
              <w:top w:w="72" w:type="dxa"/>
              <w:left w:w="72" w:type="dxa"/>
              <w:bottom w:w="72" w:type="dxa"/>
              <w:right w:w="72" w:type="dxa"/>
            </w:tcMar>
            <w:vAlign w:val="center"/>
          </w:tcPr>
          <w:p w14:paraId="4A3CB5BA">
            <w:pPr>
              <w:rPr>
                <w:rFonts w:asciiTheme="minorHAnsi" w:hAnsiTheme="minorHAnsi"/>
                <w:szCs w:val="24"/>
              </w:rPr>
            </w:pPr>
            <w:r>
              <w:rPr>
                <w:rFonts w:asciiTheme="minorHAnsi" w:hAnsiTheme="minorHAnsi"/>
                <w:szCs w:val="24"/>
              </w:rPr>
              <w:t>CAIP-ME6</w:t>
            </w:r>
          </w:p>
        </w:tc>
        <w:tc>
          <w:tcPr>
            <w:tcW w:w="1296" w:type="dxa"/>
            <w:tcMar>
              <w:top w:w="72" w:type="dxa"/>
              <w:left w:w="72" w:type="dxa"/>
              <w:bottom w:w="72" w:type="dxa"/>
              <w:right w:w="72" w:type="dxa"/>
            </w:tcMar>
            <w:vAlign w:val="center"/>
          </w:tcPr>
          <w:p w14:paraId="16147FCF">
            <w:pPr>
              <w:rPr>
                <w:rFonts w:asciiTheme="minorHAnsi" w:hAnsiTheme="minorHAnsi"/>
                <w:szCs w:val="24"/>
              </w:rPr>
            </w:pPr>
            <w:r>
              <w:rPr>
                <w:rFonts w:asciiTheme="minorHAnsi" w:hAnsiTheme="minorHAnsi"/>
                <w:szCs w:val="24"/>
              </w:rPr>
              <w:t>Developmental</w:t>
            </w:r>
          </w:p>
        </w:tc>
        <w:tc>
          <w:tcPr>
            <w:tcW w:w="2088" w:type="dxa"/>
            <w:tcMar>
              <w:top w:w="72" w:type="dxa"/>
              <w:left w:w="72" w:type="dxa"/>
              <w:bottom w:w="72" w:type="dxa"/>
              <w:right w:w="72" w:type="dxa"/>
            </w:tcMar>
            <w:vAlign w:val="center"/>
          </w:tcPr>
          <w:p w14:paraId="2B77D682">
            <w:pPr>
              <w:rPr>
                <w:rFonts w:asciiTheme="minorHAnsi" w:hAnsiTheme="minorHAnsi"/>
                <w:szCs w:val="24"/>
              </w:rPr>
            </w:pPr>
            <w:r>
              <w:rPr>
                <w:rFonts w:asciiTheme="minorHAnsi" w:hAnsiTheme="minorHAnsi"/>
                <w:szCs w:val="24"/>
              </w:rPr>
              <w:t>Evaluation and Selection of Medical AI Tools</w:t>
            </w:r>
          </w:p>
        </w:tc>
        <w:tc>
          <w:tcPr>
            <w:tcW w:w="2232" w:type="dxa"/>
            <w:tcMar>
              <w:top w:w="72" w:type="dxa"/>
              <w:left w:w="72" w:type="dxa"/>
              <w:bottom w:w="72" w:type="dxa"/>
              <w:right w:w="72" w:type="dxa"/>
            </w:tcMar>
            <w:vAlign w:val="center"/>
          </w:tcPr>
          <w:p w14:paraId="2F6CF672">
            <w:pPr>
              <w:rPr>
                <w:rFonts w:asciiTheme="minorHAnsi" w:hAnsiTheme="minorHAnsi"/>
                <w:szCs w:val="24"/>
              </w:rPr>
            </w:pPr>
            <w:r>
              <w:rPr>
                <w:rFonts w:asciiTheme="minorHAnsi" w:hAnsiTheme="minorHAnsi"/>
                <w:szCs w:val="24"/>
              </w:rPr>
              <w:t>Evaluates various medical AI tools based on teaching goals, content, and subject characteristics.</w:t>
            </w:r>
          </w:p>
        </w:tc>
        <w:tc>
          <w:tcPr>
            <w:tcW w:w="2520" w:type="dxa"/>
            <w:tcMar>
              <w:top w:w="72" w:type="dxa"/>
              <w:left w:w="72" w:type="dxa"/>
              <w:bottom w:w="72" w:type="dxa"/>
              <w:right w:w="72" w:type="dxa"/>
            </w:tcMar>
            <w:vAlign w:val="center"/>
          </w:tcPr>
          <w:p w14:paraId="02373641">
            <w:pPr>
              <w:rPr>
                <w:rFonts w:asciiTheme="minorHAnsi" w:hAnsiTheme="minorHAnsi"/>
                <w:szCs w:val="24"/>
              </w:rPr>
            </w:pPr>
            <w:r>
              <w:rPr>
                <w:rFonts w:asciiTheme="minorHAnsi" w:hAnsiTheme="minorHAnsi"/>
                <w:szCs w:val="24"/>
              </w:rPr>
              <w:t>Selects suitable AI tools for teaching demonstrations; understands user agreements regarding data ownership and privacy; knows key tool costs and open-source alternatives.</w:t>
            </w:r>
          </w:p>
        </w:tc>
      </w:tr>
      <w:tr w14:paraId="51D7BA84">
        <w:trPr>
          <w:jc w:val="center"/>
        </w:trPr>
        <w:tc>
          <w:tcPr>
            <w:tcW w:w="1368" w:type="dxa"/>
            <w:tcMar>
              <w:top w:w="72" w:type="dxa"/>
              <w:left w:w="72" w:type="dxa"/>
              <w:bottom w:w="72" w:type="dxa"/>
              <w:right w:w="72" w:type="dxa"/>
            </w:tcMar>
            <w:vAlign w:val="center"/>
          </w:tcPr>
          <w:p w14:paraId="1157357B">
            <w:pPr>
              <w:rPr>
                <w:rFonts w:asciiTheme="minorHAnsi" w:hAnsiTheme="minorHAnsi"/>
                <w:szCs w:val="24"/>
              </w:rPr>
            </w:pPr>
            <w:r>
              <w:rPr>
                <w:rFonts w:asciiTheme="minorHAnsi" w:hAnsiTheme="minorHAnsi"/>
                <w:szCs w:val="24"/>
              </w:rPr>
              <w:t>Dimension II: Technical Understanding and Tool Application</w:t>
            </w:r>
          </w:p>
        </w:tc>
        <w:tc>
          <w:tcPr>
            <w:tcW w:w="1296" w:type="dxa"/>
            <w:tcMar>
              <w:top w:w="72" w:type="dxa"/>
              <w:left w:w="72" w:type="dxa"/>
              <w:bottom w:w="72" w:type="dxa"/>
              <w:right w:w="72" w:type="dxa"/>
            </w:tcMar>
            <w:vAlign w:val="center"/>
          </w:tcPr>
          <w:p w14:paraId="59AB6E9F">
            <w:pPr>
              <w:rPr>
                <w:rFonts w:asciiTheme="minorHAnsi" w:hAnsiTheme="minorHAnsi"/>
                <w:szCs w:val="24"/>
              </w:rPr>
            </w:pPr>
            <w:r>
              <w:rPr>
                <w:rFonts w:asciiTheme="minorHAnsi" w:hAnsiTheme="minorHAnsi"/>
                <w:szCs w:val="24"/>
              </w:rPr>
              <w:t>CAIP-ME7</w:t>
            </w:r>
          </w:p>
        </w:tc>
        <w:tc>
          <w:tcPr>
            <w:tcW w:w="1296" w:type="dxa"/>
            <w:tcMar>
              <w:top w:w="72" w:type="dxa"/>
              <w:left w:w="72" w:type="dxa"/>
              <w:bottom w:w="72" w:type="dxa"/>
              <w:right w:w="72" w:type="dxa"/>
            </w:tcMar>
            <w:vAlign w:val="center"/>
          </w:tcPr>
          <w:p w14:paraId="20BFB9C8">
            <w:pPr>
              <w:rPr>
                <w:rFonts w:asciiTheme="minorHAnsi" w:hAnsiTheme="minorHAnsi"/>
                <w:szCs w:val="24"/>
              </w:rPr>
            </w:pPr>
            <w:r>
              <w:rPr>
                <w:rFonts w:asciiTheme="minorHAnsi" w:hAnsiTheme="minorHAnsi"/>
                <w:szCs w:val="24"/>
              </w:rPr>
              <w:t>Foundational</w:t>
            </w:r>
          </w:p>
        </w:tc>
        <w:tc>
          <w:tcPr>
            <w:tcW w:w="2088" w:type="dxa"/>
            <w:tcMar>
              <w:top w:w="72" w:type="dxa"/>
              <w:left w:w="72" w:type="dxa"/>
              <w:bottom w:w="72" w:type="dxa"/>
              <w:right w:w="72" w:type="dxa"/>
            </w:tcMar>
            <w:vAlign w:val="center"/>
          </w:tcPr>
          <w:p w14:paraId="7646F655">
            <w:pPr>
              <w:rPr>
                <w:rFonts w:asciiTheme="minorHAnsi" w:hAnsiTheme="minorHAnsi"/>
                <w:szCs w:val="24"/>
              </w:rPr>
            </w:pPr>
            <w:r>
              <w:rPr>
                <w:rFonts w:asciiTheme="minorHAnsi" w:hAnsiTheme="minorHAnsi"/>
                <w:szCs w:val="24"/>
              </w:rPr>
              <w:t>Data Security and Privacy Protection Operations</w:t>
            </w:r>
          </w:p>
        </w:tc>
        <w:tc>
          <w:tcPr>
            <w:tcW w:w="2232" w:type="dxa"/>
            <w:tcMar>
              <w:top w:w="72" w:type="dxa"/>
              <w:left w:w="72" w:type="dxa"/>
              <w:bottom w:w="72" w:type="dxa"/>
              <w:right w:w="72" w:type="dxa"/>
            </w:tcMar>
            <w:vAlign w:val="center"/>
          </w:tcPr>
          <w:p w14:paraId="1B65226D">
            <w:pPr>
              <w:rPr>
                <w:rFonts w:asciiTheme="minorHAnsi" w:hAnsiTheme="minorHAnsi"/>
                <w:szCs w:val="24"/>
              </w:rPr>
            </w:pPr>
            <w:r>
              <w:rPr>
                <w:rFonts w:asciiTheme="minorHAnsi" w:hAnsiTheme="minorHAnsi"/>
                <w:szCs w:val="24"/>
              </w:rPr>
              <w:t>Adheres to data security regulations and processes for handling sensitive data.</w:t>
            </w:r>
          </w:p>
        </w:tc>
        <w:tc>
          <w:tcPr>
            <w:tcW w:w="2520" w:type="dxa"/>
            <w:tcMar>
              <w:top w:w="72" w:type="dxa"/>
              <w:left w:w="72" w:type="dxa"/>
              <w:bottom w:w="72" w:type="dxa"/>
              <w:right w:w="72" w:type="dxa"/>
            </w:tcMar>
            <w:vAlign w:val="center"/>
          </w:tcPr>
          <w:p w14:paraId="11E679B4">
            <w:pPr>
              <w:rPr>
                <w:rFonts w:asciiTheme="minorHAnsi" w:hAnsiTheme="minorHAnsi"/>
                <w:szCs w:val="24"/>
              </w:rPr>
            </w:pPr>
            <w:r>
              <w:rPr>
                <w:rFonts w:asciiTheme="minorHAnsi" w:hAnsiTheme="minorHAnsi"/>
                <w:szCs w:val="24"/>
              </w:rPr>
              <w:t>Properly anonymizes patient information; securely stores and transmits data; uses institutional data platforms correctly.</w:t>
            </w:r>
          </w:p>
        </w:tc>
      </w:tr>
      <w:tr w14:paraId="0FB93252">
        <w:trPr>
          <w:jc w:val="center"/>
        </w:trPr>
        <w:tc>
          <w:tcPr>
            <w:tcW w:w="1368" w:type="dxa"/>
            <w:tcMar>
              <w:top w:w="72" w:type="dxa"/>
              <w:left w:w="72" w:type="dxa"/>
              <w:bottom w:w="72" w:type="dxa"/>
              <w:right w:w="72" w:type="dxa"/>
            </w:tcMar>
            <w:vAlign w:val="center"/>
          </w:tcPr>
          <w:p w14:paraId="5C1B48C5">
            <w:pPr>
              <w:rPr>
                <w:rFonts w:asciiTheme="minorHAnsi" w:hAnsiTheme="minorHAnsi"/>
                <w:szCs w:val="24"/>
              </w:rPr>
            </w:pPr>
            <w:r>
              <w:rPr>
                <w:rFonts w:asciiTheme="minorHAnsi" w:hAnsiTheme="minorHAnsi"/>
                <w:szCs w:val="24"/>
              </w:rPr>
              <w:t>Dimension II: Technical Understanding and Tool Application</w:t>
            </w:r>
          </w:p>
        </w:tc>
        <w:tc>
          <w:tcPr>
            <w:tcW w:w="1296" w:type="dxa"/>
            <w:tcMar>
              <w:top w:w="72" w:type="dxa"/>
              <w:left w:w="72" w:type="dxa"/>
              <w:bottom w:w="72" w:type="dxa"/>
              <w:right w:w="72" w:type="dxa"/>
            </w:tcMar>
            <w:vAlign w:val="center"/>
          </w:tcPr>
          <w:p w14:paraId="1DC3A036">
            <w:pPr>
              <w:rPr>
                <w:rFonts w:asciiTheme="minorHAnsi" w:hAnsiTheme="minorHAnsi"/>
                <w:szCs w:val="24"/>
              </w:rPr>
            </w:pPr>
            <w:r>
              <w:rPr>
                <w:rFonts w:asciiTheme="minorHAnsi" w:hAnsiTheme="minorHAnsi"/>
                <w:szCs w:val="24"/>
              </w:rPr>
              <w:t>CAIP-ME8</w:t>
            </w:r>
          </w:p>
        </w:tc>
        <w:tc>
          <w:tcPr>
            <w:tcW w:w="1296" w:type="dxa"/>
            <w:tcMar>
              <w:top w:w="72" w:type="dxa"/>
              <w:left w:w="72" w:type="dxa"/>
              <w:bottom w:w="72" w:type="dxa"/>
              <w:right w:w="72" w:type="dxa"/>
            </w:tcMar>
            <w:vAlign w:val="center"/>
          </w:tcPr>
          <w:p w14:paraId="74E5E7A5">
            <w:pPr>
              <w:rPr>
                <w:rFonts w:asciiTheme="minorHAnsi" w:hAnsiTheme="minorHAnsi"/>
                <w:szCs w:val="24"/>
              </w:rPr>
            </w:pPr>
            <w:r>
              <w:rPr>
                <w:rFonts w:asciiTheme="minorHAnsi" w:hAnsiTheme="minorHAnsi"/>
                <w:szCs w:val="24"/>
              </w:rPr>
              <w:t>Foundational</w:t>
            </w:r>
          </w:p>
        </w:tc>
        <w:tc>
          <w:tcPr>
            <w:tcW w:w="2088" w:type="dxa"/>
            <w:tcMar>
              <w:top w:w="72" w:type="dxa"/>
              <w:left w:w="72" w:type="dxa"/>
              <w:bottom w:w="72" w:type="dxa"/>
              <w:right w:w="72" w:type="dxa"/>
            </w:tcMar>
            <w:vAlign w:val="center"/>
          </w:tcPr>
          <w:p w14:paraId="32F48F57">
            <w:pPr>
              <w:rPr>
                <w:rFonts w:asciiTheme="minorHAnsi" w:hAnsiTheme="minorHAnsi"/>
                <w:szCs w:val="24"/>
              </w:rPr>
            </w:pPr>
            <w:r>
              <w:rPr>
                <w:rFonts w:asciiTheme="minorHAnsi" w:hAnsiTheme="minorHAnsi"/>
                <w:szCs w:val="24"/>
              </w:rPr>
              <w:t>AI-Assisted Literature Research and Analysis Skills</w:t>
            </w:r>
          </w:p>
        </w:tc>
        <w:tc>
          <w:tcPr>
            <w:tcW w:w="2232" w:type="dxa"/>
            <w:tcMar>
              <w:top w:w="72" w:type="dxa"/>
              <w:left w:w="72" w:type="dxa"/>
              <w:bottom w:w="72" w:type="dxa"/>
              <w:right w:w="72" w:type="dxa"/>
            </w:tcMar>
            <w:vAlign w:val="center"/>
          </w:tcPr>
          <w:p w14:paraId="6B2BD3BF">
            <w:pPr>
              <w:rPr>
                <w:rFonts w:asciiTheme="minorHAnsi" w:hAnsiTheme="minorHAnsi"/>
                <w:szCs w:val="24"/>
              </w:rPr>
            </w:pPr>
            <w:r>
              <w:rPr>
                <w:rFonts w:asciiTheme="minorHAnsi" w:hAnsiTheme="minorHAnsi"/>
                <w:szCs w:val="24"/>
              </w:rPr>
              <w:t>Uses AI-driven academic search engines and literature management tools efficiently.</w:t>
            </w:r>
          </w:p>
        </w:tc>
        <w:tc>
          <w:tcPr>
            <w:tcW w:w="2520" w:type="dxa"/>
            <w:tcMar>
              <w:top w:w="72" w:type="dxa"/>
              <w:left w:w="72" w:type="dxa"/>
              <w:bottom w:w="72" w:type="dxa"/>
              <w:right w:w="72" w:type="dxa"/>
            </w:tcMar>
            <w:vAlign w:val="center"/>
          </w:tcPr>
          <w:p w14:paraId="0B6729BF">
            <w:pPr>
              <w:rPr>
                <w:rFonts w:asciiTheme="minorHAnsi" w:hAnsiTheme="minorHAnsi"/>
                <w:szCs w:val="24"/>
              </w:rPr>
            </w:pPr>
            <w:r>
              <w:rPr>
                <w:rFonts w:asciiTheme="minorHAnsi" w:hAnsiTheme="minorHAnsi"/>
                <w:szCs w:val="24"/>
              </w:rPr>
              <w:t>Quickly identifies research hotspots; generates literature comparison matrices; integrates AI analysis results into teaching materials.</w:t>
            </w:r>
          </w:p>
        </w:tc>
      </w:tr>
      <w:tr w14:paraId="6D56F939">
        <w:trPr>
          <w:jc w:val="center"/>
        </w:trPr>
        <w:tc>
          <w:tcPr>
            <w:tcW w:w="1368" w:type="dxa"/>
            <w:tcMar>
              <w:top w:w="72" w:type="dxa"/>
              <w:left w:w="72" w:type="dxa"/>
              <w:bottom w:w="72" w:type="dxa"/>
              <w:right w:w="72" w:type="dxa"/>
            </w:tcMar>
            <w:vAlign w:val="center"/>
          </w:tcPr>
          <w:p w14:paraId="4ECC3487">
            <w:pPr>
              <w:rPr>
                <w:rFonts w:asciiTheme="minorHAnsi" w:hAnsiTheme="minorHAnsi"/>
                <w:szCs w:val="24"/>
              </w:rPr>
            </w:pPr>
            <w:r>
              <w:rPr>
                <w:rFonts w:asciiTheme="minorHAnsi" w:hAnsiTheme="minorHAnsi"/>
                <w:szCs w:val="24"/>
              </w:rPr>
              <w:t>Dimension II: Technical Understanding and Tool Application</w:t>
            </w:r>
          </w:p>
        </w:tc>
        <w:tc>
          <w:tcPr>
            <w:tcW w:w="1296" w:type="dxa"/>
            <w:tcMar>
              <w:top w:w="72" w:type="dxa"/>
              <w:left w:w="72" w:type="dxa"/>
              <w:bottom w:w="72" w:type="dxa"/>
              <w:right w:w="72" w:type="dxa"/>
            </w:tcMar>
            <w:vAlign w:val="center"/>
          </w:tcPr>
          <w:p w14:paraId="0B07F67D">
            <w:pPr>
              <w:rPr>
                <w:rFonts w:asciiTheme="minorHAnsi" w:hAnsiTheme="minorHAnsi"/>
                <w:szCs w:val="24"/>
              </w:rPr>
            </w:pPr>
            <w:r>
              <w:rPr>
                <w:rFonts w:asciiTheme="minorHAnsi" w:hAnsiTheme="minorHAnsi"/>
                <w:szCs w:val="24"/>
              </w:rPr>
              <w:t>CAIP-ME9</w:t>
            </w:r>
          </w:p>
        </w:tc>
        <w:tc>
          <w:tcPr>
            <w:tcW w:w="1296" w:type="dxa"/>
            <w:tcMar>
              <w:top w:w="72" w:type="dxa"/>
              <w:left w:w="72" w:type="dxa"/>
              <w:bottom w:w="72" w:type="dxa"/>
              <w:right w:w="72" w:type="dxa"/>
            </w:tcMar>
            <w:vAlign w:val="center"/>
          </w:tcPr>
          <w:p w14:paraId="4B87CBE9">
            <w:pPr>
              <w:rPr>
                <w:rFonts w:asciiTheme="minorHAnsi" w:hAnsiTheme="minorHAnsi"/>
                <w:szCs w:val="24"/>
              </w:rPr>
            </w:pPr>
            <w:r>
              <w:rPr>
                <w:rFonts w:asciiTheme="minorHAnsi" w:hAnsiTheme="minorHAnsi"/>
                <w:szCs w:val="24"/>
              </w:rPr>
              <w:t>Developmental</w:t>
            </w:r>
          </w:p>
        </w:tc>
        <w:tc>
          <w:tcPr>
            <w:tcW w:w="2088" w:type="dxa"/>
            <w:tcMar>
              <w:top w:w="72" w:type="dxa"/>
              <w:left w:w="72" w:type="dxa"/>
              <w:bottom w:w="72" w:type="dxa"/>
              <w:right w:w="72" w:type="dxa"/>
            </w:tcMar>
            <w:vAlign w:val="center"/>
          </w:tcPr>
          <w:p w14:paraId="33A693D2">
            <w:pPr>
              <w:rPr>
                <w:rFonts w:asciiTheme="minorHAnsi" w:hAnsiTheme="minorHAnsi"/>
                <w:szCs w:val="24"/>
              </w:rPr>
            </w:pPr>
            <w:r>
              <w:rPr>
                <w:rFonts w:asciiTheme="minorHAnsi" w:hAnsiTheme="minorHAnsi"/>
                <w:szCs w:val="24"/>
              </w:rPr>
              <w:t>Basic Research Data Processing and Visualization Skills</w:t>
            </w:r>
          </w:p>
        </w:tc>
        <w:tc>
          <w:tcPr>
            <w:tcW w:w="2232" w:type="dxa"/>
            <w:tcMar>
              <w:top w:w="72" w:type="dxa"/>
              <w:left w:w="72" w:type="dxa"/>
              <w:bottom w:w="72" w:type="dxa"/>
              <w:right w:w="72" w:type="dxa"/>
            </w:tcMar>
            <w:vAlign w:val="center"/>
          </w:tcPr>
          <w:p w14:paraId="1881A187">
            <w:pPr>
              <w:rPr>
                <w:rFonts w:asciiTheme="minorHAnsi" w:hAnsiTheme="minorHAnsi"/>
                <w:szCs w:val="24"/>
              </w:rPr>
            </w:pPr>
            <w:r>
              <w:rPr>
                <w:rFonts w:asciiTheme="minorHAnsi" w:hAnsiTheme="minorHAnsi"/>
                <w:szCs w:val="24"/>
              </w:rPr>
              <w:t>Applies AI-enhanced data analysis tools for basic data cleaning, transformation, statistical analysis, and visualization.</w:t>
            </w:r>
          </w:p>
        </w:tc>
        <w:tc>
          <w:tcPr>
            <w:tcW w:w="2520" w:type="dxa"/>
            <w:tcMar>
              <w:top w:w="72" w:type="dxa"/>
              <w:left w:w="72" w:type="dxa"/>
              <w:bottom w:w="72" w:type="dxa"/>
              <w:right w:w="72" w:type="dxa"/>
            </w:tcMar>
            <w:vAlign w:val="center"/>
          </w:tcPr>
          <w:p w14:paraId="401E8166">
            <w:pPr>
              <w:rPr>
                <w:rFonts w:asciiTheme="minorHAnsi" w:hAnsiTheme="minorHAnsi"/>
                <w:szCs w:val="24"/>
              </w:rPr>
            </w:pPr>
            <w:r>
              <w:rPr>
                <w:rFonts w:asciiTheme="minorHAnsi" w:hAnsiTheme="minorHAnsi"/>
                <w:szCs w:val="24"/>
              </w:rPr>
              <w:t>Detects and handles missing values; chooses appropriate statistical charts; interprets AI-generated reports.</w:t>
            </w:r>
          </w:p>
        </w:tc>
      </w:tr>
      <w:tr w14:paraId="68C744B3">
        <w:trPr>
          <w:jc w:val="center"/>
        </w:trPr>
        <w:tc>
          <w:tcPr>
            <w:tcW w:w="1368" w:type="dxa"/>
            <w:tcMar>
              <w:top w:w="72" w:type="dxa"/>
              <w:left w:w="72" w:type="dxa"/>
              <w:bottom w:w="72" w:type="dxa"/>
              <w:right w:w="72" w:type="dxa"/>
            </w:tcMar>
            <w:vAlign w:val="center"/>
          </w:tcPr>
          <w:p w14:paraId="3CA3F160">
            <w:pPr>
              <w:rPr>
                <w:rFonts w:asciiTheme="minorHAnsi" w:hAnsiTheme="minorHAnsi"/>
                <w:szCs w:val="24"/>
              </w:rPr>
            </w:pPr>
            <w:r>
              <w:rPr>
                <w:rFonts w:asciiTheme="minorHAnsi" w:hAnsiTheme="minorHAnsi"/>
                <w:szCs w:val="24"/>
              </w:rPr>
              <w:t>Dimension III: Teaching Integration and Innovative Practice</w:t>
            </w:r>
          </w:p>
        </w:tc>
        <w:tc>
          <w:tcPr>
            <w:tcW w:w="1296" w:type="dxa"/>
            <w:tcMar>
              <w:top w:w="72" w:type="dxa"/>
              <w:left w:w="72" w:type="dxa"/>
              <w:bottom w:w="72" w:type="dxa"/>
              <w:right w:w="72" w:type="dxa"/>
            </w:tcMar>
            <w:vAlign w:val="center"/>
          </w:tcPr>
          <w:p w14:paraId="786FB87A">
            <w:pPr>
              <w:rPr>
                <w:rFonts w:asciiTheme="minorHAnsi" w:hAnsiTheme="minorHAnsi"/>
                <w:szCs w:val="24"/>
              </w:rPr>
            </w:pPr>
            <w:r>
              <w:rPr>
                <w:rFonts w:asciiTheme="minorHAnsi" w:hAnsiTheme="minorHAnsi"/>
                <w:szCs w:val="24"/>
              </w:rPr>
              <w:t>CAIP-ME10</w:t>
            </w:r>
          </w:p>
        </w:tc>
        <w:tc>
          <w:tcPr>
            <w:tcW w:w="1296" w:type="dxa"/>
            <w:tcMar>
              <w:top w:w="72" w:type="dxa"/>
              <w:left w:w="72" w:type="dxa"/>
              <w:bottom w:w="72" w:type="dxa"/>
              <w:right w:w="72" w:type="dxa"/>
            </w:tcMar>
            <w:vAlign w:val="center"/>
          </w:tcPr>
          <w:p w14:paraId="710520E5">
            <w:pPr>
              <w:rPr>
                <w:rFonts w:asciiTheme="minorHAnsi" w:hAnsiTheme="minorHAnsi"/>
                <w:szCs w:val="24"/>
              </w:rPr>
            </w:pPr>
            <w:r>
              <w:rPr>
                <w:rFonts w:asciiTheme="minorHAnsi" w:hAnsiTheme="minorHAnsi"/>
                <w:szCs w:val="24"/>
              </w:rPr>
              <w:t>Developmental</w:t>
            </w:r>
          </w:p>
        </w:tc>
        <w:tc>
          <w:tcPr>
            <w:tcW w:w="2088" w:type="dxa"/>
            <w:tcMar>
              <w:top w:w="72" w:type="dxa"/>
              <w:left w:w="72" w:type="dxa"/>
              <w:bottom w:w="72" w:type="dxa"/>
              <w:right w:w="72" w:type="dxa"/>
            </w:tcMar>
            <w:vAlign w:val="center"/>
          </w:tcPr>
          <w:p w14:paraId="6CCBE5B4">
            <w:pPr>
              <w:rPr>
                <w:rFonts w:asciiTheme="minorHAnsi" w:hAnsiTheme="minorHAnsi"/>
                <w:szCs w:val="24"/>
              </w:rPr>
            </w:pPr>
            <w:r>
              <w:rPr>
                <w:rFonts w:asciiTheme="minorHAnsi" w:hAnsiTheme="minorHAnsi"/>
                <w:szCs w:val="24"/>
              </w:rPr>
              <w:t>Enhanced Teaching Design Using AI</w:t>
            </w:r>
          </w:p>
        </w:tc>
        <w:tc>
          <w:tcPr>
            <w:tcW w:w="2232" w:type="dxa"/>
            <w:tcMar>
              <w:top w:w="72" w:type="dxa"/>
              <w:left w:w="72" w:type="dxa"/>
              <w:bottom w:w="72" w:type="dxa"/>
              <w:right w:w="72" w:type="dxa"/>
            </w:tcMar>
            <w:vAlign w:val="center"/>
          </w:tcPr>
          <w:p w14:paraId="6538159C">
            <w:pPr>
              <w:rPr>
                <w:rFonts w:asciiTheme="minorHAnsi" w:hAnsiTheme="minorHAnsi"/>
                <w:szCs w:val="24"/>
              </w:rPr>
            </w:pPr>
            <w:r>
              <w:rPr>
                <w:rFonts w:asciiTheme="minorHAnsi" w:hAnsiTheme="minorHAnsi"/>
                <w:szCs w:val="24"/>
              </w:rPr>
              <w:t>Utilizes AI and knowledge graphs to create personalized, interactive blended learning solutions.</w:t>
            </w:r>
          </w:p>
        </w:tc>
        <w:tc>
          <w:tcPr>
            <w:tcW w:w="2520" w:type="dxa"/>
            <w:tcMar>
              <w:top w:w="72" w:type="dxa"/>
              <w:left w:w="72" w:type="dxa"/>
              <w:bottom w:w="72" w:type="dxa"/>
              <w:right w:w="72" w:type="dxa"/>
            </w:tcMar>
            <w:vAlign w:val="center"/>
          </w:tcPr>
          <w:p w14:paraId="33A1FF2E">
            <w:pPr>
              <w:rPr>
                <w:rFonts w:asciiTheme="minorHAnsi" w:hAnsiTheme="minorHAnsi"/>
                <w:szCs w:val="24"/>
              </w:rPr>
            </w:pPr>
            <w:r>
              <w:rPr>
                <w:rFonts w:asciiTheme="minorHAnsi" w:hAnsiTheme="minorHAnsi"/>
                <w:szCs w:val="24"/>
              </w:rPr>
              <w:t>Predicts potential learning difficulties using AI; designs AI-augmented pre-class tasks; creates differentiated reading lists or practice banks.</w:t>
            </w:r>
          </w:p>
        </w:tc>
      </w:tr>
      <w:tr w14:paraId="759EF1C8">
        <w:trPr>
          <w:jc w:val="center"/>
        </w:trPr>
        <w:tc>
          <w:tcPr>
            <w:tcW w:w="1368" w:type="dxa"/>
            <w:tcMar>
              <w:top w:w="72" w:type="dxa"/>
              <w:left w:w="72" w:type="dxa"/>
              <w:bottom w:w="72" w:type="dxa"/>
              <w:right w:w="72" w:type="dxa"/>
            </w:tcMar>
            <w:vAlign w:val="center"/>
          </w:tcPr>
          <w:p w14:paraId="3FA381AF">
            <w:pPr>
              <w:rPr>
                <w:rFonts w:asciiTheme="minorHAnsi" w:hAnsiTheme="minorHAnsi"/>
                <w:szCs w:val="24"/>
              </w:rPr>
            </w:pPr>
            <w:r>
              <w:rPr>
                <w:rFonts w:asciiTheme="minorHAnsi" w:hAnsiTheme="minorHAnsi"/>
                <w:szCs w:val="24"/>
              </w:rPr>
              <w:t>Dimension III: Teaching Integration and Innovative Practice</w:t>
            </w:r>
          </w:p>
        </w:tc>
        <w:tc>
          <w:tcPr>
            <w:tcW w:w="1296" w:type="dxa"/>
            <w:tcMar>
              <w:top w:w="72" w:type="dxa"/>
              <w:left w:w="72" w:type="dxa"/>
              <w:bottom w:w="72" w:type="dxa"/>
              <w:right w:w="72" w:type="dxa"/>
            </w:tcMar>
            <w:vAlign w:val="center"/>
          </w:tcPr>
          <w:p w14:paraId="7EB2FDAC">
            <w:pPr>
              <w:rPr>
                <w:rFonts w:asciiTheme="minorHAnsi" w:hAnsiTheme="minorHAnsi"/>
                <w:szCs w:val="24"/>
              </w:rPr>
            </w:pPr>
            <w:r>
              <w:rPr>
                <w:rFonts w:asciiTheme="minorHAnsi" w:hAnsiTheme="minorHAnsi"/>
                <w:szCs w:val="24"/>
              </w:rPr>
              <w:t>CAIP-ME11</w:t>
            </w:r>
          </w:p>
        </w:tc>
        <w:tc>
          <w:tcPr>
            <w:tcW w:w="1296" w:type="dxa"/>
            <w:tcMar>
              <w:top w:w="72" w:type="dxa"/>
              <w:left w:w="72" w:type="dxa"/>
              <w:bottom w:w="72" w:type="dxa"/>
              <w:right w:w="72" w:type="dxa"/>
            </w:tcMar>
            <w:vAlign w:val="center"/>
          </w:tcPr>
          <w:p w14:paraId="33BAAD4A">
            <w:pPr>
              <w:rPr>
                <w:rFonts w:asciiTheme="minorHAnsi" w:hAnsiTheme="minorHAnsi"/>
                <w:szCs w:val="24"/>
              </w:rPr>
            </w:pPr>
            <w:r>
              <w:rPr>
                <w:rFonts w:asciiTheme="minorHAnsi" w:hAnsiTheme="minorHAnsi"/>
                <w:szCs w:val="24"/>
              </w:rPr>
              <w:t>Developmental</w:t>
            </w:r>
          </w:p>
        </w:tc>
        <w:tc>
          <w:tcPr>
            <w:tcW w:w="2088" w:type="dxa"/>
            <w:tcMar>
              <w:top w:w="72" w:type="dxa"/>
              <w:left w:w="72" w:type="dxa"/>
              <w:bottom w:w="72" w:type="dxa"/>
              <w:right w:w="72" w:type="dxa"/>
            </w:tcMar>
            <w:vAlign w:val="center"/>
          </w:tcPr>
          <w:p w14:paraId="1B96C8D3">
            <w:pPr>
              <w:rPr>
                <w:rFonts w:asciiTheme="minorHAnsi" w:hAnsiTheme="minorHAnsi"/>
                <w:szCs w:val="24"/>
              </w:rPr>
            </w:pPr>
            <w:r>
              <w:rPr>
                <w:rFonts w:asciiTheme="minorHAnsi" w:hAnsiTheme="minorHAnsi"/>
                <w:szCs w:val="24"/>
              </w:rPr>
              <w:t>Intelligent Virtual Simulation Teaching Application</w:t>
            </w:r>
          </w:p>
        </w:tc>
        <w:tc>
          <w:tcPr>
            <w:tcW w:w="2232" w:type="dxa"/>
            <w:tcMar>
              <w:top w:w="72" w:type="dxa"/>
              <w:left w:w="72" w:type="dxa"/>
              <w:bottom w:w="72" w:type="dxa"/>
              <w:right w:w="72" w:type="dxa"/>
            </w:tcMar>
            <w:vAlign w:val="center"/>
          </w:tcPr>
          <w:p w14:paraId="02A3116F">
            <w:pPr>
              <w:rPr>
                <w:rFonts w:asciiTheme="minorHAnsi" w:hAnsiTheme="minorHAnsi"/>
                <w:szCs w:val="24"/>
              </w:rPr>
            </w:pPr>
            <w:r>
              <w:rPr>
                <w:rFonts w:asciiTheme="minorHAnsi" w:hAnsiTheme="minorHAnsi"/>
                <w:szCs w:val="24"/>
              </w:rPr>
              <w:t>Leads or participates deeply in building intelligent clinical skill training environments.</w:t>
            </w:r>
          </w:p>
        </w:tc>
        <w:tc>
          <w:tcPr>
            <w:tcW w:w="2520" w:type="dxa"/>
            <w:tcMar>
              <w:top w:w="72" w:type="dxa"/>
              <w:left w:w="72" w:type="dxa"/>
              <w:bottom w:w="72" w:type="dxa"/>
              <w:right w:w="72" w:type="dxa"/>
            </w:tcMar>
            <w:vAlign w:val="center"/>
          </w:tcPr>
          <w:p w14:paraId="44E08D71">
            <w:pPr>
              <w:rPr>
                <w:rFonts w:asciiTheme="minorHAnsi" w:hAnsiTheme="minorHAnsi"/>
                <w:szCs w:val="24"/>
              </w:rPr>
            </w:pPr>
            <w:r>
              <w:rPr>
                <w:rFonts w:asciiTheme="minorHAnsi" w:hAnsiTheme="minorHAnsi"/>
                <w:szCs w:val="24"/>
              </w:rPr>
              <w:t>Sets up complex scenarios in virtual surgery systems; conducts targeted reviews using AI-driven virtual patients.</w:t>
            </w:r>
          </w:p>
        </w:tc>
      </w:tr>
      <w:tr w14:paraId="1DE9BD6E">
        <w:trPr>
          <w:jc w:val="center"/>
        </w:trPr>
        <w:tc>
          <w:tcPr>
            <w:tcW w:w="1368" w:type="dxa"/>
            <w:tcMar>
              <w:top w:w="72" w:type="dxa"/>
              <w:left w:w="72" w:type="dxa"/>
              <w:bottom w:w="72" w:type="dxa"/>
              <w:right w:w="72" w:type="dxa"/>
            </w:tcMar>
            <w:vAlign w:val="center"/>
          </w:tcPr>
          <w:p w14:paraId="6DAE6C4E">
            <w:pPr>
              <w:rPr>
                <w:rFonts w:asciiTheme="minorHAnsi" w:hAnsiTheme="minorHAnsi"/>
                <w:szCs w:val="24"/>
              </w:rPr>
            </w:pPr>
            <w:r>
              <w:rPr>
                <w:rFonts w:asciiTheme="minorHAnsi" w:hAnsiTheme="minorHAnsi"/>
                <w:szCs w:val="24"/>
              </w:rPr>
              <w:t>Dimension III: Teaching Integration and Innovative Practice</w:t>
            </w:r>
          </w:p>
        </w:tc>
        <w:tc>
          <w:tcPr>
            <w:tcW w:w="1296" w:type="dxa"/>
            <w:tcMar>
              <w:top w:w="72" w:type="dxa"/>
              <w:left w:w="72" w:type="dxa"/>
              <w:bottom w:w="72" w:type="dxa"/>
              <w:right w:w="72" w:type="dxa"/>
            </w:tcMar>
            <w:vAlign w:val="center"/>
          </w:tcPr>
          <w:p w14:paraId="577DE6B1">
            <w:pPr>
              <w:rPr>
                <w:rFonts w:asciiTheme="minorHAnsi" w:hAnsiTheme="minorHAnsi"/>
                <w:szCs w:val="24"/>
              </w:rPr>
            </w:pPr>
            <w:r>
              <w:rPr>
                <w:rFonts w:asciiTheme="minorHAnsi" w:hAnsiTheme="minorHAnsi"/>
                <w:szCs w:val="24"/>
              </w:rPr>
              <w:t>CAIP-ME12</w:t>
            </w:r>
          </w:p>
        </w:tc>
        <w:tc>
          <w:tcPr>
            <w:tcW w:w="1296" w:type="dxa"/>
            <w:tcMar>
              <w:top w:w="72" w:type="dxa"/>
              <w:left w:w="72" w:type="dxa"/>
              <w:bottom w:w="72" w:type="dxa"/>
              <w:right w:w="72" w:type="dxa"/>
            </w:tcMar>
            <w:vAlign w:val="center"/>
          </w:tcPr>
          <w:p w14:paraId="140805F8">
            <w:pPr>
              <w:rPr>
                <w:rFonts w:asciiTheme="minorHAnsi" w:hAnsiTheme="minorHAnsi"/>
                <w:szCs w:val="24"/>
              </w:rPr>
            </w:pPr>
            <w:r>
              <w:rPr>
                <w:rFonts w:asciiTheme="minorHAnsi" w:hAnsiTheme="minorHAnsi"/>
                <w:szCs w:val="24"/>
              </w:rPr>
              <w:t>Developmental</w:t>
            </w:r>
          </w:p>
        </w:tc>
        <w:tc>
          <w:tcPr>
            <w:tcW w:w="2088" w:type="dxa"/>
            <w:tcMar>
              <w:top w:w="72" w:type="dxa"/>
              <w:left w:w="72" w:type="dxa"/>
              <w:bottom w:w="72" w:type="dxa"/>
              <w:right w:w="72" w:type="dxa"/>
            </w:tcMar>
            <w:vAlign w:val="center"/>
          </w:tcPr>
          <w:p w14:paraId="12D9C3A1">
            <w:pPr>
              <w:rPr>
                <w:rFonts w:asciiTheme="minorHAnsi" w:hAnsiTheme="minorHAnsi"/>
                <w:szCs w:val="24"/>
              </w:rPr>
            </w:pPr>
            <w:r>
              <w:rPr>
                <w:rFonts w:asciiTheme="minorHAnsi" w:hAnsiTheme="minorHAnsi"/>
                <w:szCs w:val="24"/>
              </w:rPr>
              <w:t>AI-Assisted Teaching Resource Creation</w:t>
            </w:r>
          </w:p>
        </w:tc>
        <w:tc>
          <w:tcPr>
            <w:tcW w:w="2232" w:type="dxa"/>
            <w:tcMar>
              <w:top w:w="72" w:type="dxa"/>
              <w:left w:w="72" w:type="dxa"/>
              <w:bottom w:w="72" w:type="dxa"/>
              <w:right w:w="72" w:type="dxa"/>
            </w:tcMar>
            <w:vAlign w:val="center"/>
          </w:tcPr>
          <w:p w14:paraId="4732A45F">
            <w:pPr>
              <w:rPr>
                <w:rFonts w:asciiTheme="minorHAnsi" w:hAnsiTheme="minorHAnsi"/>
                <w:szCs w:val="24"/>
              </w:rPr>
            </w:pPr>
            <w:r>
              <w:rPr>
                <w:rFonts w:asciiTheme="minorHAnsi" w:hAnsiTheme="minorHAnsi"/>
                <w:szCs w:val="24"/>
              </w:rPr>
              <w:t>Produces high-quality customized teaching materials using generative AI tools.</w:t>
            </w:r>
          </w:p>
        </w:tc>
        <w:tc>
          <w:tcPr>
            <w:tcW w:w="2520" w:type="dxa"/>
            <w:tcMar>
              <w:top w:w="72" w:type="dxa"/>
              <w:left w:w="72" w:type="dxa"/>
              <w:bottom w:w="72" w:type="dxa"/>
              <w:right w:w="72" w:type="dxa"/>
            </w:tcMar>
            <w:vAlign w:val="center"/>
          </w:tcPr>
          <w:p w14:paraId="7CD8A2C8">
            <w:pPr>
              <w:rPr>
                <w:rFonts w:asciiTheme="minorHAnsi" w:hAnsiTheme="minorHAnsi"/>
                <w:szCs w:val="24"/>
              </w:rPr>
            </w:pPr>
            <w:r>
              <w:rPr>
                <w:rFonts w:asciiTheme="minorHAnsi" w:hAnsiTheme="minorHAnsi"/>
                <w:szCs w:val="24"/>
              </w:rPr>
              <w:t>Generates comparative images of diseases; converts complex guidelines into clear visual scripts; ensures accuracy and attribution of AI-generated resources.</w:t>
            </w:r>
          </w:p>
        </w:tc>
      </w:tr>
      <w:tr w14:paraId="3FC1ED9A">
        <w:trPr>
          <w:jc w:val="center"/>
        </w:trPr>
        <w:tc>
          <w:tcPr>
            <w:tcW w:w="1368" w:type="dxa"/>
            <w:tcMar>
              <w:top w:w="72" w:type="dxa"/>
              <w:left w:w="72" w:type="dxa"/>
              <w:bottom w:w="72" w:type="dxa"/>
              <w:right w:w="72" w:type="dxa"/>
            </w:tcMar>
            <w:vAlign w:val="center"/>
          </w:tcPr>
          <w:p w14:paraId="2B14F8A8">
            <w:pPr>
              <w:rPr>
                <w:rFonts w:asciiTheme="minorHAnsi" w:hAnsiTheme="minorHAnsi"/>
                <w:szCs w:val="24"/>
              </w:rPr>
            </w:pPr>
            <w:r>
              <w:rPr>
                <w:rFonts w:asciiTheme="minorHAnsi" w:hAnsiTheme="minorHAnsi"/>
                <w:szCs w:val="24"/>
              </w:rPr>
              <w:t>Dimension III: Teaching Integration and Innovative Practice</w:t>
            </w:r>
          </w:p>
        </w:tc>
        <w:tc>
          <w:tcPr>
            <w:tcW w:w="1296" w:type="dxa"/>
            <w:tcMar>
              <w:top w:w="72" w:type="dxa"/>
              <w:left w:w="72" w:type="dxa"/>
              <w:bottom w:w="72" w:type="dxa"/>
              <w:right w:w="72" w:type="dxa"/>
            </w:tcMar>
            <w:vAlign w:val="center"/>
          </w:tcPr>
          <w:p w14:paraId="5E941ABF">
            <w:pPr>
              <w:rPr>
                <w:rFonts w:asciiTheme="minorHAnsi" w:hAnsiTheme="minorHAnsi"/>
                <w:szCs w:val="24"/>
              </w:rPr>
            </w:pPr>
            <w:r>
              <w:rPr>
                <w:rFonts w:asciiTheme="minorHAnsi" w:hAnsiTheme="minorHAnsi"/>
                <w:szCs w:val="24"/>
              </w:rPr>
              <w:t>CAIP-ME13</w:t>
            </w:r>
          </w:p>
        </w:tc>
        <w:tc>
          <w:tcPr>
            <w:tcW w:w="1296" w:type="dxa"/>
            <w:tcMar>
              <w:top w:w="72" w:type="dxa"/>
              <w:left w:w="72" w:type="dxa"/>
              <w:bottom w:w="72" w:type="dxa"/>
              <w:right w:w="72" w:type="dxa"/>
            </w:tcMar>
            <w:vAlign w:val="center"/>
          </w:tcPr>
          <w:p w14:paraId="72D309CB">
            <w:pPr>
              <w:rPr>
                <w:rFonts w:asciiTheme="minorHAnsi" w:hAnsiTheme="minorHAnsi"/>
                <w:szCs w:val="24"/>
              </w:rPr>
            </w:pPr>
            <w:r>
              <w:rPr>
                <w:rFonts w:asciiTheme="minorHAnsi" w:hAnsiTheme="minorHAnsi"/>
                <w:szCs w:val="24"/>
              </w:rPr>
              <w:t>Developmental</w:t>
            </w:r>
          </w:p>
        </w:tc>
        <w:tc>
          <w:tcPr>
            <w:tcW w:w="2088" w:type="dxa"/>
            <w:tcMar>
              <w:top w:w="72" w:type="dxa"/>
              <w:left w:w="72" w:type="dxa"/>
              <w:bottom w:w="72" w:type="dxa"/>
              <w:right w:w="72" w:type="dxa"/>
            </w:tcMar>
            <w:vAlign w:val="center"/>
          </w:tcPr>
          <w:p w14:paraId="252BACFB">
            <w:pPr>
              <w:rPr>
                <w:rFonts w:asciiTheme="minorHAnsi" w:hAnsiTheme="minorHAnsi"/>
                <w:szCs w:val="24"/>
              </w:rPr>
            </w:pPr>
            <w:r>
              <w:rPr>
                <w:rFonts w:asciiTheme="minorHAnsi" w:hAnsiTheme="minorHAnsi"/>
                <w:szCs w:val="24"/>
              </w:rPr>
              <w:t>Human-AI Collaborative Classroom Organization</w:t>
            </w:r>
          </w:p>
        </w:tc>
        <w:tc>
          <w:tcPr>
            <w:tcW w:w="2232" w:type="dxa"/>
            <w:tcMar>
              <w:top w:w="72" w:type="dxa"/>
              <w:left w:w="72" w:type="dxa"/>
              <w:bottom w:w="72" w:type="dxa"/>
              <w:right w:w="72" w:type="dxa"/>
            </w:tcMar>
            <w:vAlign w:val="center"/>
          </w:tcPr>
          <w:p w14:paraId="1797D2CE">
            <w:pPr>
              <w:rPr>
                <w:rFonts w:asciiTheme="minorHAnsi" w:hAnsiTheme="minorHAnsi"/>
                <w:szCs w:val="24"/>
              </w:rPr>
            </w:pPr>
            <w:r>
              <w:rPr>
                <w:rFonts w:asciiTheme="minorHAnsi" w:hAnsiTheme="minorHAnsi"/>
                <w:szCs w:val="24"/>
              </w:rPr>
              <w:t>Integrates AI tools into classroom activities effectively.</w:t>
            </w:r>
          </w:p>
        </w:tc>
        <w:tc>
          <w:tcPr>
            <w:tcW w:w="2520" w:type="dxa"/>
            <w:tcMar>
              <w:top w:w="72" w:type="dxa"/>
              <w:left w:w="72" w:type="dxa"/>
              <w:bottom w:w="72" w:type="dxa"/>
              <w:right w:w="72" w:type="dxa"/>
            </w:tcMar>
            <w:vAlign w:val="center"/>
          </w:tcPr>
          <w:p w14:paraId="367EF676">
            <w:pPr>
              <w:rPr>
                <w:rFonts w:asciiTheme="minorHAnsi" w:hAnsiTheme="minorHAnsi"/>
                <w:szCs w:val="24"/>
              </w:rPr>
            </w:pPr>
            <w:r>
              <w:rPr>
                <w:rFonts w:asciiTheme="minorHAnsi" w:hAnsiTheme="minorHAnsi"/>
                <w:szCs w:val="24"/>
              </w:rPr>
              <w:t>Uses AI chatbots for real-time Q&amp;A; adjusts teaching pace based on smart polling results; manages technology use to enhance learning outcomes.</w:t>
            </w:r>
          </w:p>
        </w:tc>
      </w:tr>
      <w:tr w14:paraId="3C2C1A2E">
        <w:trPr>
          <w:jc w:val="center"/>
        </w:trPr>
        <w:tc>
          <w:tcPr>
            <w:tcW w:w="1368" w:type="dxa"/>
            <w:tcMar>
              <w:top w:w="72" w:type="dxa"/>
              <w:left w:w="72" w:type="dxa"/>
              <w:bottom w:w="72" w:type="dxa"/>
              <w:right w:w="72" w:type="dxa"/>
            </w:tcMar>
            <w:vAlign w:val="center"/>
          </w:tcPr>
          <w:p w14:paraId="0DC4F388">
            <w:pPr>
              <w:rPr>
                <w:rFonts w:asciiTheme="minorHAnsi" w:hAnsiTheme="minorHAnsi"/>
                <w:szCs w:val="24"/>
              </w:rPr>
            </w:pPr>
            <w:r>
              <w:rPr>
                <w:rFonts w:asciiTheme="minorHAnsi" w:hAnsiTheme="minorHAnsi"/>
                <w:szCs w:val="24"/>
              </w:rPr>
              <w:t>Dimension III: Teaching Integration and Innovative Practice</w:t>
            </w:r>
          </w:p>
        </w:tc>
        <w:tc>
          <w:tcPr>
            <w:tcW w:w="1296" w:type="dxa"/>
            <w:tcMar>
              <w:top w:w="72" w:type="dxa"/>
              <w:left w:w="72" w:type="dxa"/>
              <w:bottom w:w="72" w:type="dxa"/>
              <w:right w:w="72" w:type="dxa"/>
            </w:tcMar>
            <w:vAlign w:val="center"/>
          </w:tcPr>
          <w:p w14:paraId="57BF5FED">
            <w:pPr>
              <w:rPr>
                <w:rFonts w:asciiTheme="minorHAnsi" w:hAnsiTheme="minorHAnsi"/>
                <w:szCs w:val="24"/>
              </w:rPr>
            </w:pPr>
            <w:r>
              <w:rPr>
                <w:rFonts w:asciiTheme="minorHAnsi" w:hAnsiTheme="minorHAnsi"/>
                <w:szCs w:val="24"/>
              </w:rPr>
              <w:t>CAIP-ME14</w:t>
            </w:r>
          </w:p>
        </w:tc>
        <w:tc>
          <w:tcPr>
            <w:tcW w:w="1296" w:type="dxa"/>
            <w:tcMar>
              <w:top w:w="72" w:type="dxa"/>
              <w:left w:w="72" w:type="dxa"/>
              <w:bottom w:w="72" w:type="dxa"/>
              <w:right w:w="72" w:type="dxa"/>
            </w:tcMar>
            <w:vAlign w:val="center"/>
          </w:tcPr>
          <w:p w14:paraId="63CFF7CA">
            <w:pPr>
              <w:rPr>
                <w:rFonts w:asciiTheme="minorHAnsi" w:hAnsiTheme="minorHAnsi"/>
                <w:szCs w:val="24"/>
              </w:rPr>
            </w:pPr>
            <w:r>
              <w:rPr>
                <w:rFonts w:asciiTheme="minorHAnsi" w:hAnsiTheme="minorHAnsi"/>
                <w:szCs w:val="24"/>
              </w:rPr>
              <w:t>Developmental</w:t>
            </w:r>
          </w:p>
        </w:tc>
        <w:tc>
          <w:tcPr>
            <w:tcW w:w="2088" w:type="dxa"/>
            <w:tcMar>
              <w:top w:w="72" w:type="dxa"/>
              <w:left w:w="72" w:type="dxa"/>
              <w:bottom w:w="72" w:type="dxa"/>
              <w:right w:w="72" w:type="dxa"/>
            </w:tcMar>
            <w:vAlign w:val="center"/>
          </w:tcPr>
          <w:p w14:paraId="3C61E16A">
            <w:pPr>
              <w:rPr>
                <w:rFonts w:asciiTheme="minorHAnsi" w:hAnsiTheme="minorHAnsi"/>
                <w:szCs w:val="24"/>
              </w:rPr>
            </w:pPr>
            <w:r>
              <w:rPr>
                <w:rFonts w:asciiTheme="minorHAnsi" w:hAnsiTheme="minorHAnsi"/>
                <w:szCs w:val="24"/>
              </w:rPr>
              <w:t>Clinical Scenario AI Tool Teaching Connection</w:t>
            </w:r>
          </w:p>
        </w:tc>
        <w:tc>
          <w:tcPr>
            <w:tcW w:w="2232" w:type="dxa"/>
            <w:tcMar>
              <w:top w:w="72" w:type="dxa"/>
              <w:left w:w="72" w:type="dxa"/>
              <w:bottom w:w="72" w:type="dxa"/>
              <w:right w:w="72" w:type="dxa"/>
            </w:tcMar>
            <w:vAlign w:val="center"/>
          </w:tcPr>
          <w:p w14:paraId="121181F7">
            <w:pPr>
              <w:rPr>
                <w:rFonts w:asciiTheme="minorHAnsi" w:hAnsiTheme="minorHAnsi"/>
                <w:szCs w:val="24"/>
              </w:rPr>
            </w:pPr>
            <w:r>
              <w:rPr>
                <w:rFonts w:asciiTheme="minorHAnsi" w:hAnsiTheme="minorHAnsi"/>
                <w:szCs w:val="24"/>
              </w:rPr>
              <w:t>Translates clinical AI decision support system usage into teaching opportunities.</w:t>
            </w:r>
          </w:p>
        </w:tc>
        <w:tc>
          <w:tcPr>
            <w:tcW w:w="2520" w:type="dxa"/>
            <w:tcMar>
              <w:top w:w="72" w:type="dxa"/>
              <w:left w:w="72" w:type="dxa"/>
              <w:bottom w:w="72" w:type="dxa"/>
              <w:right w:w="72" w:type="dxa"/>
            </w:tcMar>
            <w:vAlign w:val="center"/>
          </w:tcPr>
          <w:p w14:paraId="44B3AE22">
            <w:pPr>
              <w:rPr>
                <w:rFonts w:asciiTheme="minorHAnsi" w:hAnsiTheme="minorHAnsi"/>
                <w:szCs w:val="24"/>
              </w:rPr>
            </w:pPr>
            <w:r>
              <w:rPr>
                <w:rFonts w:asciiTheme="minorHAnsi" w:hAnsiTheme="minorHAnsi"/>
                <w:szCs w:val="24"/>
              </w:rPr>
              <w:t>Demonstrates how to use AI tools during rounds; discusses the rationale behind AI diagnostic suggestions; explains decision-making processes involving AI alerts.</w:t>
            </w:r>
          </w:p>
        </w:tc>
      </w:tr>
      <w:tr w14:paraId="7B87760D">
        <w:trPr>
          <w:jc w:val="center"/>
        </w:trPr>
        <w:tc>
          <w:tcPr>
            <w:tcW w:w="1368" w:type="dxa"/>
            <w:tcMar>
              <w:top w:w="72" w:type="dxa"/>
              <w:left w:w="72" w:type="dxa"/>
              <w:bottom w:w="72" w:type="dxa"/>
              <w:right w:w="72" w:type="dxa"/>
            </w:tcMar>
            <w:vAlign w:val="center"/>
          </w:tcPr>
          <w:p w14:paraId="02F529A9">
            <w:pPr>
              <w:rPr>
                <w:rFonts w:asciiTheme="minorHAnsi" w:hAnsiTheme="minorHAnsi"/>
                <w:szCs w:val="24"/>
              </w:rPr>
            </w:pPr>
            <w:r>
              <w:rPr>
                <w:rFonts w:asciiTheme="minorHAnsi" w:hAnsiTheme="minorHAnsi"/>
                <w:szCs w:val="24"/>
              </w:rPr>
              <w:t>Dimension IV: Learning Assessment and Precision Empowerment</w:t>
            </w:r>
          </w:p>
        </w:tc>
        <w:tc>
          <w:tcPr>
            <w:tcW w:w="1296" w:type="dxa"/>
            <w:tcMar>
              <w:top w:w="72" w:type="dxa"/>
              <w:left w:w="72" w:type="dxa"/>
              <w:bottom w:w="72" w:type="dxa"/>
              <w:right w:w="72" w:type="dxa"/>
            </w:tcMar>
            <w:vAlign w:val="center"/>
          </w:tcPr>
          <w:p w14:paraId="124BEECC">
            <w:pPr>
              <w:rPr>
                <w:rFonts w:asciiTheme="minorHAnsi" w:hAnsiTheme="minorHAnsi"/>
                <w:szCs w:val="24"/>
              </w:rPr>
            </w:pPr>
            <w:r>
              <w:rPr>
                <w:rFonts w:asciiTheme="minorHAnsi" w:hAnsiTheme="minorHAnsi"/>
                <w:szCs w:val="24"/>
              </w:rPr>
              <w:t>CAIP-ME15</w:t>
            </w:r>
          </w:p>
        </w:tc>
        <w:tc>
          <w:tcPr>
            <w:tcW w:w="1296" w:type="dxa"/>
            <w:tcMar>
              <w:top w:w="72" w:type="dxa"/>
              <w:left w:w="72" w:type="dxa"/>
              <w:bottom w:w="72" w:type="dxa"/>
              <w:right w:w="72" w:type="dxa"/>
            </w:tcMar>
            <w:vAlign w:val="center"/>
          </w:tcPr>
          <w:p w14:paraId="0614B6A5">
            <w:pPr>
              <w:rPr>
                <w:rFonts w:asciiTheme="minorHAnsi" w:hAnsiTheme="minorHAnsi"/>
                <w:szCs w:val="24"/>
              </w:rPr>
            </w:pPr>
            <w:r>
              <w:rPr>
                <w:rFonts w:asciiTheme="minorHAnsi" w:hAnsiTheme="minorHAnsi"/>
                <w:szCs w:val="24"/>
              </w:rPr>
              <w:t>Foundational</w:t>
            </w:r>
          </w:p>
        </w:tc>
        <w:tc>
          <w:tcPr>
            <w:tcW w:w="2088" w:type="dxa"/>
            <w:tcMar>
              <w:top w:w="72" w:type="dxa"/>
              <w:left w:w="72" w:type="dxa"/>
              <w:bottom w:w="72" w:type="dxa"/>
              <w:right w:w="72" w:type="dxa"/>
            </w:tcMar>
            <w:vAlign w:val="center"/>
          </w:tcPr>
          <w:p w14:paraId="63AF9AB3">
            <w:pPr>
              <w:rPr>
                <w:rFonts w:asciiTheme="minorHAnsi" w:hAnsiTheme="minorHAnsi"/>
                <w:szCs w:val="24"/>
              </w:rPr>
            </w:pPr>
            <w:r>
              <w:rPr>
                <w:rFonts w:asciiTheme="minorHAnsi" w:hAnsiTheme="minorHAnsi"/>
                <w:szCs w:val="24"/>
              </w:rPr>
              <w:t>AI-Supported Formative Assessment Design</w:t>
            </w:r>
          </w:p>
        </w:tc>
        <w:tc>
          <w:tcPr>
            <w:tcW w:w="2232" w:type="dxa"/>
            <w:tcMar>
              <w:top w:w="72" w:type="dxa"/>
              <w:left w:w="72" w:type="dxa"/>
              <w:bottom w:w="72" w:type="dxa"/>
              <w:right w:w="72" w:type="dxa"/>
            </w:tcMar>
            <w:vAlign w:val="center"/>
          </w:tcPr>
          <w:p w14:paraId="62CEBF29">
            <w:pPr>
              <w:rPr>
                <w:rFonts w:asciiTheme="minorHAnsi" w:hAnsiTheme="minorHAnsi"/>
                <w:szCs w:val="24"/>
              </w:rPr>
            </w:pPr>
            <w:r>
              <w:rPr>
                <w:rFonts w:asciiTheme="minorHAnsi" w:hAnsiTheme="minorHAnsi"/>
                <w:szCs w:val="24"/>
              </w:rPr>
              <w:t>Designs formative evaluations using smart question banks/online platforms to monitor student progress.</w:t>
            </w:r>
          </w:p>
        </w:tc>
        <w:tc>
          <w:tcPr>
            <w:tcW w:w="2520" w:type="dxa"/>
            <w:tcMar>
              <w:top w:w="72" w:type="dxa"/>
              <w:left w:w="72" w:type="dxa"/>
              <w:bottom w:w="72" w:type="dxa"/>
              <w:right w:w="72" w:type="dxa"/>
            </w:tcMar>
            <w:vAlign w:val="center"/>
          </w:tcPr>
          <w:p w14:paraId="30886495">
            <w:pPr>
              <w:rPr>
                <w:rFonts w:asciiTheme="minorHAnsi" w:hAnsiTheme="minorHAnsi"/>
                <w:szCs w:val="24"/>
              </w:rPr>
            </w:pPr>
            <w:r>
              <w:rPr>
                <w:rFonts w:asciiTheme="minorHAnsi" w:hAnsiTheme="minorHAnsi"/>
                <w:szCs w:val="24"/>
              </w:rPr>
              <w:t>Releases AI-generated quizzes with immediate feedback; aligns assessment timing with teaching modules.</w:t>
            </w:r>
          </w:p>
        </w:tc>
      </w:tr>
      <w:tr w14:paraId="2AD33AE2">
        <w:trPr>
          <w:jc w:val="center"/>
        </w:trPr>
        <w:tc>
          <w:tcPr>
            <w:tcW w:w="1368" w:type="dxa"/>
            <w:tcMar>
              <w:top w:w="72" w:type="dxa"/>
              <w:left w:w="72" w:type="dxa"/>
              <w:bottom w:w="72" w:type="dxa"/>
              <w:right w:w="72" w:type="dxa"/>
            </w:tcMar>
            <w:vAlign w:val="center"/>
          </w:tcPr>
          <w:p w14:paraId="16C8CD55">
            <w:pPr>
              <w:rPr>
                <w:rFonts w:asciiTheme="minorHAnsi" w:hAnsiTheme="minorHAnsi"/>
                <w:szCs w:val="24"/>
              </w:rPr>
            </w:pPr>
            <w:r>
              <w:rPr>
                <w:rFonts w:asciiTheme="minorHAnsi" w:hAnsiTheme="minorHAnsi"/>
                <w:szCs w:val="24"/>
              </w:rPr>
              <w:t>Dimension IV: Learning Assessment and Precision Empowerment</w:t>
            </w:r>
          </w:p>
        </w:tc>
        <w:tc>
          <w:tcPr>
            <w:tcW w:w="1296" w:type="dxa"/>
            <w:tcMar>
              <w:top w:w="72" w:type="dxa"/>
              <w:left w:w="72" w:type="dxa"/>
              <w:bottom w:w="72" w:type="dxa"/>
              <w:right w:w="72" w:type="dxa"/>
            </w:tcMar>
            <w:vAlign w:val="center"/>
          </w:tcPr>
          <w:p w14:paraId="3079EC0E">
            <w:pPr>
              <w:rPr>
                <w:rFonts w:asciiTheme="minorHAnsi" w:hAnsiTheme="minorHAnsi"/>
                <w:szCs w:val="24"/>
              </w:rPr>
            </w:pPr>
            <w:r>
              <w:rPr>
                <w:rFonts w:asciiTheme="minorHAnsi" w:hAnsiTheme="minorHAnsi"/>
                <w:szCs w:val="24"/>
              </w:rPr>
              <w:t>CAIP-ME16</w:t>
            </w:r>
          </w:p>
        </w:tc>
        <w:tc>
          <w:tcPr>
            <w:tcW w:w="1296" w:type="dxa"/>
            <w:tcMar>
              <w:top w:w="72" w:type="dxa"/>
              <w:left w:w="72" w:type="dxa"/>
              <w:bottom w:w="72" w:type="dxa"/>
              <w:right w:w="72" w:type="dxa"/>
            </w:tcMar>
            <w:vAlign w:val="center"/>
          </w:tcPr>
          <w:p w14:paraId="50619513">
            <w:pPr>
              <w:rPr>
                <w:rFonts w:asciiTheme="minorHAnsi" w:hAnsiTheme="minorHAnsi"/>
                <w:szCs w:val="24"/>
              </w:rPr>
            </w:pPr>
            <w:r>
              <w:rPr>
                <w:rFonts w:asciiTheme="minorHAnsi" w:hAnsiTheme="minorHAnsi"/>
                <w:szCs w:val="24"/>
              </w:rPr>
              <w:t>Foundational</w:t>
            </w:r>
          </w:p>
        </w:tc>
        <w:tc>
          <w:tcPr>
            <w:tcW w:w="2088" w:type="dxa"/>
            <w:tcMar>
              <w:top w:w="72" w:type="dxa"/>
              <w:left w:w="72" w:type="dxa"/>
              <w:bottom w:w="72" w:type="dxa"/>
              <w:right w:w="72" w:type="dxa"/>
            </w:tcMar>
            <w:vAlign w:val="center"/>
          </w:tcPr>
          <w:p w14:paraId="4AA0D863">
            <w:pPr>
              <w:rPr>
                <w:rFonts w:asciiTheme="minorHAnsi" w:hAnsiTheme="minorHAnsi"/>
                <w:szCs w:val="24"/>
              </w:rPr>
            </w:pPr>
            <w:r>
              <w:rPr>
                <w:rFonts w:asciiTheme="minorHAnsi" w:hAnsiTheme="minorHAnsi"/>
                <w:szCs w:val="24"/>
              </w:rPr>
              <w:t>Learning Analytics Interpretation and Instructional Intervention</w:t>
            </w:r>
          </w:p>
        </w:tc>
        <w:tc>
          <w:tcPr>
            <w:tcW w:w="2232" w:type="dxa"/>
            <w:tcMar>
              <w:top w:w="72" w:type="dxa"/>
              <w:left w:w="72" w:type="dxa"/>
              <w:bottom w:w="72" w:type="dxa"/>
              <w:right w:w="72" w:type="dxa"/>
            </w:tcMar>
            <w:vAlign w:val="center"/>
          </w:tcPr>
          <w:p w14:paraId="179A29AE">
            <w:pPr>
              <w:rPr>
                <w:rFonts w:asciiTheme="minorHAnsi" w:hAnsiTheme="minorHAnsi"/>
                <w:szCs w:val="24"/>
              </w:rPr>
            </w:pPr>
            <w:r>
              <w:rPr>
                <w:rFonts w:asciiTheme="minorHAnsi" w:hAnsiTheme="minorHAnsi"/>
                <w:szCs w:val="24"/>
              </w:rPr>
              <w:t>Interprets AI-generated learning analytics reports to identify student weaknesses and implement targeted interventions.</w:t>
            </w:r>
          </w:p>
        </w:tc>
        <w:tc>
          <w:tcPr>
            <w:tcW w:w="2520" w:type="dxa"/>
            <w:tcMar>
              <w:top w:w="72" w:type="dxa"/>
              <w:left w:w="72" w:type="dxa"/>
              <w:bottom w:w="72" w:type="dxa"/>
              <w:right w:w="72" w:type="dxa"/>
            </w:tcMar>
            <w:vAlign w:val="center"/>
          </w:tcPr>
          <w:p w14:paraId="103DB847">
            <w:pPr>
              <w:rPr>
                <w:rFonts w:asciiTheme="minorHAnsi" w:hAnsiTheme="minorHAnsi"/>
                <w:szCs w:val="24"/>
              </w:rPr>
            </w:pPr>
            <w:r>
              <w:rPr>
                <w:rFonts w:asciiTheme="minorHAnsi" w:hAnsiTheme="minorHAnsi"/>
                <w:szCs w:val="24"/>
              </w:rPr>
              <w:t>Adjusts teaching pace based on smart polling results; provides personalized tutoring resources for struggling students.</w:t>
            </w:r>
          </w:p>
        </w:tc>
      </w:tr>
      <w:tr w14:paraId="2AD70C26">
        <w:trPr>
          <w:jc w:val="center"/>
        </w:trPr>
        <w:tc>
          <w:tcPr>
            <w:tcW w:w="1368" w:type="dxa"/>
            <w:tcMar>
              <w:top w:w="72" w:type="dxa"/>
              <w:left w:w="72" w:type="dxa"/>
              <w:bottom w:w="72" w:type="dxa"/>
              <w:right w:w="72" w:type="dxa"/>
            </w:tcMar>
            <w:vAlign w:val="center"/>
          </w:tcPr>
          <w:p w14:paraId="0486C7B2">
            <w:pPr>
              <w:rPr>
                <w:rFonts w:asciiTheme="minorHAnsi" w:hAnsiTheme="minorHAnsi"/>
                <w:szCs w:val="24"/>
              </w:rPr>
            </w:pPr>
            <w:r>
              <w:rPr>
                <w:rFonts w:asciiTheme="minorHAnsi" w:hAnsiTheme="minorHAnsi"/>
                <w:szCs w:val="24"/>
              </w:rPr>
              <w:t>Dimension IV: Learning Assessment and Precision Empowerment</w:t>
            </w:r>
          </w:p>
        </w:tc>
        <w:tc>
          <w:tcPr>
            <w:tcW w:w="1296" w:type="dxa"/>
            <w:tcMar>
              <w:top w:w="72" w:type="dxa"/>
              <w:left w:w="72" w:type="dxa"/>
              <w:bottom w:w="72" w:type="dxa"/>
              <w:right w:w="72" w:type="dxa"/>
            </w:tcMar>
            <w:vAlign w:val="center"/>
          </w:tcPr>
          <w:p w14:paraId="41A7B81A">
            <w:pPr>
              <w:rPr>
                <w:rFonts w:asciiTheme="minorHAnsi" w:hAnsiTheme="minorHAnsi"/>
                <w:szCs w:val="24"/>
              </w:rPr>
            </w:pPr>
            <w:r>
              <w:rPr>
                <w:rFonts w:asciiTheme="minorHAnsi" w:hAnsiTheme="minorHAnsi"/>
                <w:szCs w:val="24"/>
              </w:rPr>
              <w:t>CAIP-ME17</w:t>
            </w:r>
          </w:p>
        </w:tc>
        <w:tc>
          <w:tcPr>
            <w:tcW w:w="1296" w:type="dxa"/>
            <w:tcMar>
              <w:top w:w="72" w:type="dxa"/>
              <w:left w:w="72" w:type="dxa"/>
              <w:bottom w:w="72" w:type="dxa"/>
              <w:right w:w="72" w:type="dxa"/>
            </w:tcMar>
            <w:vAlign w:val="center"/>
          </w:tcPr>
          <w:p w14:paraId="5A4E9F60">
            <w:pPr>
              <w:rPr>
                <w:rFonts w:asciiTheme="minorHAnsi" w:hAnsiTheme="minorHAnsi"/>
                <w:szCs w:val="24"/>
              </w:rPr>
            </w:pPr>
            <w:r>
              <w:rPr>
                <w:rFonts w:asciiTheme="minorHAnsi" w:hAnsiTheme="minorHAnsi"/>
                <w:szCs w:val="24"/>
              </w:rPr>
              <w:t>Foundational</w:t>
            </w:r>
          </w:p>
        </w:tc>
        <w:tc>
          <w:tcPr>
            <w:tcW w:w="2088" w:type="dxa"/>
            <w:tcMar>
              <w:top w:w="72" w:type="dxa"/>
              <w:left w:w="72" w:type="dxa"/>
              <w:bottom w:w="72" w:type="dxa"/>
              <w:right w:w="72" w:type="dxa"/>
            </w:tcMar>
            <w:vAlign w:val="center"/>
          </w:tcPr>
          <w:p w14:paraId="15450F3A">
            <w:pPr>
              <w:rPr>
                <w:rFonts w:asciiTheme="minorHAnsi" w:hAnsiTheme="minorHAnsi"/>
                <w:szCs w:val="24"/>
              </w:rPr>
            </w:pPr>
            <w:r>
              <w:rPr>
                <w:rFonts w:asciiTheme="minorHAnsi" w:hAnsiTheme="minorHAnsi"/>
                <w:szCs w:val="24"/>
              </w:rPr>
              <w:t>Digital Literacy Diagnosis and Support</w:t>
            </w:r>
          </w:p>
        </w:tc>
        <w:tc>
          <w:tcPr>
            <w:tcW w:w="2232" w:type="dxa"/>
            <w:tcMar>
              <w:top w:w="72" w:type="dxa"/>
              <w:left w:w="72" w:type="dxa"/>
              <w:bottom w:w="72" w:type="dxa"/>
              <w:right w:w="72" w:type="dxa"/>
            </w:tcMar>
            <w:vAlign w:val="center"/>
          </w:tcPr>
          <w:p w14:paraId="1565E663">
            <w:pPr>
              <w:rPr>
                <w:rFonts w:asciiTheme="minorHAnsi" w:hAnsiTheme="minorHAnsi"/>
                <w:szCs w:val="24"/>
              </w:rPr>
            </w:pPr>
            <w:r>
              <w:rPr>
                <w:rFonts w:asciiTheme="minorHAnsi" w:hAnsiTheme="minorHAnsi"/>
                <w:szCs w:val="24"/>
              </w:rPr>
              <w:t>Assesses students' foundational digital skills and offers necessary support.</w:t>
            </w:r>
          </w:p>
        </w:tc>
        <w:tc>
          <w:tcPr>
            <w:tcW w:w="2520" w:type="dxa"/>
            <w:tcMar>
              <w:top w:w="72" w:type="dxa"/>
              <w:left w:w="72" w:type="dxa"/>
              <w:bottom w:w="72" w:type="dxa"/>
              <w:right w:w="72" w:type="dxa"/>
            </w:tcMar>
            <w:vAlign w:val="center"/>
          </w:tcPr>
          <w:p w14:paraId="01440DEE">
            <w:pPr>
              <w:rPr>
                <w:rFonts w:asciiTheme="minorHAnsi" w:hAnsiTheme="minorHAnsi"/>
                <w:szCs w:val="24"/>
              </w:rPr>
            </w:pPr>
            <w:r>
              <w:rPr>
                <w:rFonts w:asciiTheme="minorHAnsi" w:hAnsiTheme="minorHAnsi"/>
                <w:szCs w:val="24"/>
              </w:rPr>
              <w:t>Conducts initial surveys on information literacy; provides tutorials for unfamiliar software; allows alternative submission methods for technical constraints.</w:t>
            </w:r>
          </w:p>
        </w:tc>
      </w:tr>
      <w:tr w14:paraId="562A683E">
        <w:trPr>
          <w:jc w:val="center"/>
        </w:trPr>
        <w:tc>
          <w:tcPr>
            <w:tcW w:w="1368" w:type="dxa"/>
            <w:tcMar>
              <w:top w:w="72" w:type="dxa"/>
              <w:left w:w="72" w:type="dxa"/>
              <w:bottom w:w="72" w:type="dxa"/>
              <w:right w:w="72" w:type="dxa"/>
            </w:tcMar>
            <w:vAlign w:val="center"/>
          </w:tcPr>
          <w:p w14:paraId="16F9D97C">
            <w:pPr>
              <w:rPr>
                <w:rFonts w:asciiTheme="minorHAnsi" w:hAnsiTheme="minorHAnsi"/>
                <w:szCs w:val="24"/>
              </w:rPr>
            </w:pPr>
            <w:r>
              <w:rPr>
                <w:rFonts w:asciiTheme="minorHAnsi" w:hAnsiTheme="minorHAnsi"/>
                <w:szCs w:val="24"/>
              </w:rPr>
              <w:t>Dimension IV: Learning Assessment and Precision Empowerment</w:t>
            </w:r>
          </w:p>
        </w:tc>
        <w:tc>
          <w:tcPr>
            <w:tcW w:w="1296" w:type="dxa"/>
            <w:tcMar>
              <w:top w:w="72" w:type="dxa"/>
              <w:left w:w="72" w:type="dxa"/>
              <w:bottom w:w="72" w:type="dxa"/>
              <w:right w:w="72" w:type="dxa"/>
            </w:tcMar>
            <w:vAlign w:val="center"/>
          </w:tcPr>
          <w:p w14:paraId="0A193A90">
            <w:pPr>
              <w:rPr>
                <w:rFonts w:asciiTheme="minorHAnsi" w:hAnsiTheme="minorHAnsi"/>
                <w:szCs w:val="24"/>
              </w:rPr>
            </w:pPr>
            <w:r>
              <w:rPr>
                <w:rFonts w:asciiTheme="minorHAnsi" w:hAnsiTheme="minorHAnsi"/>
                <w:szCs w:val="24"/>
              </w:rPr>
              <w:t>CAIP-ME18</w:t>
            </w:r>
          </w:p>
        </w:tc>
        <w:tc>
          <w:tcPr>
            <w:tcW w:w="1296" w:type="dxa"/>
            <w:tcMar>
              <w:top w:w="72" w:type="dxa"/>
              <w:left w:w="72" w:type="dxa"/>
              <w:bottom w:w="72" w:type="dxa"/>
              <w:right w:w="72" w:type="dxa"/>
            </w:tcMar>
            <w:vAlign w:val="center"/>
          </w:tcPr>
          <w:p w14:paraId="04E84D3E">
            <w:pPr>
              <w:rPr>
                <w:rFonts w:asciiTheme="minorHAnsi" w:hAnsiTheme="minorHAnsi"/>
                <w:szCs w:val="24"/>
              </w:rPr>
            </w:pPr>
            <w:r>
              <w:rPr>
                <w:rFonts w:asciiTheme="minorHAnsi" w:hAnsiTheme="minorHAnsi"/>
                <w:szCs w:val="24"/>
              </w:rPr>
              <w:t>Developmental</w:t>
            </w:r>
          </w:p>
        </w:tc>
        <w:tc>
          <w:tcPr>
            <w:tcW w:w="2088" w:type="dxa"/>
            <w:tcMar>
              <w:top w:w="72" w:type="dxa"/>
              <w:left w:w="72" w:type="dxa"/>
              <w:bottom w:w="72" w:type="dxa"/>
              <w:right w:w="72" w:type="dxa"/>
            </w:tcMar>
            <w:vAlign w:val="center"/>
          </w:tcPr>
          <w:p w14:paraId="5EE7F1B7">
            <w:pPr>
              <w:rPr>
                <w:rFonts w:asciiTheme="minorHAnsi" w:hAnsiTheme="minorHAnsi"/>
                <w:szCs w:val="24"/>
              </w:rPr>
            </w:pPr>
            <w:r>
              <w:rPr>
                <w:rFonts w:asciiTheme="minorHAnsi" w:hAnsiTheme="minorHAnsi"/>
                <w:szCs w:val="24"/>
              </w:rPr>
              <w:t>Student AI Literacy Development Tracking and Evaluation</w:t>
            </w:r>
          </w:p>
        </w:tc>
        <w:tc>
          <w:tcPr>
            <w:tcW w:w="2232" w:type="dxa"/>
            <w:tcMar>
              <w:top w:w="72" w:type="dxa"/>
              <w:left w:w="72" w:type="dxa"/>
              <w:bottom w:w="72" w:type="dxa"/>
              <w:right w:w="72" w:type="dxa"/>
            </w:tcMar>
            <w:vAlign w:val="center"/>
          </w:tcPr>
          <w:p w14:paraId="0330E5CB">
            <w:pPr>
              <w:rPr>
                <w:rFonts w:asciiTheme="minorHAnsi" w:hAnsiTheme="minorHAnsi"/>
                <w:szCs w:val="24"/>
              </w:rPr>
            </w:pPr>
            <w:r>
              <w:rPr>
                <w:rFonts w:asciiTheme="minorHAnsi" w:hAnsiTheme="minorHAnsi"/>
                <w:szCs w:val="24"/>
              </w:rPr>
              <w:t>Monitors and evaluates students’ AI literacy development according to established frameworks.</w:t>
            </w:r>
          </w:p>
        </w:tc>
        <w:tc>
          <w:tcPr>
            <w:tcW w:w="2520" w:type="dxa"/>
            <w:tcMar>
              <w:top w:w="72" w:type="dxa"/>
              <w:left w:w="72" w:type="dxa"/>
              <w:bottom w:w="72" w:type="dxa"/>
              <w:right w:w="72" w:type="dxa"/>
            </w:tcMar>
            <w:vAlign w:val="center"/>
          </w:tcPr>
          <w:p w14:paraId="05EC52A0">
            <w:pPr>
              <w:rPr>
                <w:rFonts w:asciiTheme="minorHAnsi" w:hAnsiTheme="minorHAnsi"/>
                <w:szCs w:val="24"/>
              </w:rPr>
            </w:pPr>
            <w:r>
              <w:rPr>
                <w:rFonts w:asciiTheme="minorHAnsi" w:hAnsiTheme="minorHAnsi"/>
                <w:szCs w:val="24"/>
              </w:rPr>
              <w:t>In alignment with the Expert Consensus on the Medical Student AI Literacy Competency List and Assessment Framework (2025), instructors should design authentic, curriculum-embedded tasks, such as clinical decision analyses based on AI-assisted diagnostic reports, that enable targeted feedback on students’ responsible use of AI tools, critical appraisal of AI-generated information, and ethical reasoning in decision-making, while also leveraging digital platforms to monitor and support the ongoing development of their AI literacy.</w:t>
            </w:r>
          </w:p>
        </w:tc>
      </w:tr>
      <w:tr w14:paraId="566500AA">
        <w:trPr>
          <w:jc w:val="center"/>
        </w:trPr>
        <w:tc>
          <w:tcPr>
            <w:tcW w:w="1368" w:type="dxa"/>
            <w:tcMar>
              <w:top w:w="72" w:type="dxa"/>
              <w:left w:w="72" w:type="dxa"/>
              <w:bottom w:w="72" w:type="dxa"/>
              <w:right w:w="72" w:type="dxa"/>
            </w:tcMar>
            <w:vAlign w:val="center"/>
          </w:tcPr>
          <w:p w14:paraId="33EDF221">
            <w:pPr>
              <w:rPr>
                <w:rFonts w:asciiTheme="minorHAnsi" w:hAnsiTheme="minorHAnsi"/>
                <w:szCs w:val="24"/>
              </w:rPr>
            </w:pPr>
            <w:r>
              <w:rPr>
                <w:rFonts w:asciiTheme="minorHAnsi" w:hAnsiTheme="minorHAnsi"/>
                <w:szCs w:val="24"/>
              </w:rPr>
              <w:t>Dimension V: Professional Development and Ecosystem Co-construction</w:t>
            </w:r>
          </w:p>
        </w:tc>
        <w:tc>
          <w:tcPr>
            <w:tcW w:w="1296" w:type="dxa"/>
            <w:tcMar>
              <w:top w:w="72" w:type="dxa"/>
              <w:left w:w="72" w:type="dxa"/>
              <w:bottom w:w="72" w:type="dxa"/>
              <w:right w:w="72" w:type="dxa"/>
            </w:tcMar>
            <w:vAlign w:val="center"/>
          </w:tcPr>
          <w:p w14:paraId="4A6EA57E">
            <w:pPr>
              <w:rPr>
                <w:rFonts w:asciiTheme="minorHAnsi" w:hAnsiTheme="minorHAnsi"/>
                <w:szCs w:val="24"/>
              </w:rPr>
            </w:pPr>
            <w:r>
              <w:rPr>
                <w:rFonts w:asciiTheme="minorHAnsi" w:hAnsiTheme="minorHAnsi"/>
                <w:szCs w:val="24"/>
              </w:rPr>
              <w:t>CAIP-ME19</w:t>
            </w:r>
          </w:p>
        </w:tc>
        <w:tc>
          <w:tcPr>
            <w:tcW w:w="1296" w:type="dxa"/>
            <w:tcMar>
              <w:top w:w="72" w:type="dxa"/>
              <w:left w:w="72" w:type="dxa"/>
              <w:bottom w:w="72" w:type="dxa"/>
              <w:right w:w="72" w:type="dxa"/>
            </w:tcMar>
            <w:vAlign w:val="center"/>
          </w:tcPr>
          <w:p w14:paraId="11CFB3E2">
            <w:pPr>
              <w:rPr>
                <w:rFonts w:asciiTheme="minorHAnsi" w:hAnsiTheme="minorHAnsi"/>
                <w:szCs w:val="24"/>
              </w:rPr>
            </w:pPr>
            <w:r>
              <w:rPr>
                <w:rFonts w:asciiTheme="minorHAnsi" w:hAnsiTheme="minorHAnsi"/>
                <w:szCs w:val="24"/>
              </w:rPr>
              <w:t>Foundational</w:t>
            </w:r>
          </w:p>
        </w:tc>
        <w:tc>
          <w:tcPr>
            <w:tcW w:w="2088" w:type="dxa"/>
            <w:tcMar>
              <w:top w:w="72" w:type="dxa"/>
              <w:left w:w="72" w:type="dxa"/>
              <w:bottom w:w="72" w:type="dxa"/>
              <w:right w:w="72" w:type="dxa"/>
            </w:tcMar>
            <w:vAlign w:val="center"/>
          </w:tcPr>
          <w:p w14:paraId="6834A829">
            <w:pPr>
              <w:rPr>
                <w:rFonts w:asciiTheme="minorHAnsi" w:hAnsiTheme="minorHAnsi"/>
                <w:szCs w:val="24"/>
              </w:rPr>
            </w:pPr>
            <w:r>
              <w:rPr>
                <w:rFonts w:asciiTheme="minorHAnsi" w:hAnsiTheme="minorHAnsi"/>
                <w:szCs w:val="24"/>
              </w:rPr>
              <w:t>Reflection and Optimization of AI Teaching Practices</w:t>
            </w:r>
          </w:p>
        </w:tc>
        <w:tc>
          <w:tcPr>
            <w:tcW w:w="2232" w:type="dxa"/>
            <w:tcMar>
              <w:top w:w="72" w:type="dxa"/>
              <w:left w:w="72" w:type="dxa"/>
              <w:bottom w:w="72" w:type="dxa"/>
              <w:right w:w="72" w:type="dxa"/>
            </w:tcMar>
            <w:vAlign w:val="center"/>
          </w:tcPr>
          <w:p w14:paraId="47241C8A">
            <w:pPr>
              <w:rPr>
                <w:rFonts w:asciiTheme="minorHAnsi" w:hAnsiTheme="minorHAnsi"/>
                <w:szCs w:val="24"/>
              </w:rPr>
            </w:pPr>
            <w:r>
              <w:rPr>
                <w:rFonts w:asciiTheme="minorHAnsi" w:hAnsiTheme="minorHAnsi"/>
                <w:szCs w:val="24"/>
              </w:rPr>
              <w:t>Reflects on AI teaching practices using empirical evidence and data.</w:t>
            </w:r>
          </w:p>
        </w:tc>
        <w:tc>
          <w:tcPr>
            <w:tcW w:w="2520" w:type="dxa"/>
            <w:tcMar>
              <w:top w:w="72" w:type="dxa"/>
              <w:left w:w="72" w:type="dxa"/>
              <w:bottom w:w="72" w:type="dxa"/>
              <w:right w:w="72" w:type="dxa"/>
            </w:tcMar>
            <w:vAlign w:val="center"/>
          </w:tcPr>
          <w:p w14:paraId="4F67A656">
            <w:pPr>
              <w:rPr>
                <w:rFonts w:asciiTheme="minorHAnsi" w:hAnsiTheme="minorHAnsi"/>
                <w:szCs w:val="24"/>
              </w:rPr>
            </w:pPr>
            <w:r>
              <w:rPr>
                <w:rFonts w:asciiTheme="minorHAnsi" w:hAnsiTheme="minorHAnsi"/>
                <w:szCs w:val="24"/>
              </w:rPr>
              <w:t>Writes reflective journals on AI teaching experiences; makes adjustments based on previous teaching cycles; shares lessons learned with colleagues.</w:t>
            </w:r>
          </w:p>
        </w:tc>
      </w:tr>
      <w:tr w14:paraId="44A2ACD1">
        <w:trPr>
          <w:jc w:val="center"/>
        </w:trPr>
        <w:tc>
          <w:tcPr>
            <w:tcW w:w="1368" w:type="dxa"/>
            <w:tcMar>
              <w:top w:w="72" w:type="dxa"/>
              <w:left w:w="72" w:type="dxa"/>
              <w:bottom w:w="72" w:type="dxa"/>
              <w:right w:w="72" w:type="dxa"/>
            </w:tcMar>
            <w:vAlign w:val="center"/>
          </w:tcPr>
          <w:p w14:paraId="7BD76846">
            <w:pPr>
              <w:rPr>
                <w:rFonts w:asciiTheme="minorHAnsi" w:hAnsiTheme="minorHAnsi"/>
                <w:szCs w:val="24"/>
              </w:rPr>
            </w:pPr>
            <w:r>
              <w:rPr>
                <w:rFonts w:asciiTheme="minorHAnsi" w:hAnsiTheme="minorHAnsi"/>
                <w:szCs w:val="24"/>
              </w:rPr>
              <w:t>Dimension V: Professional Development and Ecosystem Co-construction</w:t>
            </w:r>
          </w:p>
        </w:tc>
        <w:tc>
          <w:tcPr>
            <w:tcW w:w="1296" w:type="dxa"/>
            <w:tcMar>
              <w:top w:w="72" w:type="dxa"/>
              <w:left w:w="72" w:type="dxa"/>
              <w:bottom w:w="72" w:type="dxa"/>
              <w:right w:w="72" w:type="dxa"/>
            </w:tcMar>
            <w:vAlign w:val="center"/>
          </w:tcPr>
          <w:p w14:paraId="11C84290">
            <w:pPr>
              <w:rPr>
                <w:rFonts w:asciiTheme="minorHAnsi" w:hAnsiTheme="minorHAnsi"/>
                <w:szCs w:val="24"/>
              </w:rPr>
            </w:pPr>
            <w:r>
              <w:rPr>
                <w:rFonts w:asciiTheme="minorHAnsi" w:hAnsiTheme="minorHAnsi"/>
                <w:szCs w:val="24"/>
              </w:rPr>
              <w:t>CAIP-ME20</w:t>
            </w:r>
          </w:p>
        </w:tc>
        <w:tc>
          <w:tcPr>
            <w:tcW w:w="1296" w:type="dxa"/>
            <w:tcMar>
              <w:top w:w="72" w:type="dxa"/>
              <w:left w:w="72" w:type="dxa"/>
              <w:bottom w:w="72" w:type="dxa"/>
              <w:right w:w="72" w:type="dxa"/>
            </w:tcMar>
            <w:vAlign w:val="center"/>
          </w:tcPr>
          <w:p w14:paraId="4AAE4ED3">
            <w:pPr>
              <w:rPr>
                <w:rFonts w:asciiTheme="minorHAnsi" w:hAnsiTheme="minorHAnsi"/>
                <w:szCs w:val="24"/>
              </w:rPr>
            </w:pPr>
            <w:r>
              <w:rPr>
                <w:rFonts w:asciiTheme="minorHAnsi" w:hAnsiTheme="minorHAnsi"/>
                <w:szCs w:val="24"/>
              </w:rPr>
              <w:t>Developmental</w:t>
            </w:r>
          </w:p>
        </w:tc>
        <w:tc>
          <w:tcPr>
            <w:tcW w:w="2088" w:type="dxa"/>
            <w:tcMar>
              <w:top w:w="72" w:type="dxa"/>
              <w:left w:w="72" w:type="dxa"/>
              <w:bottom w:w="72" w:type="dxa"/>
              <w:right w:w="72" w:type="dxa"/>
            </w:tcMar>
            <w:vAlign w:val="center"/>
          </w:tcPr>
          <w:p w14:paraId="1C12DD8E">
            <w:pPr>
              <w:rPr>
                <w:rFonts w:asciiTheme="minorHAnsi" w:hAnsiTheme="minorHAnsi"/>
                <w:szCs w:val="24"/>
              </w:rPr>
            </w:pPr>
            <w:r>
              <w:rPr>
                <w:rFonts w:asciiTheme="minorHAnsi" w:hAnsiTheme="minorHAnsi"/>
                <w:szCs w:val="24"/>
              </w:rPr>
              <w:t>Cross-disciplinary Collaboration and Communication</w:t>
            </w:r>
          </w:p>
        </w:tc>
        <w:tc>
          <w:tcPr>
            <w:tcW w:w="2232" w:type="dxa"/>
            <w:tcMar>
              <w:top w:w="72" w:type="dxa"/>
              <w:left w:w="72" w:type="dxa"/>
              <w:bottom w:w="72" w:type="dxa"/>
              <w:right w:w="72" w:type="dxa"/>
            </w:tcMar>
            <w:vAlign w:val="center"/>
          </w:tcPr>
          <w:p w14:paraId="1ACA4F74">
            <w:pPr>
              <w:rPr>
                <w:rFonts w:asciiTheme="minorHAnsi" w:hAnsiTheme="minorHAnsi"/>
                <w:szCs w:val="24"/>
              </w:rPr>
            </w:pPr>
            <w:r>
              <w:rPr>
                <w:rFonts w:asciiTheme="minorHAnsi" w:hAnsiTheme="minorHAnsi"/>
                <w:szCs w:val="24"/>
              </w:rPr>
              <w:t>Communicates effectively with non-medical professionals such as educational technologists and AI engineers.</w:t>
            </w:r>
          </w:p>
        </w:tc>
        <w:tc>
          <w:tcPr>
            <w:tcW w:w="2520" w:type="dxa"/>
            <w:tcMar>
              <w:top w:w="72" w:type="dxa"/>
              <w:left w:w="72" w:type="dxa"/>
              <w:bottom w:w="72" w:type="dxa"/>
              <w:right w:w="72" w:type="dxa"/>
            </w:tcMar>
            <w:vAlign w:val="center"/>
          </w:tcPr>
          <w:p w14:paraId="5E56D7D3">
            <w:pPr>
              <w:rPr>
                <w:rFonts w:asciiTheme="minorHAnsi" w:hAnsiTheme="minorHAnsi"/>
                <w:szCs w:val="24"/>
              </w:rPr>
            </w:pPr>
            <w:r>
              <w:rPr>
                <w:rFonts w:asciiTheme="minorHAnsi" w:hAnsiTheme="minorHAnsi"/>
                <w:szCs w:val="24"/>
              </w:rPr>
              <w:t>Collaborates on writing functional requirement documents; explains clinical teaching needs clearly; respects and understands collaborators’ professional constraints.</w:t>
            </w:r>
          </w:p>
        </w:tc>
      </w:tr>
      <w:tr w14:paraId="2E7C78C1">
        <w:trPr>
          <w:jc w:val="center"/>
        </w:trPr>
        <w:tc>
          <w:tcPr>
            <w:tcW w:w="1368" w:type="dxa"/>
            <w:tcMar>
              <w:top w:w="72" w:type="dxa"/>
              <w:left w:w="72" w:type="dxa"/>
              <w:bottom w:w="72" w:type="dxa"/>
              <w:right w:w="72" w:type="dxa"/>
            </w:tcMar>
            <w:vAlign w:val="center"/>
          </w:tcPr>
          <w:p w14:paraId="2FCCAEBC">
            <w:pPr>
              <w:rPr>
                <w:rFonts w:asciiTheme="minorHAnsi" w:hAnsiTheme="minorHAnsi"/>
                <w:szCs w:val="24"/>
              </w:rPr>
            </w:pPr>
            <w:r>
              <w:rPr>
                <w:rFonts w:asciiTheme="minorHAnsi" w:hAnsiTheme="minorHAnsi"/>
                <w:szCs w:val="24"/>
              </w:rPr>
              <w:t>Dimension V: Professional Development and Ecosystem Co-construction</w:t>
            </w:r>
          </w:p>
        </w:tc>
        <w:tc>
          <w:tcPr>
            <w:tcW w:w="1296" w:type="dxa"/>
            <w:tcMar>
              <w:top w:w="72" w:type="dxa"/>
              <w:left w:w="72" w:type="dxa"/>
              <w:bottom w:w="72" w:type="dxa"/>
              <w:right w:w="72" w:type="dxa"/>
            </w:tcMar>
            <w:vAlign w:val="center"/>
          </w:tcPr>
          <w:p w14:paraId="5A582FD9">
            <w:pPr>
              <w:rPr>
                <w:rFonts w:asciiTheme="minorHAnsi" w:hAnsiTheme="minorHAnsi"/>
                <w:szCs w:val="24"/>
              </w:rPr>
            </w:pPr>
            <w:r>
              <w:rPr>
                <w:rFonts w:asciiTheme="minorHAnsi" w:hAnsiTheme="minorHAnsi"/>
                <w:szCs w:val="24"/>
              </w:rPr>
              <w:t>CAIP-ME21</w:t>
            </w:r>
          </w:p>
        </w:tc>
        <w:tc>
          <w:tcPr>
            <w:tcW w:w="1296" w:type="dxa"/>
            <w:tcMar>
              <w:top w:w="72" w:type="dxa"/>
              <w:left w:w="72" w:type="dxa"/>
              <w:bottom w:w="72" w:type="dxa"/>
              <w:right w:w="72" w:type="dxa"/>
            </w:tcMar>
            <w:vAlign w:val="center"/>
          </w:tcPr>
          <w:p w14:paraId="0430719A">
            <w:pPr>
              <w:rPr>
                <w:rFonts w:asciiTheme="minorHAnsi" w:hAnsiTheme="minorHAnsi"/>
                <w:szCs w:val="24"/>
              </w:rPr>
            </w:pPr>
            <w:r>
              <w:rPr>
                <w:rFonts w:asciiTheme="minorHAnsi" w:hAnsiTheme="minorHAnsi"/>
                <w:szCs w:val="24"/>
              </w:rPr>
              <w:t>Developmental</w:t>
            </w:r>
          </w:p>
        </w:tc>
        <w:tc>
          <w:tcPr>
            <w:tcW w:w="2088" w:type="dxa"/>
            <w:tcMar>
              <w:top w:w="72" w:type="dxa"/>
              <w:left w:w="72" w:type="dxa"/>
              <w:bottom w:w="72" w:type="dxa"/>
              <w:right w:w="72" w:type="dxa"/>
            </w:tcMar>
            <w:vAlign w:val="center"/>
          </w:tcPr>
          <w:p w14:paraId="5182C549">
            <w:pPr>
              <w:rPr>
                <w:rFonts w:asciiTheme="minorHAnsi" w:hAnsiTheme="minorHAnsi"/>
                <w:szCs w:val="24"/>
              </w:rPr>
            </w:pPr>
            <w:r>
              <w:rPr>
                <w:rFonts w:asciiTheme="minorHAnsi" w:hAnsiTheme="minorHAnsi"/>
                <w:szCs w:val="24"/>
              </w:rPr>
              <w:t>Research and Conversion of AI Teaching Reforms</w:t>
            </w:r>
          </w:p>
        </w:tc>
        <w:tc>
          <w:tcPr>
            <w:tcW w:w="2232" w:type="dxa"/>
            <w:tcMar>
              <w:top w:w="72" w:type="dxa"/>
              <w:left w:w="72" w:type="dxa"/>
              <w:bottom w:w="72" w:type="dxa"/>
              <w:right w:w="72" w:type="dxa"/>
            </w:tcMar>
            <w:vAlign w:val="center"/>
          </w:tcPr>
          <w:p w14:paraId="20D75F08">
            <w:pPr>
              <w:rPr>
                <w:rFonts w:asciiTheme="minorHAnsi" w:hAnsiTheme="minorHAnsi"/>
                <w:szCs w:val="24"/>
              </w:rPr>
            </w:pPr>
            <w:r>
              <w:rPr>
                <w:rFonts w:asciiTheme="minorHAnsi" w:hAnsiTheme="minorHAnsi"/>
                <w:szCs w:val="24"/>
              </w:rPr>
              <w:t>Conducts action research on AI in medical education and disseminates findings.</w:t>
            </w:r>
          </w:p>
        </w:tc>
        <w:tc>
          <w:tcPr>
            <w:tcW w:w="2520" w:type="dxa"/>
            <w:tcMar>
              <w:top w:w="72" w:type="dxa"/>
              <w:left w:w="72" w:type="dxa"/>
              <w:bottom w:w="72" w:type="dxa"/>
              <w:right w:w="72" w:type="dxa"/>
            </w:tcMar>
            <w:vAlign w:val="center"/>
          </w:tcPr>
          <w:p w14:paraId="016583C3">
            <w:pPr>
              <w:rPr>
                <w:rFonts w:asciiTheme="minorHAnsi" w:hAnsiTheme="minorHAnsi"/>
                <w:szCs w:val="24"/>
              </w:rPr>
            </w:pPr>
            <w:r>
              <w:rPr>
                <w:rFonts w:asciiTheme="minorHAnsi" w:hAnsiTheme="minorHAnsi"/>
                <w:szCs w:val="24"/>
              </w:rPr>
              <w:t>Leads school-level educational reform projects; publishes successful AI teaching cases; presents research at academic conferences.</w:t>
            </w:r>
          </w:p>
        </w:tc>
      </w:tr>
      <w:tr w14:paraId="4D2C3DB7">
        <w:trPr>
          <w:jc w:val="center"/>
        </w:trPr>
        <w:tc>
          <w:tcPr>
            <w:tcW w:w="1368" w:type="dxa"/>
            <w:tcMar>
              <w:top w:w="72" w:type="dxa"/>
              <w:left w:w="72" w:type="dxa"/>
              <w:bottom w:w="72" w:type="dxa"/>
              <w:right w:w="72" w:type="dxa"/>
            </w:tcMar>
            <w:vAlign w:val="center"/>
          </w:tcPr>
          <w:p w14:paraId="78313E55">
            <w:pPr>
              <w:rPr>
                <w:rFonts w:asciiTheme="minorHAnsi" w:hAnsiTheme="minorHAnsi"/>
                <w:szCs w:val="24"/>
              </w:rPr>
            </w:pPr>
            <w:r>
              <w:rPr>
                <w:rFonts w:asciiTheme="minorHAnsi" w:hAnsiTheme="minorHAnsi"/>
                <w:szCs w:val="24"/>
              </w:rPr>
              <w:t>Dimension V: Professional Development and Ecosystem Co-construction</w:t>
            </w:r>
          </w:p>
        </w:tc>
        <w:tc>
          <w:tcPr>
            <w:tcW w:w="1296" w:type="dxa"/>
            <w:tcMar>
              <w:top w:w="72" w:type="dxa"/>
              <w:left w:w="72" w:type="dxa"/>
              <w:bottom w:w="72" w:type="dxa"/>
              <w:right w:w="72" w:type="dxa"/>
            </w:tcMar>
            <w:vAlign w:val="center"/>
          </w:tcPr>
          <w:p w14:paraId="14312D64">
            <w:pPr>
              <w:rPr>
                <w:rFonts w:asciiTheme="minorHAnsi" w:hAnsiTheme="minorHAnsi"/>
                <w:szCs w:val="24"/>
              </w:rPr>
            </w:pPr>
            <w:r>
              <w:rPr>
                <w:rFonts w:asciiTheme="minorHAnsi" w:hAnsiTheme="minorHAnsi"/>
                <w:szCs w:val="24"/>
              </w:rPr>
              <w:t>CAIP-ME22</w:t>
            </w:r>
          </w:p>
        </w:tc>
        <w:tc>
          <w:tcPr>
            <w:tcW w:w="1296" w:type="dxa"/>
            <w:tcMar>
              <w:top w:w="72" w:type="dxa"/>
              <w:left w:w="72" w:type="dxa"/>
              <w:bottom w:w="72" w:type="dxa"/>
              <w:right w:w="72" w:type="dxa"/>
            </w:tcMar>
            <w:vAlign w:val="center"/>
          </w:tcPr>
          <w:p w14:paraId="3DA723C7">
            <w:pPr>
              <w:rPr>
                <w:rFonts w:asciiTheme="minorHAnsi" w:hAnsiTheme="minorHAnsi"/>
                <w:szCs w:val="24"/>
              </w:rPr>
            </w:pPr>
            <w:r>
              <w:rPr>
                <w:rFonts w:asciiTheme="minorHAnsi" w:hAnsiTheme="minorHAnsi"/>
                <w:szCs w:val="24"/>
              </w:rPr>
              <w:t>Developmental</w:t>
            </w:r>
          </w:p>
        </w:tc>
        <w:tc>
          <w:tcPr>
            <w:tcW w:w="2088" w:type="dxa"/>
            <w:tcMar>
              <w:top w:w="72" w:type="dxa"/>
              <w:left w:w="72" w:type="dxa"/>
              <w:bottom w:w="72" w:type="dxa"/>
              <w:right w:w="72" w:type="dxa"/>
            </w:tcMar>
            <w:vAlign w:val="center"/>
          </w:tcPr>
          <w:p w14:paraId="501469F3">
            <w:pPr>
              <w:rPr>
                <w:rFonts w:asciiTheme="minorHAnsi" w:hAnsiTheme="minorHAnsi"/>
                <w:szCs w:val="24"/>
              </w:rPr>
            </w:pPr>
            <w:r>
              <w:rPr>
                <w:rFonts w:asciiTheme="minorHAnsi" w:hAnsiTheme="minorHAnsi"/>
                <w:szCs w:val="24"/>
              </w:rPr>
              <w:t>Lifelong Learning and Frontier Tracking</w:t>
            </w:r>
          </w:p>
        </w:tc>
        <w:tc>
          <w:tcPr>
            <w:tcW w:w="2232" w:type="dxa"/>
            <w:tcMar>
              <w:top w:w="72" w:type="dxa"/>
              <w:left w:w="72" w:type="dxa"/>
              <w:bottom w:w="72" w:type="dxa"/>
              <w:right w:w="72" w:type="dxa"/>
            </w:tcMar>
            <w:vAlign w:val="center"/>
          </w:tcPr>
          <w:p w14:paraId="3A317541">
            <w:pPr>
              <w:rPr>
                <w:rFonts w:asciiTheme="minorHAnsi" w:hAnsiTheme="minorHAnsi"/>
                <w:szCs w:val="24"/>
              </w:rPr>
            </w:pPr>
            <w:r>
              <w:rPr>
                <w:rFonts w:asciiTheme="minorHAnsi" w:hAnsiTheme="minorHAnsi"/>
                <w:szCs w:val="24"/>
              </w:rPr>
              <w:t>Maintains a lifelong learning habit focused on AI advancements in medical education.</w:t>
            </w:r>
          </w:p>
        </w:tc>
        <w:tc>
          <w:tcPr>
            <w:tcW w:w="2520" w:type="dxa"/>
            <w:tcMar>
              <w:top w:w="72" w:type="dxa"/>
              <w:left w:w="72" w:type="dxa"/>
              <w:bottom w:w="72" w:type="dxa"/>
              <w:right w:w="72" w:type="dxa"/>
            </w:tcMar>
            <w:vAlign w:val="center"/>
          </w:tcPr>
          <w:p w14:paraId="166C209F">
            <w:pPr>
              <w:rPr>
                <w:rFonts w:asciiTheme="minorHAnsi" w:hAnsiTheme="minorHAnsi"/>
                <w:szCs w:val="24"/>
              </w:rPr>
            </w:pPr>
            <w:r>
              <w:rPr>
                <w:rFonts w:asciiTheme="minorHAnsi" w:hAnsiTheme="minorHAnsi"/>
                <w:szCs w:val="24"/>
              </w:rPr>
              <w:t>Regularly follows relevant journals and communities; attends training workshops annually; maintains an updated collection of AI teaching resources.</w:t>
            </w:r>
          </w:p>
        </w:tc>
      </w:tr>
      <w:tr w14:paraId="2889DD58">
        <w:trPr>
          <w:jc w:val="center"/>
        </w:trPr>
        <w:tc>
          <w:tcPr>
            <w:tcW w:w="1368" w:type="dxa"/>
            <w:tcMar>
              <w:top w:w="72" w:type="dxa"/>
              <w:left w:w="72" w:type="dxa"/>
              <w:bottom w:w="72" w:type="dxa"/>
              <w:right w:w="72" w:type="dxa"/>
            </w:tcMar>
            <w:vAlign w:val="center"/>
          </w:tcPr>
          <w:p w14:paraId="35487A09">
            <w:pPr>
              <w:rPr>
                <w:rFonts w:asciiTheme="minorHAnsi" w:hAnsiTheme="minorHAnsi"/>
                <w:szCs w:val="24"/>
              </w:rPr>
            </w:pPr>
            <w:r>
              <w:rPr>
                <w:rFonts w:asciiTheme="minorHAnsi" w:hAnsiTheme="minorHAnsi"/>
                <w:szCs w:val="24"/>
              </w:rPr>
              <w:t>Dimension V: Professional Development and Ecosystem Co-construction</w:t>
            </w:r>
          </w:p>
        </w:tc>
        <w:tc>
          <w:tcPr>
            <w:tcW w:w="1296" w:type="dxa"/>
            <w:tcMar>
              <w:top w:w="72" w:type="dxa"/>
              <w:left w:w="72" w:type="dxa"/>
              <w:bottom w:w="72" w:type="dxa"/>
              <w:right w:w="72" w:type="dxa"/>
            </w:tcMar>
            <w:vAlign w:val="center"/>
          </w:tcPr>
          <w:p w14:paraId="387E7BF8">
            <w:pPr>
              <w:rPr>
                <w:rFonts w:asciiTheme="minorHAnsi" w:hAnsiTheme="minorHAnsi"/>
                <w:szCs w:val="24"/>
              </w:rPr>
            </w:pPr>
            <w:r>
              <w:rPr>
                <w:rFonts w:asciiTheme="minorHAnsi" w:hAnsiTheme="minorHAnsi"/>
                <w:szCs w:val="24"/>
              </w:rPr>
              <w:t>CAIP-ME23</w:t>
            </w:r>
          </w:p>
        </w:tc>
        <w:tc>
          <w:tcPr>
            <w:tcW w:w="1296" w:type="dxa"/>
            <w:tcMar>
              <w:top w:w="72" w:type="dxa"/>
              <w:left w:w="72" w:type="dxa"/>
              <w:bottom w:w="72" w:type="dxa"/>
              <w:right w:w="72" w:type="dxa"/>
            </w:tcMar>
            <w:vAlign w:val="center"/>
          </w:tcPr>
          <w:p w14:paraId="6766A49F">
            <w:pPr>
              <w:rPr>
                <w:rFonts w:asciiTheme="minorHAnsi" w:hAnsiTheme="minorHAnsi"/>
                <w:szCs w:val="24"/>
              </w:rPr>
            </w:pPr>
            <w:r>
              <w:rPr>
                <w:rFonts w:asciiTheme="minorHAnsi" w:hAnsiTheme="minorHAnsi"/>
                <w:szCs w:val="24"/>
              </w:rPr>
              <w:t>Developmental</w:t>
            </w:r>
          </w:p>
        </w:tc>
        <w:tc>
          <w:tcPr>
            <w:tcW w:w="2088" w:type="dxa"/>
            <w:tcMar>
              <w:top w:w="72" w:type="dxa"/>
              <w:left w:w="72" w:type="dxa"/>
              <w:bottom w:w="72" w:type="dxa"/>
              <w:right w:w="72" w:type="dxa"/>
            </w:tcMar>
            <w:vAlign w:val="center"/>
          </w:tcPr>
          <w:p w14:paraId="67C64532">
            <w:pPr>
              <w:rPr>
                <w:rFonts w:asciiTheme="minorHAnsi" w:hAnsiTheme="minorHAnsi"/>
                <w:szCs w:val="24"/>
              </w:rPr>
            </w:pPr>
            <w:r>
              <w:rPr>
                <w:rFonts w:asciiTheme="minorHAnsi" w:hAnsiTheme="minorHAnsi"/>
                <w:szCs w:val="24"/>
              </w:rPr>
              <w:t>Peer Sharing and Community Building Participation</w:t>
            </w:r>
          </w:p>
        </w:tc>
        <w:tc>
          <w:tcPr>
            <w:tcW w:w="2232" w:type="dxa"/>
            <w:tcMar>
              <w:top w:w="72" w:type="dxa"/>
              <w:left w:w="72" w:type="dxa"/>
              <w:bottom w:w="72" w:type="dxa"/>
              <w:right w:w="72" w:type="dxa"/>
            </w:tcMar>
            <w:vAlign w:val="center"/>
          </w:tcPr>
          <w:p w14:paraId="3C597C69">
            <w:pPr>
              <w:rPr>
                <w:rFonts w:asciiTheme="minorHAnsi" w:hAnsiTheme="minorHAnsi"/>
                <w:szCs w:val="24"/>
              </w:rPr>
            </w:pPr>
            <w:r>
              <w:rPr>
                <w:rFonts w:asciiTheme="minorHAnsi" w:hAnsiTheme="minorHAnsi"/>
                <w:szCs w:val="24"/>
              </w:rPr>
              <w:t>Shares AI teaching experiences and resources within departments or institutions.</w:t>
            </w:r>
          </w:p>
        </w:tc>
        <w:tc>
          <w:tcPr>
            <w:tcW w:w="2520" w:type="dxa"/>
            <w:tcMar>
              <w:top w:w="72" w:type="dxa"/>
              <w:left w:w="72" w:type="dxa"/>
              <w:bottom w:w="72" w:type="dxa"/>
              <w:right w:w="72" w:type="dxa"/>
            </w:tcMar>
            <w:vAlign w:val="center"/>
          </w:tcPr>
          <w:p w14:paraId="50069B8A">
            <w:pPr>
              <w:rPr>
                <w:rFonts w:asciiTheme="minorHAnsi" w:hAnsiTheme="minorHAnsi"/>
                <w:szCs w:val="24"/>
              </w:rPr>
            </w:pPr>
            <w:r>
              <w:rPr>
                <w:rFonts w:asciiTheme="minorHAnsi" w:hAnsiTheme="minorHAnsi"/>
                <w:szCs w:val="24"/>
              </w:rPr>
              <w:t>Conducts mini-sharing sessions on AI teaching tips; uploads self-developed resources to shared platforms; joins or initiates teacher interest groups.</w:t>
            </w:r>
          </w:p>
        </w:tc>
      </w:tr>
      <w:tr w14:paraId="004A114D">
        <w:trPr>
          <w:jc w:val="center"/>
        </w:trPr>
        <w:tc>
          <w:tcPr>
            <w:tcW w:w="1368" w:type="dxa"/>
            <w:tcMar>
              <w:top w:w="72" w:type="dxa"/>
              <w:left w:w="72" w:type="dxa"/>
              <w:bottom w:w="72" w:type="dxa"/>
              <w:right w:w="72" w:type="dxa"/>
            </w:tcMar>
            <w:vAlign w:val="center"/>
          </w:tcPr>
          <w:p w14:paraId="4BFD3523">
            <w:pPr>
              <w:rPr>
                <w:rFonts w:asciiTheme="minorHAnsi" w:hAnsiTheme="minorHAnsi"/>
                <w:szCs w:val="24"/>
              </w:rPr>
            </w:pPr>
            <w:r>
              <w:rPr>
                <w:rFonts w:asciiTheme="minorHAnsi" w:hAnsiTheme="minorHAnsi"/>
                <w:szCs w:val="24"/>
              </w:rPr>
              <w:t>Dimension V: Professional Development and Ecosystem Co-construction</w:t>
            </w:r>
          </w:p>
        </w:tc>
        <w:tc>
          <w:tcPr>
            <w:tcW w:w="1296" w:type="dxa"/>
            <w:tcMar>
              <w:top w:w="72" w:type="dxa"/>
              <w:left w:w="72" w:type="dxa"/>
              <w:bottom w:w="72" w:type="dxa"/>
              <w:right w:w="72" w:type="dxa"/>
            </w:tcMar>
            <w:vAlign w:val="center"/>
          </w:tcPr>
          <w:p w14:paraId="4BEC5415">
            <w:pPr>
              <w:rPr>
                <w:rFonts w:asciiTheme="minorHAnsi" w:hAnsiTheme="minorHAnsi"/>
                <w:szCs w:val="24"/>
              </w:rPr>
            </w:pPr>
            <w:r>
              <w:rPr>
                <w:rFonts w:asciiTheme="minorHAnsi" w:hAnsiTheme="minorHAnsi"/>
                <w:szCs w:val="24"/>
              </w:rPr>
              <w:t>CAIP-ME24</w:t>
            </w:r>
          </w:p>
        </w:tc>
        <w:tc>
          <w:tcPr>
            <w:tcW w:w="1296" w:type="dxa"/>
            <w:tcMar>
              <w:top w:w="72" w:type="dxa"/>
              <w:left w:w="72" w:type="dxa"/>
              <w:bottom w:w="72" w:type="dxa"/>
              <w:right w:w="72" w:type="dxa"/>
            </w:tcMar>
            <w:vAlign w:val="center"/>
          </w:tcPr>
          <w:p w14:paraId="446297B3">
            <w:pPr>
              <w:rPr>
                <w:rFonts w:asciiTheme="minorHAnsi" w:hAnsiTheme="minorHAnsi"/>
                <w:szCs w:val="24"/>
              </w:rPr>
            </w:pPr>
            <w:r>
              <w:rPr>
                <w:rFonts w:asciiTheme="minorHAnsi" w:hAnsiTheme="minorHAnsi"/>
                <w:szCs w:val="24"/>
              </w:rPr>
              <w:t>Developmental</w:t>
            </w:r>
          </w:p>
        </w:tc>
        <w:tc>
          <w:tcPr>
            <w:tcW w:w="2088" w:type="dxa"/>
            <w:tcMar>
              <w:top w:w="72" w:type="dxa"/>
              <w:left w:w="72" w:type="dxa"/>
              <w:bottom w:w="72" w:type="dxa"/>
              <w:right w:w="72" w:type="dxa"/>
            </w:tcMar>
            <w:vAlign w:val="center"/>
          </w:tcPr>
          <w:p w14:paraId="1562815A">
            <w:pPr>
              <w:rPr>
                <w:rFonts w:asciiTheme="minorHAnsi" w:hAnsiTheme="minorHAnsi"/>
                <w:szCs w:val="24"/>
              </w:rPr>
            </w:pPr>
            <w:r>
              <w:rPr>
                <w:rFonts w:asciiTheme="minorHAnsi" w:hAnsiTheme="minorHAnsi"/>
                <w:szCs w:val="24"/>
              </w:rPr>
              <w:t>Institutional Level AI Teaching Culture Promotion</w:t>
            </w:r>
          </w:p>
        </w:tc>
        <w:tc>
          <w:tcPr>
            <w:tcW w:w="2232" w:type="dxa"/>
            <w:tcMar>
              <w:top w:w="72" w:type="dxa"/>
              <w:left w:w="72" w:type="dxa"/>
              <w:bottom w:w="72" w:type="dxa"/>
              <w:right w:w="72" w:type="dxa"/>
            </w:tcMar>
            <w:vAlign w:val="center"/>
          </w:tcPr>
          <w:p w14:paraId="7F090C91">
            <w:pPr>
              <w:rPr>
                <w:rFonts w:asciiTheme="minorHAnsi" w:hAnsiTheme="minorHAnsi"/>
                <w:szCs w:val="24"/>
              </w:rPr>
            </w:pPr>
            <w:r>
              <w:rPr>
                <w:rFonts w:asciiTheme="minorHAnsi" w:hAnsiTheme="minorHAnsi"/>
                <w:szCs w:val="24"/>
              </w:rPr>
              <w:t>Advocates for AI education innovation at institutional levels through policy recommendations and participation in standard setting.</w:t>
            </w:r>
          </w:p>
        </w:tc>
        <w:tc>
          <w:tcPr>
            <w:tcW w:w="2520" w:type="dxa"/>
            <w:tcMar>
              <w:top w:w="72" w:type="dxa"/>
              <w:left w:w="72" w:type="dxa"/>
              <w:bottom w:w="72" w:type="dxa"/>
              <w:right w:w="72" w:type="dxa"/>
            </w:tcMar>
            <w:vAlign w:val="center"/>
          </w:tcPr>
          <w:p w14:paraId="193423B2">
            <w:pPr>
              <w:rPr>
                <w:rFonts w:asciiTheme="minorHAnsi" w:hAnsiTheme="minorHAnsi"/>
                <w:szCs w:val="24"/>
              </w:rPr>
            </w:pPr>
            <w:r>
              <w:rPr>
                <w:rFonts w:asciiTheme="minorHAnsi" w:hAnsiTheme="minorHAnsi"/>
                <w:szCs w:val="24"/>
              </w:rPr>
              <w:t>Submits policy suggestions for AI teaching exploration; participates in drafting AI teaching guidelines; serves as a trainer for new teachers.</w:t>
            </w:r>
          </w:p>
        </w:tc>
      </w:tr>
      <w:tr w14:paraId="1B4C4FF8">
        <w:trPr>
          <w:jc w:val="center"/>
        </w:trPr>
        <w:tc>
          <w:tcPr>
            <w:tcW w:w="1368" w:type="dxa"/>
            <w:tcMar>
              <w:top w:w="72" w:type="dxa"/>
              <w:left w:w="72" w:type="dxa"/>
              <w:bottom w:w="72" w:type="dxa"/>
              <w:right w:w="72" w:type="dxa"/>
            </w:tcMar>
            <w:vAlign w:val="center"/>
          </w:tcPr>
          <w:p w14:paraId="34865BD7">
            <w:pPr>
              <w:rPr>
                <w:rFonts w:asciiTheme="minorHAnsi" w:hAnsiTheme="minorHAnsi"/>
                <w:szCs w:val="24"/>
              </w:rPr>
            </w:pPr>
            <w:r>
              <w:rPr>
                <w:rFonts w:asciiTheme="minorHAnsi" w:hAnsiTheme="minorHAnsi"/>
                <w:szCs w:val="24"/>
              </w:rPr>
              <w:t>Dimension V: Professional Development and Ecosystem Co-construction</w:t>
            </w:r>
          </w:p>
        </w:tc>
        <w:tc>
          <w:tcPr>
            <w:tcW w:w="1296" w:type="dxa"/>
            <w:tcMar>
              <w:top w:w="72" w:type="dxa"/>
              <w:left w:w="72" w:type="dxa"/>
              <w:bottom w:w="72" w:type="dxa"/>
              <w:right w:w="72" w:type="dxa"/>
            </w:tcMar>
            <w:vAlign w:val="center"/>
          </w:tcPr>
          <w:p w14:paraId="217E08AC">
            <w:pPr>
              <w:rPr>
                <w:rFonts w:asciiTheme="minorHAnsi" w:hAnsiTheme="minorHAnsi"/>
                <w:szCs w:val="24"/>
              </w:rPr>
            </w:pPr>
            <w:r>
              <w:rPr>
                <w:rFonts w:asciiTheme="minorHAnsi" w:hAnsiTheme="minorHAnsi"/>
                <w:szCs w:val="24"/>
              </w:rPr>
              <w:t>CAIP-ME25</w:t>
            </w:r>
          </w:p>
        </w:tc>
        <w:tc>
          <w:tcPr>
            <w:tcW w:w="1296" w:type="dxa"/>
            <w:tcMar>
              <w:top w:w="72" w:type="dxa"/>
              <w:left w:w="72" w:type="dxa"/>
              <w:bottom w:w="72" w:type="dxa"/>
              <w:right w:w="72" w:type="dxa"/>
            </w:tcMar>
            <w:vAlign w:val="center"/>
          </w:tcPr>
          <w:p w14:paraId="7B1F6DDF">
            <w:pPr>
              <w:rPr>
                <w:rFonts w:asciiTheme="minorHAnsi" w:hAnsiTheme="minorHAnsi"/>
                <w:szCs w:val="24"/>
              </w:rPr>
            </w:pPr>
            <w:r>
              <w:rPr>
                <w:rFonts w:asciiTheme="minorHAnsi" w:hAnsiTheme="minorHAnsi"/>
                <w:szCs w:val="24"/>
              </w:rPr>
              <w:t>Developmental</w:t>
            </w:r>
          </w:p>
        </w:tc>
        <w:tc>
          <w:tcPr>
            <w:tcW w:w="2088" w:type="dxa"/>
            <w:tcMar>
              <w:top w:w="72" w:type="dxa"/>
              <w:left w:w="72" w:type="dxa"/>
              <w:bottom w:w="72" w:type="dxa"/>
              <w:right w:w="72" w:type="dxa"/>
            </w:tcMar>
            <w:vAlign w:val="center"/>
          </w:tcPr>
          <w:p w14:paraId="7FC6F779">
            <w:pPr>
              <w:rPr>
                <w:rFonts w:asciiTheme="minorHAnsi" w:hAnsiTheme="minorHAnsi"/>
                <w:szCs w:val="24"/>
              </w:rPr>
            </w:pPr>
            <w:r>
              <w:rPr>
                <w:rFonts w:asciiTheme="minorHAnsi" w:hAnsiTheme="minorHAnsi"/>
                <w:szCs w:val="24"/>
              </w:rPr>
              <w:t>Macroscopic Understanding of AI Education Ecosystem</w:t>
            </w:r>
          </w:p>
        </w:tc>
        <w:tc>
          <w:tcPr>
            <w:tcW w:w="2232" w:type="dxa"/>
            <w:tcMar>
              <w:top w:w="72" w:type="dxa"/>
              <w:left w:w="72" w:type="dxa"/>
              <w:bottom w:w="72" w:type="dxa"/>
              <w:right w:w="72" w:type="dxa"/>
            </w:tcMar>
            <w:vAlign w:val="center"/>
          </w:tcPr>
          <w:p w14:paraId="0F10D9B7">
            <w:pPr>
              <w:rPr>
                <w:rFonts w:asciiTheme="minorHAnsi" w:hAnsiTheme="minorHAnsi"/>
                <w:szCs w:val="24"/>
              </w:rPr>
            </w:pPr>
            <w:r>
              <w:rPr>
                <w:rFonts w:asciiTheme="minorHAnsi" w:hAnsiTheme="minorHAnsi"/>
                <w:szCs w:val="24"/>
              </w:rPr>
              <w:t>Understands the broader ecosystem of AI application in medical education, including industry-academia collaboration, policy environment, and global trends.</w:t>
            </w:r>
          </w:p>
        </w:tc>
        <w:tc>
          <w:tcPr>
            <w:tcW w:w="2520" w:type="dxa"/>
            <w:tcMar>
              <w:top w:w="72" w:type="dxa"/>
              <w:left w:w="72" w:type="dxa"/>
              <w:bottom w:w="72" w:type="dxa"/>
              <w:right w:w="72" w:type="dxa"/>
            </w:tcMar>
            <w:vAlign w:val="center"/>
          </w:tcPr>
          <w:p w14:paraId="147D0598">
            <w:pPr>
              <w:rPr>
                <w:rFonts w:asciiTheme="minorHAnsi" w:hAnsiTheme="minorHAnsi"/>
                <w:szCs w:val="24"/>
              </w:rPr>
            </w:pPr>
            <w:r>
              <w:rPr>
                <w:rFonts w:asciiTheme="minorHAnsi" w:hAnsiTheme="minorHAnsi"/>
                <w:szCs w:val="24"/>
              </w:rPr>
              <w:t>Familiar with national policies on medical AI; understands common modes of cooperation with industries; summarizes major global trends in AI application in medical education.</w:t>
            </w:r>
          </w:p>
        </w:tc>
      </w:tr>
    </w:tbl>
    <w:p w14:paraId="59A495F7">
      <w:pPr>
        <w:spacing w:before="40" w:after="160" w:line="252" w:lineRule="auto"/>
        <w:rPr>
          <w:rFonts w:asciiTheme="minorHAnsi" w:hAnsiTheme="minorHAnsi"/>
          <w:szCs w:val="24"/>
        </w:rPr>
      </w:pPr>
      <w:r>
        <w:t>Note: Positioning refers to foundational or developmental competency classification in the CAIP-ME framework. Full item-level Delphi statistics are provided in Additional file 10.</w:t>
      </w:r>
    </w:p>
    <w:p w14:paraId="1A19F967">
      <w:pPr>
        <w:pStyle w:val="4"/>
        <w:rPr>
          <w:rFonts w:cstheme="majorHAnsi"/>
          <w:sz w:val="28"/>
          <w:szCs w:val="28"/>
        </w:rPr>
      </w:pPr>
      <w:r>
        <w:rPr>
          <w:rFonts w:eastAsia="Times New Roman" w:cstheme="majorHAnsi"/>
          <w:sz w:val="28"/>
          <w:szCs w:val="28"/>
        </w:rPr>
        <w:t>Evaluation Suggestions for AI Literacy of Medical Educators</w:t>
      </w:r>
    </w:p>
    <w:p w14:paraId="7181A1A2">
      <w:pPr>
        <w:rPr>
          <w:rFonts w:asciiTheme="minorHAnsi" w:hAnsiTheme="minorHAnsi"/>
        </w:rPr>
      </w:pPr>
      <w:r>
        <w:rPr>
          <w:rFonts w:asciiTheme="minorHAnsi" w:hAnsiTheme="minorHAnsi"/>
          <w:b/>
          <w:bCs/>
        </w:rPr>
        <w:t xml:space="preserve">Appendix Table A11-2. </w:t>
      </w:r>
      <w:r>
        <w:rPr>
          <w:rFonts w:asciiTheme="minorHAnsi" w:hAnsiTheme="minorHAnsi"/>
        </w:rPr>
        <w:t>Evaluation Suggestions for AI Literacy of Medical Educators</w:t>
      </w:r>
    </w:p>
    <w:tbl>
      <w:tblPr>
        <w:tblStyle w:val="32"/>
        <w:tblW w:w="9360" w:type="dxa"/>
        <w:jc w:val="center"/>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20"/>
        <w:gridCol w:w="4824"/>
        <w:gridCol w:w="2016"/>
      </w:tblGrid>
      <w:tr w14:paraId="340BD1A0">
        <w:trPr>
          <w:cantSplit/>
          <w:tblHeader/>
          <w:jc w:val="center"/>
        </w:trPr>
        <w:tc>
          <w:tcPr>
            <w:tcW w:w="2520" w:type="dxa"/>
            <w:tcBorders>
              <w:top w:val="single" w:color="000000" w:themeColor="text1" w:sz="4" w:space="0"/>
              <w:bottom w:val="single" w:color="000000" w:themeColor="text1" w:sz="4" w:space="0"/>
            </w:tcBorders>
            <w:tcMar>
              <w:top w:w="72" w:type="dxa"/>
              <w:left w:w="72" w:type="dxa"/>
              <w:bottom w:w="72" w:type="dxa"/>
              <w:right w:w="72" w:type="dxa"/>
            </w:tcMar>
            <w:vAlign w:val="center"/>
          </w:tcPr>
          <w:p w14:paraId="1522AD0E">
            <w:pPr>
              <w:jc w:val="center"/>
              <w:rPr>
                <w:rFonts w:asciiTheme="minorHAnsi" w:hAnsiTheme="minorHAnsi"/>
                <w:bCs/>
                <w:szCs w:val="24"/>
              </w:rPr>
            </w:pPr>
            <w:r>
              <w:rPr>
                <w:rFonts w:asciiTheme="minorHAnsi" w:hAnsiTheme="minorHAnsi"/>
                <w:bCs/>
                <w:szCs w:val="24"/>
              </w:rPr>
              <w:t>Evaluation Method</w:t>
            </w:r>
          </w:p>
        </w:tc>
        <w:tc>
          <w:tcPr>
            <w:tcW w:w="4824" w:type="dxa"/>
            <w:tcBorders>
              <w:top w:val="single" w:color="000000" w:themeColor="text1" w:sz="4" w:space="0"/>
              <w:bottom w:val="single" w:color="000000" w:themeColor="text1" w:sz="4" w:space="0"/>
            </w:tcBorders>
            <w:tcMar>
              <w:top w:w="72" w:type="dxa"/>
              <w:left w:w="72" w:type="dxa"/>
              <w:bottom w:w="72" w:type="dxa"/>
              <w:right w:w="72" w:type="dxa"/>
            </w:tcMar>
            <w:vAlign w:val="center"/>
          </w:tcPr>
          <w:p w14:paraId="6E55A675">
            <w:pPr>
              <w:jc w:val="center"/>
              <w:rPr>
                <w:rFonts w:asciiTheme="minorHAnsi" w:hAnsiTheme="minorHAnsi"/>
                <w:bCs/>
                <w:szCs w:val="24"/>
              </w:rPr>
            </w:pPr>
            <w:r>
              <w:rPr>
                <w:rFonts w:asciiTheme="minorHAnsi" w:hAnsiTheme="minorHAnsi"/>
                <w:bCs/>
                <w:szCs w:val="24"/>
              </w:rPr>
              <w:t>Description</w:t>
            </w:r>
          </w:p>
        </w:tc>
        <w:tc>
          <w:tcPr>
            <w:tcW w:w="2016" w:type="dxa"/>
            <w:tcBorders>
              <w:top w:val="single" w:color="000000" w:themeColor="text1" w:sz="4" w:space="0"/>
              <w:bottom w:val="single" w:color="000000" w:themeColor="text1" w:sz="4" w:space="0"/>
            </w:tcBorders>
            <w:tcMar>
              <w:top w:w="72" w:type="dxa"/>
              <w:left w:w="72" w:type="dxa"/>
              <w:bottom w:w="72" w:type="dxa"/>
              <w:right w:w="72" w:type="dxa"/>
            </w:tcMar>
            <w:vAlign w:val="center"/>
          </w:tcPr>
          <w:p w14:paraId="66DFD56E">
            <w:pPr>
              <w:jc w:val="center"/>
              <w:rPr>
                <w:rFonts w:asciiTheme="minorHAnsi" w:hAnsiTheme="minorHAnsi"/>
                <w:bCs/>
                <w:szCs w:val="24"/>
              </w:rPr>
            </w:pPr>
            <w:r>
              <w:rPr>
                <w:rFonts w:asciiTheme="minorHAnsi" w:hAnsiTheme="minorHAnsi"/>
                <w:bCs/>
                <w:szCs w:val="24"/>
              </w:rPr>
              <w:t>Evaluation Subject</w:t>
            </w:r>
          </w:p>
        </w:tc>
      </w:tr>
      <w:tr w14:paraId="117E352A">
        <w:trPr>
          <w:jc w:val="center"/>
        </w:trPr>
        <w:tc>
          <w:tcPr>
            <w:tcW w:w="2520" w:type="dxa"/>
            <w:tcBorders>
              <w:top w:val="single" w:color="000000" w:themeColor="text1" w:sz="4" w:space="0"/>
            </w:tcBorders>
            <w:tcMar>
              <w:top w:w="72" w:type="dxa"/>
              <w:left w:w="72" w:type="dxa"/>
              <w:bottom w:w="72" w:type="dxa"/>
              <w:right w:w="72" w:type="dxa"/>
            </w:tcMar>
            <w:vAlign w:val="center"/>
          </w:tcPr>
          <w:p w14:paraId="4475B9D9">
            <w:pPr>
              <w:rPr>
                <w:rFonts w:asciiTheme="minorHAnsi" w:hAnsiTheme="minorHAnsi"/>
                <w:szCs w:val="24"/>
              </w:rPr>
            </w:pPr>
            <w:r>
              <w:rPr>
                <w:rFonts w:asciiTheme="minorHAnsi" w:hAnsiTheme="minorHAnsi"/>
                <w:szCs w:val="24"/>
              </w:rPr>
              <w:t>Evaluation of teaching practice evidence</w:t>
            </w:r>
          </w:p>
        </w:tc>
        <w:tc>
          <w:tcPr>
            <w:tcW w:w="4824" w:type="dxa"/>
            <w:tcBorders>
              <w:top w:val="single" w:color="000000" w:themeColor="text1" w:sz="4" w:space="0"/>
            </w:tcBorders>
            <w:tcMar>
              <w:top w:w="72" w:type="dxa"/>
              <w:left w:w="72" w:type="dxa"/>
              <w:bottom w:w="72" w:type="dxa"/>
              <w:right w:w="72" w:type="dxa"/>
            </w:tcMar>
            <w:vAlign w:val="center"/>
          </w:tcPr>
          <w:p w14:paraId="736781AF">
            <w:pPr>
              <w:rPr>
                <w:rFonts w:asciiTheme="minorHAnsi" w:hAnsiTheme="minorHAnsi"/>
                <w:szCs w:val="24"/>
              </w:rPr>
            </w:pPr>
            <w:r>
              <w:rPr>
                <w:rFonts w:asciiTheme="minorHAnsi" w:hAnsiTheme="minorHAnsi"/>
                <w:szCs w:val="24"/>
              </w:rPr>
              <w:t>Teachers systematically collect and submit materials reflecting their AI teaching capabilities, such as lesson plans, courseware, student achievement analysis reports, teaching reflections, innovative cases, etc</w:t>
            </w:r>
          </w:p>
        </w:tc>
        <w:tc>
          <w:tcPr>
            <w:tcW w:w="2016" w:type="dxa"/>
            <w:tcBorders>
              <w:top w:val="single" w:color="000000" w:themeColor="text1" w:sz="4" w:space="0"/>
            </w:tcBorders>
            <w:tcMar>
              <w:top w:w="72" w:type="dxa"/>
              <w:left w:w="72" w:type="dxa"/>
              <w:bottom w:w="72" w:type="dxa"/>
              <w:right w:w="72" w:type="dxa"/>
            </w:tcMar>
            <w:vAlign w:val="center"/>
          </w:tcPr>
          <w:p w14:paraId="64E71E31">
            <w:pPr>
              <w:rPr>
                <w:rFonts w:asciiTheme="minorHAnsi" w:hAnsiTheme="minorHAnsi"/>
                <w:szCs w:val="24"/>
              </w:rPr>
            </w:pPr>
            <w:r>
              <w:rPr>
                <w:rFonts w:asciiTheme="minorHAnsi" w:hAnsiTheme="minorHAnsi"/>
                <w:szCs w:val="24"/>
              </w:rPr>
              <w:t>Instructional development specialist, peer expert, AI technology consultant</w:t>
            </w:r>
          </w:p>
        </w:tc>
      </w:tr>
      <w:tr w14:paraId="7DD40EF8">
        <w:trPr>
          <w:jc w:val="center"/>
        </w:trPr>
        <w:tc>
          <w:tcPr>
            <w:tcW w:w="2520" w:type="dxa"/>
            <w:tcMar>
              <w:top w:w="72" w:type="dxa"/>
              <w:left w:w="72" w:type="dxa"/>
              <w:bottom w:w="72" w:type="dxa"/>
              <w:right w:w="72" w:type="dxa"/>
            </w:tcMar>
            <w:vAlign w:val="center"/>
          </w:tcPr>
          <w:p w14:paraId="31CA4D4C">
            <w:pPr>
              <w:rPr>
                <w:rFonts w:asciiTheme="minorHAnsi" w:hAnsiTheme="minorHAnsi"/>
                <w:szCs w:val="24"/>
              </w:rPr>
            </w:pPr>
            <w:r>
              <w:rPr>
                <w:rFonts w:asciiTheme="minorHAnsi" w:hAnsiTheme="minorHAnsi"/>
                <w:szCs w:val="24"/>
              </w:rPr>
              <w:t>Classroom/clinical teaching observation</w:t>
            </w:r>
          </w:p>
        </w:tc>
        <w:tc>
          <w:tcPr>
            <w:tcW w:w="4824" w:type="dxa"/>
            <w:tcMar>
              <w:top w:w="72" w:type="dxa"/>
              <w:left w:w="72" w:type="dxa"/>
              <w:bottom w:w="72" w:type="dxa"/>
              <w:right w:w="72" w:type="dxa"/>
            </w:tcMar>
            <w:vAlign w:val="center"/>
          </w:tcPr>
          <w:p w14:paraId="39042990">
            <w:pPr>
              <w:rPr>
                <w:rFonts w:asciiTheme="minorHAnsi" w:hAnsiTheme="minorHAnsi"/>
                <w:szCs w:val="24"/>
              </w:rPr>
            </w:pPr>
            <w:r>
              <w:rPr>
                <w:rFonts w:asciiTheme="minorHAnsi" w:hAnsiTheme="minorHAnsi"/>
                <w:szCs w:val="24"/>
              </w:rPr>
              <w:t>Observe teachers' behavioral manifestations in using AI for teaching or mentoring in natural settings through on-site observation or video recording</w:t>
            </w:r>
          </w:p>
        </w:tc>
        <w:tc>
          <w:tcPr>
            <w:tcW w:w="2016" w:type="dxa"/>
            <w:tcMar>
              <w:top w:w="72" w:type="dxa"/>
              <w:left w:w="72" w:type="dxa"/>
              <w:bottom w:w="72" w:type="dxa"/>
              <w:right w:w="72" w:type="dxa"/>
            </w:tcMar>
            <w:vAlign w:val="center"/>
          </w:tcPr>
          <w:p w14:paraId="6FBB41B1">
            <w:pPr>
              <w:rPr>
                <w:rFonts w:asciiTheme="minorHAnsi" w:hAnsiTheme="minorHAnsi"/>
                <w:szCs w:val="24"/>
              </w:rPr>
            </w:pPr>
            <w:r>
              <w:rPr>
                <w:rFonts w:asciiTheme="minorHAnsi" w:hAnsiTheme="minorHAnsi"/>
                <w:szCs w:val="24"/>
              </w:rPr>
              <w:t>Teaching supervisor, peer teacher</w:t>
            </w:r>
          </w:p>
        </w:tc>
      </w:tr>
      <w:tr w14:paraId="56DA6900">
        <w:trPr>
          <w:jc w:val="center"/>
        </w:trPr>
        <w:tc>
          <w:tcPr>
            <w:tcW w:w="2520" w:type="dxa"/>
            <w:tcMar>
              <w:top w:w="72" w:type="dxa"/>
              <w:left w:w="72" w:type="dxa"/>
              <w:bottom w:w="72" w:type="dxa"/>
              <w:right w:w="72" w:type="dxa"/>
            </w:tcMar>
            <w:vAlign w:val="center"/>
          </w:tcPr>
          <w:p w14:paraId="4B4F410C">
            <w:pPr>
              <w:rPr>
                <w:rFonts w:asciiTheme="minorHAnsi" w:hAnsiTheme="minorHAnsi"/>
                <w:szCs w:val="24"/>
              </w:rPr>
            </w:pPr>
            <w:r>
              <w:rPr>
                <w:rFonts w:asciiTheme="minorHAnsi" w:hAnsiTheme="minorHAnsi"/>
                <w:szCs w:val="24"/>
              </w:rPr>
              <w:t>Student feedback survey</w:t>
            </w:r>
          </w:p>
        </w:tc>
        <w:tc>
          <w:tcPr>
            <w:tcW w:w="4824" w:type="dxa"/>
            <w:tcMar>
              <w:top w:w="72" w:type="dxa"/>
              <w:left w:w="72" w:type="dxa"/>
              <w:bottom w:w="72" w:type="dxa"/>
              <w:right w:w="72" w:type="dxa"/>
            </w:tcMar>
            <w:vAlign w:val="center"/>
          </w:tcPr>
          <w:p w14:paraId="3A7F3410">
            <w:pPr>
              <w:rPr>
                <w:rFonts w:asciiTheme="minorHAnsi" w:hAnsiTheme="minorHAnsi"/>
                <w:szCs w:val="24"/>
              </w:rPr>
            </w:pPr>
            <w:r>
              <w:rPr>
                <w:rFonts w:asciiTheme="minorHAnsi" w:hAnsiTheme="minorHAnsi"/>
                <w:szCs w:val="24"/>
              </w:rPr>
              <w:t>Through structured questionnaires or in-depth interviews, collect students' perceptions of the effectiveness, fairness, and guiding power of AI teaching applications used by teachers</w:t>
            </w:r>
          </w:p>
        </w:tc>
        <w:tc>
          <w:tcPr>
            <w:tcW w:w="2016" w:type="dxa"/>
            <w:tcMar>
              <w:top w:w="72" w:type="dxa"/>
              <w:left w:w="72" w:type="dxa"/>
              <w:bottom w:w="72" w:type="dxa"/>
              <w:right w:w="72" w:type="dxa"/>
            </w:tcMar>
            <w:vAlign w:val="center"/>
          </w:tcPr>
          <w:p w14:paraId="3CFD2753">
            <w:pPr>
              <w:rPr>
                <w:rFonts w:asciiTheme="minorHAnsi" w:hAnsiTheme="minorHAnsi"/>
                <w:szCs w:val="24"/>
              </w:rPr>
            </w:pPr>
            <w:r>
              <w:rPr>
                <w:rFonts w:asciiTheme="minorHAnsi" w:hAnsiTheme="minorHAnsi"/>
                <w:szCs w:val="24"/>
              </w:rPr>
              <w:t>Student</w:t>
            </w:r>
          </w:p>
        </w:tc>
      </w:tr>
      <w:tr w14:paraId="37F96907">
        <w:trPr>
          <w:jc w:val="center"/>
        </w:trPr>
        <w:tc>
          <w:tcPr>
            <w:tcW w:w="2520" w:type="dxa"/>
            <w:tcMar>
              <w:top w:w="72" w:type="dxa"/>
              <w:left w:w="72" w:type="dxa"/>
              <w:bottom w:w="72" w:type="dxa"/>
              <w:right w:w="72" w:type="dxa"/>
            </w:tcMar>
            <w:vAlign w:val="center"/>
          </w:tcPr>
          <w:p w14:paraId="13FB1AA4">
            <w:pPr>
              <w:rPr>
                <w:rFonts w:asciiTheme="minorHAnsi" w:hAnsiTheme="minorHAnsi"/>
                <w:szCs w:val="24"/>
              </w:rPr>
            </w:pPr>
            <w:r>
              <w:rPr>
                <w:rFonts w:asciiTheme="minorHAnsi" w:hAnsiTheme="minorHAnsi"/>
                <w:szCs w:val="24"/>
              </w:rPr>
              <w:t>Platform data tracking</w:t>
            </w:r>
          </w:p>
        </w:tc>
        <w:tc>
          <w:tcPr>
            <w:tcW w:w="4824" w:type="dxa"/>
            <w:tcMar>
              <w:top w:w="72" w:type="dxa"/>
              <w:left w:w="72" w:type="dxa"/>
              <w:bottom w:w="72" w:type="dxa"/>
              <w:right w:w="72" w:type="dxa"/>
            </w:tcMar>
            <w:vAlign w:val="center"/>
          </w:tcPr>
          <w:p w14:paraId="2339BFCD">
            <w:pPr>
              <w:rPr>
                <w:rFonts w:asciiTheme="minorHAnsi" w:hAnsiTheme="minorHAnsi"/>
                <w:szCs w:val="24"/>
              </w:rPr>
            </w:pPr>
            <w:r>
              <w:rPr>
                <w:rFonts w:asciiTheme="minorHAnsi" w:hAnsiTheme="minorHAnsi"/>
                <w:szCs w:val="24"/>
              </w:rPr>
              <w:t>With the authorization of teachers, anonymous and aggregated behavioral and performance data are collected from teaching platforms and assessment systems as supporting evidence</w:t>
            </w:r>
          </w:p>
        </w:tc>
        <w:tc>
          <w:tcPr>
            <w:tcW w:w="2016" w:type="dxa"/>
            <w:tcMar>
              <w:top w:w="72" w:type="dxa"/>
              <w:left w:w="72" w:type="dxa"/>
              <w:bottom w:w="72" w:type="dxa"/>
              <w:right w:w="72" w:type="dxa"/>
            </w:tcMar>
            <w:vAlign w:val="center"/>
          </w:tcPr>
          <w:p w14:paraId="797FD41E">
            <w:pPr>
              <w:rPr>
                <w:rFonts w:asciiTheme="minorHAnsi" w:hAnsiTheme="minorHAnsi"/>
                <w:szCs w:val="24"/>
              </w:rPr>
            </w:pPr>
            <w:r>
              <w:rPr>
                <w:rFonts w:asciiTheme="minorHAnsi" w:hAnsiTheme="minorHAnsi"/>
                <w:szCs w:val="24"/>
              </w:rPr>
              <w:t>Educational Technology Center, data analyst</w:t>
            </w:r>
          </w:p>
        </w:tc>
      </w:tr>
      <w:tr w14:paraId="17AF58B8">
        <w:trPr>
          <w:jc w:val="center"/>
        </w:trPr>
        <w:tc>
          <w:tcPr>
            <w:tcW w:w="2520" w:type="dxa"/>
            <w:tcMar>
              <w:top w:w="72" w:type="dxa"/>
              <w:left w:w="72" w:type="dxa"/>
              <w:bottom w:w="72" w:type="dxa"/>
              <w:right w:w="72" w:type="dxa"/>
            </w:tcMar>
            <w:vAlign w:val="center"/>
          </w:tcPr>
          <w:p w14:paraId="763EFB32">
            <w:pPr>
              <w:rPr>
                <w:rFonts w:asciiTheme="minorHAnsi" w:hAnsiTheme="minorHAnsi"/>
                <w:szCs w:val="24"/>
              </w:rPr>
            </w:pPr>
            <w:r>
              <w:rPr>
                <w:rFonts w:asciiTheme="minorHAnsi" w:hAnsiTheme="minorHAnsi"/>
                <w:szCs w:val="24"/>
              </w:rPr>
              <w:t>Self-assessment and reflection</w:t>
            </w:r>
          </w:p>
        </w:tc>
        <w:tc>
          <w:tcPr>
            <w:tcW w:w="4824" w:type="dxa"/>
            <w:tcMar>
              <w:top w:w="72" w:type="dxa"/>
              <w:left w:w="72" w:type="dxa"/>
              <w:bottom w:w="72" w:type="dxa"/>
              <w:right w:w="72" w:type="dxa"/>
            </w:tcMar>
            <w:vAlign w:val="center"/>
          </w:tcPr>
          <w:p w14:paraId="69379C35">
            <w:pPr>
              <w:rPr>
                <w:rFonts w:asciiTheme="minorHAnsi" w:hAnsiTheme="minorHAnsi"/>
                <w:szCs w:val="24"/>
              </w:rPr>
            </w:pPr>
            <w:r>
              <w:rPr>
                <w:rFonts w:asciiTheme="minorHAnsi" w:hAnsiTheme="minorHAnsi"/>
                <w:szCs w:val="24"/>
              </w:rPr>
              <w:t>Teachers conduct self-assessment against the framework and write job reports or development plans</w:t>
            </w:r>
          </w:p>
        </w:tc>
        <w:tc>
          <w:tcPr>
            <w:tcW w:w="2016" w:type="dxa"/>
            <w:tcMar>
              <w:top w:w="72" w:type="dxa"/>
              <w:left w:w="72" w:type="dxa"/>
              <w:bottom w:w="72" w:type="dxa"/>
              <w:right w:w="72" w:type="dxa"/>
            </w:tcMar>
            <w:vAlign w:val="center"/>
          </w:tcPr>
          <w:p w14:paraId="15707E70">
            <w:pPr>
              <w:rPr>
                <w:rFonts w:asciiTheme="minorHAnsi" w:hAnsiTheme="minorHAnsi"/>
                <w:szCs w:val="24"/>
              </w:rPr>
            </w:pPr>
            <w:r>
              <w:rPr>
                <w:rFonts w:asciiTheme="minorHAnsi" w:hAnsiTheme="minorHAnsi"/>
                <w:szCs w:val="24"/>
              </w:rPr>
              <w:t>The teacher themselves</w:t>
            </w:r>
          </w:p>
        </w:tc>
      </w:tr>
    </w:tbl>
    <w:p w14:paraId="3CEB5001">
      <w:pPr>
        <w:spacing w:before="40" w:after="160" w:line="252" w:lineRule="auto"/>
        <w:rPr>
          <w:rFonts w:asciiTheme="minorHAnsi" w:hAnsiTheme="minorHAnsi"/>
          <w:szCs w:val="24"/>
        </w:rPr>
      </w:pPr>
      <w:r>
        <w:rPr>
          <w:rFonts w:asciiTheme="minorHAnsi" w:hAnsiTheme="minorHAnsi"/>
          <w:szCs w:val="24"/>
        </w:rPr>
        <w:t>Note: CAIP-ME indicates Competency Items of Medical Educators’ AI Proficiency. These evaluation suggestions are intended to support developmental use of the framework and should be adapted to local institutional context.</w:t>
      </w:r>
    </w:p>
    <w:p w14:paraId="2A6902F1">
      <w:pPr>
        <w:spacing w:before="40" w:after="160" w:line="252" w:lineRule="auto"/>
        <w:rPr>
          <w:rFonts w:asciiTheme="minorHAnsi" w:hAnsiTheme="minorHAnsi"/>
          <w:szCs w:val="24"/>
        </w:rPr>
      </w:pPr>
      <w:r>
        <w:rPr>
          <w:rFonts w:asciiTheme="minorHAnsi" w:hAnsiTheme="minorHAnsi"/>
          <w:szCs w:val="24"/>
        </w:rPr>
        <w:t>Abbreviations: AI, artificial intelligence; CAIP-ME, Competency Items of Medical Educators’ AI Proficiency.</w:t>
      </w: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roman"/>
    <w:pitch w:val="default"/>
    <w:sig w:usb0="00000000" w:usb1="00000000" w:usb2="00000000" w:usb3="00000000" w:csb0="0000019F"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Courier">
    <w:altName w:val="苹方-简"/>
    <w:panose1 w:val="02070309020205020404"/>
    <w:charset w:val="00"/>
    <w:family w:val="modern"/>
    <w:pitch w:val="default"/>
    <w:sig w:usb0="00000000" w:usb1="00000000" w:usb2="00000009" w:usb3="00000000" w:csb0="000001FF"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6A2B22"/>
    <w:rsid w:val="00751D71"/>
    <w:rsid w:val="0077021B"/>
    <w:rsid w:val="00AA1D8D"/>
    <w:rsid w:val="00B1128D"/>
    <w:rsid w:val="00B47730"/>
    <w:rsid w:val="00CB0664"/>
    <w:rsid w:val="00D00218"/>
    <w:rsid w:val="00FC693F"/>
    <w:rsid w:val="DABEAA2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color w:val="000000"/>
      <w:sz w:val="24"/>
      <w:szCs w:val="22"/>
      <w:lang w:val="en-US" w:eastAsia="en-US" w:bidi="ar-SA"/>
    </w:rPr>
  </w:style>
  <w:style w:type="paragraph" w:styleId="3">
    <w:name w:val="heading 1"/>
    <w:basedOn w:val="1"/>
    <w:next w:val="1"/>
    <w:link w:val="138"/>
    <w:qFormat/>
    <w:uiPriority w:val="9"/>
    <w:pPr>
      <w:keepNext/>
      <w:keepLines/>
      <w:spacing w:before="360" w:after="120" w:line="259" w:lineRule="auto"/>
      <w:outlineLvl w:val="0"/>
    </w:pPr>
    <w:rPr>
      <w:rFonts w:asciiTheme="majorHAnsi" w:hAnsiTheme="majorHAnsi" w:eastAsiaTheme="majorEastAsia" w:cstheme="majorBidi"/>
      <w:b/>
      <w:bCs/>
      <w:color w:val="345A8A"/>
      <w:sz w:val="32"/>
      <w:szCs w:val="28"/>
    </w:rPr>
  </w:style>
  <w:style w:type="paragraph" w:styleId="4">
    <w:name w:val="heading 2"/>
    <w:basedOn w:val="1"/>
    <w:next w:val="1"/>
    <w:link w:val="139"/>
    <w:unhideWhenUsed/>
    <w:qFormat/>
    <w:uiPriority w:val="9"/>
    <w:pPr>
      <w:keepNext/>
      <w:keepLines/>
      <w:spacing w:before="200" w:after="60" w:line="259" w:lineRule="auto"/>
      <w:outlineLvl w:val="1"/>
    </w:pPr>
    <w:rPr>
      <w:rFonts w:asciiTheme="majorHAnsi" w:hAnsiTheme="majorHAnsi" w:eastAsiaTheme="majorEastAsia" w:cstheme="majorBidi"/>
      <w:b/>
      <w:bCs/>
      <w:color w:val="4F81BD"/>
      <w:sz w:val="26"/>
      <w:szCs w:val="26"/>
    </w:rPr>
  </w:style>
  <w:style w:type="paragraph" w:styleId="5">
    <w:name w:val="heading 3"/>
    <w:basedOn w:val="1"/>
    <w:next w:val="1"/>
    <w:link w:val="140"/>
    <w:unhideWhenUsed/>
    <w:qFormat/>
    <w:uiPriority w:val="9"/>
    <w:pPr>
      <w:keepNext/>
      <w:keepLines/>
      <w:spacing w:before="200" w:after="60" w:line="259" w:lineRule="auto"/>
      <w:outlineLvl w:val="2"/>
    </w:pPr>
    <w:rPr>
      <w:rFonts w:asciiTheme="majorHAnsi" w:hAnsiTheme="majorHAnsi" w:eastAsiaTheme="majorEastAsia" w:cstheme="majorBidi"/>
      <w:b/>
      <w:bCs/>
      <w:color w:val="4F81BD"/>
    </w:rPr>
  </w:style>
  <w:style w:type="paragraph" w:styleId="6">
    <w:name w:val="heading 4"/>
    <w:basedOn w:val="1"/>
    <w:next w:val="1"/>
    <w:link w:val="150"/>
    <w:semiHidden/>
    <w:unhideWhenUsed/>
    <w:qFormat/>
    <w:uiPriority w:val="9"/>
    <w:pPr>
      <w:keepNext/>
      <w:keepLines/>
      <w:spacing w:before="200" w:after="60"/>
      <w:outlineLvl w:val="3"/>
    </w:pPr>
    <w:rPr>
      <w:rFonts w:asciiTheme="majorHAnsi" w:hAnsiTheme="majorHAnsi" w:eastAsiaTheme="majorEastAsia" w:cstheme="majorBidi"/>
      <w:b/>
      <w:bCs/>
      <w:i/>
      <w:iCs/>
      <w:color w:val="4F81BD"/>
    </w:rPr>
  </w:style>
  <w:style w:type="paragraph" w:styleId="7">
    <w:name w:val="heading 5"/>
    <w:basedOn w:val="1"/>
    <w:next w:val="1"/>
    <w:link w:val="151"/>
    <w:semiHidden/>
    <w:unhideWhenUsed/>
    <w:qFormat/>
    <w:uiPriority w:val="9"/>
    <w:pPr>
      <w:keepNext/>
      <w:keepLines/>
      <w:spacing w:before="20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pPr>
  </w:style>
  <w:style w:type="paragraph" w:styleId="25">
    <w:name w:val="header"/>
    <w:basedOn w:val="1"/>
    <w:link w:val="135"/>
    <w:unhideWhenUsed/>
    <w:uiPriority w:val="99"/>
    <w:pPr>
      <w:tabs>
        <w:tab w:val="center" w:pos="4680"/>
        <w:tab w:val="right" w:pos="9360"/>
      </w:tabs>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页眉 字符"/>
    <w:basedOn w:val="132"/>
    <w:link w:val="25"/>
    <w:uiPriority w:val="99"/>
  </w:style>
  <w:style w:type="character" w:customStyle="1" w:styleId="136">
    <w:name w:val="页脚 字符"/>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标题 1 字符"/>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字符"/>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字符"/>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字符"/>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字符"/>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字符"/>
    <w:basedOn w:val="132"/>
    <w:link w:val="19"/>
    <w:uiPriority w:val="99"/>
  </w:style>
  <w:style w:type="character" w:customStyle="1" w:styleId="145">
    <w:name w:val="正文文本 2 字符"/>
    <w:basedOn w:val="132"/>
    <w:link w:val="28"/>
    <w:uiPriority w:val="99"/>
  </w:style>
  <w:style w:type="character" w:customStyle="1" w:styleId="146">
    <w:name w:val="正文文本 3 字符"/>
    <w:basedOn w:val="132"/>
    <w:link w:val="17"/>
    <w:uiPriority w:val="99"/>
    <w:rPr>
      <w:sz w:val="16"/>
      <w:szCs w:val="16"/>
    </w:rPr>
  </w:style>
  <w:style w:type="character" w:customStyle="1" w:styleId="147">
    <w:name w:val="宏文本 字符"/>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字符"/>
    <w:basedOn w:val="132"/>
    <w:link w:val="148"/>
    <w:uiPriority w:val="29"/>
    <w:rPr>
      <w:i/>
      <w:iCs/>
      <w:color w:val="000000" w:themeColor="text1"/>
      <w14:textFill>
        <w14:solidFill>
          <w14:schemeClr w14:val="tx1"/>
        </w14:solidFill>
      </w14:textFill>
    </w:rPr>
  </w:style>
  <w:style w:type="character" w:customStyle="1" w:styleId="150">
    <w:name w:val="标题 4 字符"/>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字符"/>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标题 6 字符"/>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标题 7 字符"/>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字符"/>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字符"/>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字符"/>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1944</Words>
  <Characters>11087</Characters>
  <Lines>92</Lines>
  <Paragraphs>26</Paragraphs>
  <TotalTime>3</TotalTime>
  <ScaleCrop>false</ScaleCrop>
  <LinksUpToDate>false</LinksUpToDate>
  <CharactersWithSpaces>13005</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2026-08-05T18:06:00Z</dcterms:created>
  <dc:creator>python-docx</dc:creator>
  <dc:description>generated by python-docx</dc:description>
  <cp:lastModifiedBy>WPS_1582889378</cp:lastModifiedBy>
  <dcterms:modified xsi:type="dcterms:W3CDTF">2026-08-28T17:34:32Z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ICV">
    <vt:lpwstr>0CD2067344CEBFFD2856916A83AE9E68_42</vt:lpwstr>
  </property>
</Properties>
</file>