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45B61"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eastAsia="FangSong" w:cs="Times New Roman Bold"/>
          <w:b/>
          <w:bCs w:val="0"/>
          <w:color w:val="0F1115"/>
          <w:kern w:val="0"/>
          <w:sz w:val="28"/>
          <w:szCs w:val="28"/>
          <w14:ligatures w14:val="none"/>
        </w:rPr>
      </w:pPr>
      <w:bookmarkStart w:id="0" w:name="_GoBack"/>
      <w:bookmarkEnd w:id="0"/>
      <w:r>
        <w:rPr>
          <w:rFonts w:hint="default" w:ascii="Times New Roman Bold" w:hAnsi="Times New Roman Bold" w:eastAsia="Helvetica Neue" w:cs="Times New Roman Bold"/>
          <w:b/>
          <w:bCs w:val="0"/>
          <w:i w:val="0"/>
          <w:iCs w:val="0"/>
          <w:caps w:val="0"/>
          <w:color w:val="0F1115"/>
          <w:spacing w:val="0"/>
          <w:kern w:val="0"/>
          <w:sz w:val="28"/>
          <w:szCs w:val="28"/>
          <w:lang w:val="en-US" w:eastAsia="zh-CN" w:bidi="ar"/>
          <w14:ligatures w14:val="standardContextual"/>
        </w:rPr>
        <w:t>Response Table to Expert Review Opinions</w:t>
      </w:r>
    </w:p>
    <w:p w14:paraId="19DE5DCE">
      <w:pPr>
        <w:spacing w:before="240" w:after="240" w:line="240" w:lineRule="auto"/>
        <w:jc w:val="center"/>
        <w:rPr>
          <w:rFonts w:ascii="FangSong" w:hAnsi="FangSong" w:eastAsia="FangSong" w:cs="Microsoft Yahei"/>
          <w:b/>
          <w:bCs/>
          <w:color w:val="0F1115"/>
          <w:kern w:val="0"/>
          <w:sz w:val="28"/>
          <w:szCs w:val="28"/>
          <w14:ligatures w14:val="none"/>
        </w:rPr>
      </w:pPr>
      <w:r>
        <w:rPr>
          <w:rFonts w:hint="eastAsia" w:ascii="FangSong" w:hAnsi="FangSong" w:eastAsia="FangSong" w:cs="Microsoft Yahei"/>
          <w:b/>
          <w:bCs/>
          <w:color w:val="0F1115"/>
          <w:kern w:val="0"/>
          <w:sz w:val="28"/>
          <w:szCs w:val="28"/>
          <w:lang w:val="en-US" w:eastAsia="zh-CN"/>
          <w14:ligatures w14:val="none"/>
        </w:rPr>
        <w:t xml:space="preserve">12月15日专家点评会 </w:t>
      </w:r>
      <w:r>
        <w:rPr>
          <w:rFonts w:hint="eastAsia" w:ascii="FangSong" w:hAnsi="FangSong" w:eastAsia="FangSong" w:cs="Microsoft Yahei"/>
          <w:b/>
          <w:bCs/>
          <w:color w:val="0F1115"/>
          <w:kern w:val="0"/>
          <w:sz w:val="28"/>
          <w:szCs w:val="28"/>
          <w14:ligatures w14:val="none"/>
        </w:rPr>
        <w:t>专家点评意见回应表</w:t>
      </w:r>
    </w:p>
    <w:tbl>
      <w:tblPr>
        <w:tblStyle w:val="14"/>
        <w:tblW w:w="10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2194"/>
        <w:gridCol w:w="1861"/>
        <w:gridCol w:w="2223"/>
        <w:gridCol w:w="3135"/>
      </w:tblGrid>
      <w:tr w14:paraId="7431906A">
        <w:trPr>
          <w:trHeight w:val="0" w:hRule="atLeast"/>
          <w:tblHeader/>
          <w:jc w:val="center"/>
        </w:trPr>
        <w:tc>
          <w:tcPr>
            <w:tcW w:w="1018" w:type="dxa"/>
            <w:vAlign w:val="center"/>
          </w:tcPr>
          <w:p w14:paraId="7C2BBD9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维度</w:t>
            </w:r>
          </w:p>
        </w:tc>
        <w:tc>
          <w:tcPr>
            <w:tcW w:w="0" w:type="auto"/>
            <w:vAlign w:val="center"/>
          </w:tcPr>
          <w:p w14:paraId="5C3B8D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能力项</w:t>
            </w:r>
          </w:p>
        </w:tc>
        <w:tc>
          <w:tcPr>
            <w:tcW w:w="0" w:type="auto"/>
            <w:vAlign w:val="center"/>
          </w:tcPr>
          <w:p w14:paraId="6DB3AA2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对应原编号</w:t>
            </w:r>
          </w:p>
        </w:tc>
        <w:tc>
          <w:tcPr>
            <w:tcW w:w="0" w:type="auto"/>
            <w:vAlign w:val="center"/>
          </w:tcPr>
          <w:p w14:paraId="2D8375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新增</w:t>
            </w:r>
            <w:r>
              <w:rPr>
                <w:rFonts w:ascii="FangSong" w:hAnsi="FangSong" w:eastAsia="FangSong" w:cs="Times New Roman"/>
                <w:b/>
                <w:bCs/>
                <w:kern w:val="0"/>
                <w:sz w:val="28"/>
                <w:szCs w:val="28"/>
                <w14:ligatures w14:val="none"/>
              </w:rPr>
              <w:t>/</w:t>
            </w: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调整说明</w:t>
            </w:r>
          </w:p>
        </w:tc>
        <w:tc>
          <w:tcPr>
            <w:tcW w:w="3135" w:type="dxa"/>
            <w:vAlign w:val="center"/>
          </w:tcPr>
          <w:p w14:paraId="2493837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回应的主要专家建议</w:t>
            </w:r>
          </w:p>
        </w:tc>
      </w:tr>
      <w:tr w14:paraId="52F840B3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3B7FE0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一、价值认知与伦理根基</w:t>
            </w:r>
          </w:p>
        </w:tc>
        <w:tc>
          <w:tcPr>
            <w:tcW w:w="0" w:type="auto"/>
            <w:vAlign w:val="center"/>
          </w:tcPr>
          <w:p w14:paraId="0548992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伦理与公平风险识别能力</w:t>
            </w:r>
          </w:p>
        </w:tc>
        <w:tc>
          <w:tcPr>
            <w:tcW w:w="0" w:type="auto"/>
            <w:vAlign w:val="center"/>
          </w:tcPr>
          <w:p w14:paraId="21A7839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新增（原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10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部分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+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拓展）</w:t>
            </w:r>
          </w:p>
        </w:tc>
        <w:tc>
          <w:tcPr>
            <w:tcW w:w="0" w:type="auto"/>
            <w:vAlign w:val="center"/>
          </w:tcPr>
          <w:p w14:paraId="2387762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拓展至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“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医学正义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”</w:t>
            </w:r>
          </w:p>
        </w:tc>
        <w:tc>
          <w:tcPr>
            <w:tcW w:w="3135" w:type="dxa"/>
            <w:vAlign w:val="center"/>
          </w:tcPr>
          <w:p w14:paraId="20A87E9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专家2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（伦理价值导向）、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专家5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（公平性评估）</w:t>
            </w:r>
          </w:p>
        </w:tc>
      </w:tr>
      <w:tr w14:paraId="695204B5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6A44336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165F0F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2.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学术诚信与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使用规范引导能力</w:t>
            </w:r>
          </w:p>
        </w:tc>
        <w:tc>
          <w:tcPr>
            <w:tcW w:w="0" w:type="auto"/>
            <w:vAlign w:val="center"/>
          </w:tcPr>
          <w:p w14:paraId="11EB60A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</w:tcPr>
          <w:p w14:paraId="7961C0B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保留并强化</w:t>
            </w:r>
          </w:p>
        </w:tc>
        <w:tc>
          <w:tcPr>
            <w:tcW w:w="3135" w:type="dxa"/>
            <w:vAlign w:val="center"/>
          </w:tcPr>
          <w:p w14:paraId="6B95064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（学生使用规范）</w:t>
            </w:r>
          </w:p>
        </w:tc>
      </w:tr>
      <w:tr w14:paraId="32333CD8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3E547C0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0DCE7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3.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公平应用与资源统筹能力</w:t>
            </w:r>
          </w:p>
        </w:tc>
        <w:tc>
          <w:tcPr>
            <w:tcW w:w="0" w:type="auto"/>
            <w:vAlign w:val="center"/>
          </w:tcPr>
          <w:p w14:paraId="3425A0A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</w:tcPr>
          <w:p w14:paraId="6080B25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拓展至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“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医学正义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”</w:t>
            </w:r>
          </w:p>
        </w:tc>
        <w:tc>
          <w:tcPr>
            <w:tcW w:w="3135" w:type="dxa"/>
            <w:vAlign w:val="center"/>
          </w:tcPr>
          <w:p w14:paraId="6AA4E75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专家2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（公平性拓展）、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专家17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（机构支持）</w:t>
            </w:r>
          </w:p>
        </w:tc>
      </w:tr>
      <w:tr w14:paraId="0616FE1E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455E04E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二、技术理解与工具应用</w:t>
            </w:r>
          </w:p>
        </w:tc>
        <w:tc>
          <w:tcPr>
            <w:tcW w:w="0" w:type="auto"/>
            <w:vAlign w:val="center"/>
          </w:tcPr>
          <w:p w14:paraId="752A28F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4.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核心概念掌握能力</w:t>
            </w:r>
          </w:p>
        </w:tc>
        <w:tc>
          <w:tcPr>
            <w:tcW w:w="0" w:type="auto"/>
            <w:vAlign w:val="center"/>
          </w:tcPr>
          <w:p w14:paraId="4C24365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 w14:paraId="1202893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631683D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专家10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（聚焦生成式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专家7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（侧重认知非编程）</w:t>
            </w:r>
          </w:p>
        </w:tc>
      </w:tr>
      <w:tr w14:paraId="3581B14B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07A2BAA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E1111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5.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医学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工具辨识与选型能力</w:t>
            </w:r>
          </w:p>
        </w:tc>
        <w:tc>
          <w:tcPr>
            <w:tcW w:w="0" w:type="auto"/>
            <w:vAlign w:val="center"/>
          </w:tcPr>
          <w:p w14:paraId="37AA5D9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</w:tcPr>
          <w:p w14:paraId="4DF40C1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5EF1994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专家19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（突出临床决策支持工具）</w:t>
            </w:r>
          </w:p>
        </w:tc>
      </w:tr>
      <w:tr w14:paraId="3D9D3ED8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257567A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1E4090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6.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技术发展追踪能力</w:t>
            </w:r>
          </w:p>
        </w:tc>
        <w:tc>
          <w:tcPr>
            <w:tcW w:w="0" w:type="auto"/>
            <w:vAlign w:val="center"/>
          </w:tcPr>
          <w:p w14:paraId="2CA2AE6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 w14:paraId="3747087B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2E3D2A1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专家12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（动态更新机制）</w:t>
            </w:r>
          </w:p>
        </w:tc>
      </w:tr>
      <w:tr w14:paraId="63E80741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0DA0626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E7B16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7.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生成内容临床批判评估能力</w:t>
            </w:r>
          </w:p>
        </w:tc>
        <w:tc>
          <w:tcPr>
            <w:tcW w:w="0" w:type="auto"/>
            <w:vAlign w:val="center"/>
          </w:tcPr>
          <w:p w14:paraId="0485AD3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0" w:type="auto"/>
            <w:vAlign w:val="center"/>
          </w:tcPr>
          <w:p w14:paraId="5A09C69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3135" w:type="dxa"/>
            <w:vAlign w:val="center"/>
          </w:tcPr>
          <w:p w14:paraId="04BEE56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专家5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（批判性评估）、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（识别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生成内容）</w:t>
            </w:r>
          </w:p>
        </w:tc>
      </w:tr>
      <w:tr w14:paraId="547F8D84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0A2FDEF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CBCD96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8.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辅助文献分析与综述能力</w:t>
            </w:r>
          </w:p>
        </w:tc>
        <w:tc>
          <w:tcPr>
            <w:tcW w:w="0" w:type="auto"/>
            <w:vAlign w:val="center"/>
          </w:tcPr>
          <w:p w14:paraId="5752666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</w:tcPr>
          <w:p w14:paraId="065054C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4CE87FD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专家14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（科研维度平衡）</w:t>
            </w:r>
          </w:p>
        </w:tc>
      </w:tr>
      <w:tr w14:paraId="4A999018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077D997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DB417D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9.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科研数据处理与可视化能力</w:t>
            </w:r>
          </w:p>
        </w:tc>
        <w:tc>
          <w:tcPr>
            <w:tcW w:w="0" w:type="auto"/>
            <w:vAlign w:val="center"/>
          </w:tcPr>
          <w:p w14:paraId="00D6746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</w:tcPr>
          <w:p w14:paraId="60EB01B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58C5ED6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专家7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（隐私保护技术提及）</w:t>
            </w:r>
          </w:p>
        </w:tc>
      </w:tr>
      <w:tr w14:paraId="581D4BAA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1175172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60773D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10.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工具合规操作与隐私保护技能</w:t>
            </w:r>
          </w:p>
        </w:tc>
        <w:tc>
          <w:tcPr>
            <w:tcW w:w="0" w:type="auto"/>
            <w:vAlign w:val="center"/>
          </w:tcPr>
          <w:p w14:paraId="53B0496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0" w:type="auto"/>
            <w:vAlign w:val="center"/>
          </w:tcPr>
          <w:p w14:paraId="5380618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3135" w:type="dxa"/>
            <w:vAlign w:val="center"/>
          </w:tcPr>
          <w:p w14:paraId="1712A69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专家7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（隐私保护）、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专家2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（伦理嵌入）</w:t>
            </w:r>
          </w:p>
        </w:tc>
      </w:tr>
      <w:tr w14:paraId="6E79936E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6DACA03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三、教学融合与创新实践</w:t>
            </w:r>
          </w:p>
        </w:tc>
        <w:tc>
          <w:tcPr>
            <w:tcW w:w="0" w:type="auto"/>
            <w:vAlign w:val="center"/>
          </w:tcPr>
          <w:p w14:paraId="1F539B0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11.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辅助教学设计能力</w:t>
            </w:r>
          </w:p>
        </w:tc>
        <w:tc>
          <w:tcPr>
            <w:tcW w:w="0" w:type="auto"/>
            <w:vAlign w:val="center"/>
          </w:tcPr>
          <w:p w14:paraId="00BE629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4F6ECEB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59EEF32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专家20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（丰富应用场景）</w:t>
            </w:r>
          </w:p>
        </w:tc>
      </w:tr>
      <w:tr w14:paraId="2A645CCD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6E02CB9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9C137D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12.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虚拟仿真与临床场景融合教学能力</w:t>
            </w:r>
          </w:p>
        </w:tc>
        <w:tc>
          <w:tcPr>
            <w:tcW w:w="0" w:type="auto"/>
            <w:vAlign w:val="center"/>
          </w:tcPr>
          <w:p w14:paraId="1B0E177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40DB827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拓展场景，含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“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突发公卫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”</w:t>
            </w:r>
          </w:p>
        </w:tc>
        <w:tc>
          <w:tcPr>
            <w:tcW w:w="3135" w:type="dxa"/>
            <w:vAlign w:val="center"/>
          </w:tcPr>
          <w:p w14:paraId="3DA3F62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（公卫场景）、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专家17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（临床实践强化）</w:t>
            </w:r>
          </w:p>
        </w:tc>
      </w:tr>
      <w:tr w14:paraId="37297CF4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6EF5DA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0F1CB9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13.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人机协同课堂组织能力</w:t>
            </w:r>
          </w:p>
        </w:tc>
        <w:tc>
          <w:tcPr>
            <w:tcW w:w="0" w:type="auto"/>
            <w:vAlign w:val="center"/>
          </w:tcPr>
          <w:p w14:paraId="312F133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 w14:paraId="72ED26B4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2297871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专家12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14:ligatures w14:val="none"/>
              </w:rPr>
              <w:t>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22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14:ligatures w14:val="none"/>
              </w:rPr>
              <w:t>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23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14:ligatures w14:val="none"/>
              </w:rPr>
              <w:t>（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师生共同探索）</w:t>
            </w:r>
          </w:p>
        </w:tc>
      </w:tr>
      <w:tr w14:paraId="0DD516D4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64144E3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B88057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14.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教学资源开发能力</w:t>
            </w:r>
          </w:p>
        </w:tc>
        <w:tc>
          <w:tcPr>
            <w:tcW w:w="0" w:type="auto"/>
            <w:vAlign w:val="center"/>
          </w:tcPr>
          <w:p w14:paraId="7469A49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74EB37E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保留，融入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“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突发公卫事件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”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案例</w:t>
            </w:r>
          </w:p>
        </w:tc>
        <w:tc>
          <w:tcPr>
            <w:tcW w:w="3135" w:type="dxa"/>
            <w:vAlign w:val="center"/>
          </w:tcPr>
          <w:p w14:paraId="1B31664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（突发公卫事件案例）</w:t>
            </w:r>
          </w:p>
        </w:tc>
      </w:tr>
      <w:tr w14:paraId="2D697016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162C341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8AB84E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15.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临床真实场景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教学衔接能力</w:t>
            </w:r>
          </w:p>
        </w:tc>
        <w:tc>
          <w:tcPr>
            <w:tcW w:w="0" w:type="auto"/>
            <w:vAlign w:val="center"/>
          </w:tcPr>
          <w:p w14:paraId="5CF0FEA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0" w:type="auto"/>
            <w:vAlign w:val="center"/>
          </w:tcPr>
          <w:p w14:paraId="272A984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3135" w:type="dxa"/>
            <w:vAlign w:val="center"/>
          </w:tcPr>
          <w:p w14:paraId="485B678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专家21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（桥梁能力）、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专家17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（临床教学场景）</w:t>
            </w:r>
          </w:p>
        </w:tc>
      </w:tr>
      <w:tr w14:paraId="4523B64C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32C24F8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706031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16.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科研方案设计与教学转化能力</w:t>
            </w:r>
          </w:p>
        </w:tc>
        <w:tc>
          <w:tcPr>
            <w:tcW w:w="0" w:type="auto"/>
            <w:vAlign w:val="center"/>
          </w:tcPr>
          <w:p w14:paraId="5F4A813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15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、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18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整合</w:t>
            </w:r>
          </w:p>
        </w:tc>
        <w:tc>
          <w:tcPr>
            <w:tcW w:w="0" w:type="auto"/>
            <w:vAlign w:val="center"/>
          </w:tcPr>
          <w:p w14:paraId="6585C0D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整合</w:t>
            </w:r>
          </w:p>
        </w:tc>
        <w:tc>
          <w:tcPr>
            <w:tcW w:w="3135" w:type="dxa"/>
            <w:vAlign w:val="center"/>
          </w:tcPr>
          <w:p w14:paraId="5FF0F53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专家19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（医工协作）、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专家14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（科研能力平衡）</w:t>
            </w:r>
          </w:p>
        </w:tc>
      </w:tr>
      <w:tr w14:paraId="7DFA66B3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43F935F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四、学习评价与精准赋能</w:t>
            </w:r>
          </w:p>
        </w:tc>
        <w:tc>
          <w:tcPr>
            <w:tcW w:w="0" w:type="auto"/>
            <w:vAlign w:val="center"/>
          </w:tcPr>
          <w:p w14:paraId="215FD66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17.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智能题库与测评系统操作能力</w:t>
            </w:r>
          </w:p>
        </w:tc>
        <w:tc>
          <w:tcPr>
            <w:tcW w:w="0" w:type="auto"/>
            <w:vAlign w:val="center"/>
          </w:tcPr>
          <w:p w14:paraId="7F02714B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8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部分</w:t>
            </w:r>
          </w:p>
        </w:tc>
        <w:tc>
          <w:tcPr>
            <w:tcW w:w="0" w:type="auto"/>
            <w:vAlign w:val="center"/>
          </w:tcPr>
          <w:p w14:paraId="6EB4700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拆分明确</w:t>
            </w:r>
          </w:p>
        </w:tc>
        <w:tc>
          <w:tcPr>
            <w:tcW w:w="3135" w:type="dxa"/>
            <w:vAlign w:val="center"/>
          </w:tcPr>
          <w:p w14:paraId="2421B35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专家6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辅助考评）</w:t>
            </w:r>
          </w:p>
        </w:tc>
      </w:tr>
      <w:tr w14:paraId="2AA6C745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0273B4A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BE0210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18.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教学效果评估与学情分析能力</w:t>
            </w:r>
          </w:p>
        </w:tc>
        <w:tc>
          <w:tcPr>
            <w:tcW w:w="0" w:type="auto"/>
            <w:vAlign w:val="center"/>
          </w:tcPr>
          <w:p w14:paraId="4E2ED89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8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部分</w:t>
            </w:r>
          </w:p>
        </w:tc>
        <w:tc>
          <w:tcPr>
            <w:tcW w:w="0" w:type="auto"/>
            <w:vAlign w:val="center"/>
          </w:tcPr>
          <w:p w14:paraId="14EAE09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4B62562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专家9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（量化评价完整性）</w:t>
            </w:r>
          </w:p>
        </w:tc>
      </w:tr>
      <w:tr w14:paraId="43453BBD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3622AE1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61445B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19.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基于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的学生数字素养诊断与干预能力</w:t>
            </w:r>
          </w:p>
        </w:tc>
        <w:tc>
          <w:tcPr>
            <w:tcW w:w="0" w:type="auto"/>
            <w:vAlign w:val="center"/>
          </w:tcPr>
          <w:p w14:paraId="5ED4148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0" w:type="auto"/>
            <w:vAlign w:val="center"/>
          </w:tcPr>
          <w:p w14:paraId="77BA363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3135" w:type="dxa"/>
            <w:vAlign w:val="center"/>
          </w:tcPr>
          <w:p w14:paraId="5922204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专家6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（数字素养干预）、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专家4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（分层评价）</w:t>
            </w:r>
          </w:p>
        </w:tc>
      </w:tr>
      <w:tr w14:paraId="5005018F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0F69054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13F3AB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20.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学生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素养成长追踪与反馈能力</w:t>
            </w:r>
          </w:p>
        </w:tc>
        <w:tc>
          <w:tcPr>
            <w:tcW w:w="0" w:type="auto"/>
            <w:vAlign w:val="center"/>
          </w:tcPr>
          <w:p w14:paraId="0D36F7B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</w:tcPr>
          <w:p w14:paraId="3BB26EE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29EBD1E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专家6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（数字素养诊断）</w:t>
            </w:r>
          </w:p>
        </w:tc>
      </w:tr>
      <w:tr w14:paraId="66EE0C64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1AD24B7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BC8953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21.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驱动个性化学习路径设计能力</w:t>
            </w:r>
          </w:p>
        </w:tc>
        <w:tc>
          <w:tcPr>
            <w:tcW w:w="0" w:type="auto"/>
            <w:vAlign w:val="center"/>
          </w:tcPr>
          <w:p w14:paraId="5F10686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4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部分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+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拓展</w:t>
            </w:r>
          </w:p>
        </w:tc>
        <w:tc>
          <w:tcPr>
            <w:tcW w:w="0" w:type="auto"/>
            <w:vAlign w:val="center"/>
          </w:tcPr>
          <w:p w14:paraId="2956285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拓展</w:t>
            </w:r>
          </w:p>
        </w:tc>
        <w:tc>
          <w:tcPr>
            <w:tcW w:w="3135" w:type="dxa"/>
            <w:vAlign w:val="center"/>
          </w:tcPr>
          <w:p w14:paraId="7BEF04BA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专家20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（差异化教学）</w:t>
            </w:r>
          </w:p>
        </w:tc>
      </w:tr>
      <w:tr w14:paraId="44A55C7E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55C1897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b/>
                <w:bCs/>
                <w:kern w:val="0"/>
                <w:sz w:val="28"/>
                <w:szCs w:val="28"/>
                <w14:ligatures w14:val="none"/>
              </w:rPr>
              <w:t>五、专业发展与生态共建</w:t>
            </w:r>
          </w:p>
        </w:tc>
        <w:tc>
          <w:tcPr>
            <w:tcW w:w="0" w:type="auto"/>
            <w:vAlign w:val="center"/>
          </w:tcPr>
          <w:p w14:paraId="07D3BFC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22.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跨学科协作与医工融合能力</w:t>
            </w:r>
          </w:p>
        </w:tc>
        <w:tc>
          <w:tcPr>
            <w:tcW w:w="0" w:type="auto"/>
            <w:vAlign w:val="center"/>
          </w:tcPr>
          <w:p w14:paraId="26465C92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</w:tcPr>
          <w:p w14:paraId="3D3AFAB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保留</w:t>
            </w:r>
          </w:p>
        </w:tc>
        <w:tc>
          <w:tcPr>
            <w:tcW w:w="3135" w:type="dxa"/>
            <w:vAlign w:val="center"/>
          </w:tcPr>
          <w:p w14:paraId="3FC1D7C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专家4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（跨机构协同）、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专家19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（多学科合作）</w:t>
            </w:r>
          </w:p>
        </w:tc>
      </w:tr>
      <w:tr w14:paraId="5E96E4EF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40F4466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C5F098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23. 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教学反思与持续改进能力</w:t>
            </w:r>
          </w:p>
        </w:tc>
        <w:tc>
          <w:tcPr>
            <w:tcW w:w="0" w:type="auto"/>
            <w:vAlign w:val="center"/>
          </w:tcPr>
          <w:p w14:paraId="66152D8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</w:tcPr>
          <w:p w14:paraId="069F415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简化表述</w:t>
            </w:r>
          </w:p>
        </w:tc>
        <w:tc>
          <w:tcPr>
            <w:tcW w:w="3135" w:type="dxa"/>
            <w:vAlign w:val="center"/>
          </w:tcPr>
          <w:p w14:paraId="56448D8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专家3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（简化第五维度））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14:ligatures w14:val="none"/>
              </w:rPr>
              <w:t>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专家8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14:ligatures w14:val="none"/>
              </w:rPr>
              <w:t>（诊断性评价、成长性评价）</w:t>
            </w:r>
          </w:p>
        </w:tc>
      </w:tr>
      <w:tr w14:paraId="4F3117E2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29E9BFC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A9D36A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24.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医疗机构内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AI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教学推广与支持能力</w:t>
            </w:r>
          </w:p>
        </w:tc>
        <w:tc>
          <w:tcPr>
            <w:tcW w:w="0" w:type="auto"/>
            <w:vAlign w:val="center"/>
          </w:tcPr>
          <w:p w14:paraId="60284E6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0" w:type="auto"/>
            <w:vAlign w:val="center"/>
          </w:tcPr>
          <w:p w14:paraId="16A3BEC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新增</w:t>
            </w:r>
          </w:p>
        </w:tc>
        <w:tc>
          <w:tcPr>
            <w:tcW w:w="3135" w:type="dxa"/>
            <w:vAlign w:val="center"/>
          </w:tcPr>
          <w:p w14:paraId="2A6D0BB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专家3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（机构层面支持）、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专家18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（实施激励）</w:t>
            </w:r>
          </w:p>
        </w:tc>
      </w:tr>
      <w:tr w14:paraId="7A270FDB">
        <w:trPr>
          <w:trHeight w:val="0" w:hRule="atLeast"/>
          <w:jc w:val="center"/>
        </w:trPr>
        <w:tc>
          <w:tcPr>
            <w:tcW w:w="1018" w:type="dxa"/>
            <w:vAlign w:val="center"/>
          </w:tcPr>
          <w:p w14:paraId="69A0A7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194" w:type="dxa"/>
            <w:vAlign w:val="center"/>
          </w:tcPr>
          <w:p w14:paraId="08A79C4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 xml:space="preserve">25. 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终身学习与专业共同体参与能力</w:t>
            </w:r>
          </w:p>
        </w:tc>
        <w:tc>
          <w:tcPr>
            <w:tcW w:w="1861" w:type="dxa"/>
            <w:vAlign w:val="center"/>
          </w:tcPr>
          <w:p w14:paraId="18038B1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原</w:t>
            </w:r>
            <w:r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  <w:t>19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简化</w:t>
            </w:r>
          </w:p>
        </w:tc>
        <w:tc>
          <w:tcPr>
            <w:tcW w:w="2223" w:type="dxa"/>
            <w:vAlign w:val="center"/>
          </w:tcPr>
          <w:p w14:paraId="1278950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简化合并</w:t>
            </w:r>
          </w:p>
        </w:tc>
        <w:tc>
          <w:tcPr>
            <w:tcW w:w="3135" w:type="dxa"/>
            <w:vAlign w:val="center"/>
          </w:tcPr>
          <w:p w14:paraId="6E847D8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ascii="FangSong" w:hAnsi="FangSong" w:eastAsia="FangSong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专家3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（简化第五维度）、</w:t>
            </w:r>
            <w:r>
              <w:rPr>
                <w:rFonts w:hint="eastAsia" w:ascii="FangSong" w:hAnsi="FangSong" w:eastAsia="FangSong" w:cs="宋体"/>
                <w:kern w:val="0"/>
                <w:sz w:val="28"/>
                <w:szCs w:val="28"/>
                <w:lang w:val="en-US" w:eastAsia="zh-CN"/>
                <w14:ligatures w14:val="none"/>
              </w:rPr>
              <w:t>专家11</w:t>
            </w:r>
            <w:r>
              <w:rPr>
                <w:rFonts w:ascii="FangSong" w:hAnsi="FangSong" w:eastAsia="FangSong" w:cs="宋体"/>
                <w:kern w:val="0"/>
                <w:sz w:val="28"/>
                <w:szCs w:val="28"/>
                <w14:ligatures w14:val="none"/>
              </w:rPr>
              <w:t>（框架落地）</w:t>
            </w:r>
          </w:p>
        </w:tc>
      </w:tr>
    </w:tbl>
    <w:p w14:paraId="6EDDF40B">
      <w:pPr>
        <w:spacing w:after="0" w:line="240" w:lineRule="auto"/>
        <w:rPr>
          <w:rFonts w:ascii="FangSong" w:hAnsi="FangSong" w:eastAsia="FangSong" w:cs="Times New Roman"/>
          <w:kern w:val="0"/>
          <w:sz w:val="28"/>
          <w:szCs w:val="28"/>
          <w14:ligatures w14:val="none"/>
        </w:rPr>
      </w:pPr>
    </w:p>
    <w:p w14:paraId="475700A5">
      <w:pPr>
        <w:rPr>
          <w:rFonts w:ascii="FangSong" w:hAnsi="FangSong" w:eastAsia="FangSong"/>
          <w:sz w:val="28"/>
          <w:szCs w:val="28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FangSong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Microsoft Yahe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3EE"/>
    <w:rsid w:val="00017E22"/>
    <w:rsid w:val="00063FA2"/>
    <w:rsid w:val="00065E95"/>
    <w:rsid w:val="000A56F6"/>
    <w:rsid w:val="000E14B8"/>
    <w:rsid w:val="0015250B"/>
    <w:rsid w:val="00197BF0"/>
    <w:rsid w:val="00216997"/>
    <w:rsid w:val="0027008E"/>
    <w:rsid w:val="002834CE"/>
    <w:rsid w:val="002D5948"/>
    <w:rsid w:val="002E2E55"/>
    <w:rsid w:val="003001B0"/>
    <w:rsid w:val="00326A1E"/>
    <w:rsid w:val="003270FB"/>
    <w:rsid w:val="00370C73"/>
    <w:rsid w:val="003778C8"/>
    <w:rsid w:val="00387FE7"/>
    <w:rsid w:val="003E1115"/>
    <w:rsid w:val="003F32AC"/>
    <w:rsid w:val="00434C3D"/>
    <w:rsid w:val="004A00C8"/>
    <w:rsid w:val="004C1543"/>
    <w:rsid w:val="004F5223"/>
    <w:rsid w:val="00551703"/>
    <w:rsid w:val="005551CA"/>
    <w:rsid w:val="00556378"/>
    <w:rsid w:val="005704DC"/>
    <w:rsid w:val="005E5CD6"/>
    <w:rsid w:val="00605789"/>
    <w:rsid w:val="006223AE"/>
    <w:rsid w:val="006227FB"/>
    <w:rsid w:val="00672B64"/>
    <w:rsid w:val="0068079B"/>
    <w:rsid w:val="00685848"/>
    <w:rsid w:val="006930FE"/>
    <w:rsid w:val="00725179"/>
    <w:rsid w:val="00794825"/>
    <w:rsid w:val="007C744C"/>
    <w:rsid w:val="0082413E"/>
    <w:rsid w:val="00843D92"/>
    <w:rsid w:val="00865A04"/>
    <w:rsid w:val="00865FE5"/>
    <w:rsid w:val="008C3EEF"/>
    <w:rsid w:val="008D66B6"/>
    <w:rsid w:val="009203EE"/>
    <w:rsid w:val="0094676E"/>
    <w:rsid w:val="009C3877"/>
    <w:rsid w:val="00A1474D"/>
    <w:rsid w:val="00A35C11"/>
    <w:rsid w:val="00A70A9A"/>
    <w:rsid w:val="00A956B9"/>
    <w:rsid w:val="00AA1BC5"/>
    <w:rsid w:val="00AE5E63"/>
    <w:rsid w:val="00B05F5E"/>
    <w:rsid w:val="00B22630"/>
    <w:rsid w:val="00B365C7"/>
    <w:rsid w:val="00B60FC9"/>
    <w:rsid w:val="00B94C35"/>
    <w:rsid w:val="00BC416E"/>
    <w:rsid w:val="00BD3FF9"/>
    <w:rsid w:val="00C0546F"/>
    <w:rsid w:val="00C060D9"/>
    <w:rsid w:val="00C369D3"/>
    <w:rsid w:val="00C7015E"/>
    <w:rsid w:val="00C856D2"/>
    <w:rsid w:val="00C90981"/>
    <w:rsid w:val="00C97E4C"/>
    <w:rsid w:val="00D04DD2"/>
    <w:rsid w:val="00D407CB"/>
    <w:rsid w:val="00D80101"/>
    <w:rsid w:val="00DA02D6"/>
    <w:rsid w:val="00DA4E68"/>
    <w:rsid w:val="00DA7F2C"/>
    <w:rsid w:val="00DC7329"/>
    <w:rsid w:val="00E13F61"/>
    <w:rsid w:val="00E52A56"/>
    <w:rsid w:val="00E55B25"/>
    <w:rsid w:val="00E7123D"/>
    <w:rsid w:val="00E74624"/>
    <w:rsid w:val="00EA074F"/>
    <w:rsid w:val="00EA1834"/>
    <w:rsid w:val="00EA74E6"/>
    <w:rsid w:val="00EB05A9"/>
    <w:rsid w:val="00EB447D"/>
    <w:rsid w:val="00EE7237"/>
    <w:rsid w:val="00F6394F"/>
    <w:rsid w:val="00F84A28"/>
    <w:rsid w:val="00F968F4"/>
    <w:rsid w:val="00FC3865"/>
    <w:rsid w:val="00FE25EB"/>
    <w:rsid w:val="5FFF8C78"/>
    <w:rsid w:val="B767AD68"/>
    <w:rsid w:val="BBB725F3"/>
    <w:rsid w:val="DFBED307"/>
    <w:rsid w:val="E4EEBF7A"/>
    <w:rsid w:val="FEE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zh-CN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customStyle="1" w:styleId="17">
    <w:name w:val="Heading 1 Char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Heading 2 Char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Heading 3 Char"/>
    <w:basedOn w:val="15"/>
    <w:link w:val="4"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Heading 4 Char"/>
    <w:basedOn w:val="15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Heading 5 Char"/>
    <w:basedOn w:val="15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Heading 6 Char"/>
    <w:basedOn w:val="15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5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5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5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5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5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Intense Quote Char"/>
    <w:basedOn w:val="15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ds-markdown-paragrap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189</Words>
  <Characters>1082</Characters>
  <Lines>9</Lines>
  <Paragraphs>2</Paragraphs>
  <TotalTime>16</TotalTime>
  <ScaleCrop>false</ScaleCrop>
  <LinksUpToDate>false</LinksUpToDate>
  <CharactersWithSpaces>1269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2025-12-17T21:47:00Z</dcterms:created>
  <dc:creator>孟春 弓</dc:creator>
  <cp:lastModifiedBy>WPS_1582889378</cp:lastModifiedBy>
  <dcterms:modified xsi:type="dcterms:W3CDTF">2026-08-28T17:33:18Z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C5F2B1860748EA46DE55916AB115401A_43</vt:lpwstr>
  </property>
</Properties>
</file>