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C08C19">
      <w:pPr>
        <w:jc w:val="center"/>
        <w:rPr>
          <w:rFonts w:asciiTheme="majorHAnsi" w:hAnsiTheme="majorHAnsi" w:cstheme="majorHAnsi"/>
          <w:sz w:val="32"/>
          <w:szCs w:val="32"/>
        </w:rPr>
      </w:pPr>
      <w:r>
        <w:t>Additional file 13. Completed CHERRIES Checklist</w:t>
      </w:r>
    </w:p>
    <w:p w14:paraId="38CB5F31">
      <w:pPr>
        <w:jc w:val="center"/>
        <w:rPr>
          <w:rFonts w:asciiTheme="minorHAnsi" w:hAnsiTheme="minorHAnsi"/>
          <w:sz w:val="24"/>
          <w:szCs w:val="24"/>
        </w:rPr>
      </w:pPr>
      <w:r>
        <w:rPr>
          <w:rFonts w:asciiTheme="minorHAnsi" w:hAnsiTheme="minorHAnsi"/>
          <w:sz w:val="24"/>
          <w:szCs w:val="24"/>
        </w:rPr>
        <w:t>Closed invitation-only web-based Delphi survey reporting for the CAIP-ME manuscript</w:t>
      </w:r>
    </w:p>
    <w:p w14:paraId="6D0FB8E9">
      <w:pPr>
        <w:spacing w:after="60"/>
        <w:rPr>
          <w:rFonts w:asciiTheme="minorHAnsi" w:hAnsiTheme="minorHAnsi"/>
          <w:sz w:val="24"/>
          <w:szCs w:val="24"/>
        </w:rPr>
      </w:pPr>
      <w:r>
        <w:rPr>
          <w:rFonts w:asciiTheme="minorHAnsi" w:hAnsiTheme="minorHAnsi"/>
          <w:b/>
          <w:sz w:val="24"/>
          <w:szCs w:val="24"/>
        </w:rPr>
        <w:t xml:space="preserve">Manuscript: </w:t>
      </w:r>
      <w:r>
        <w:rPr>
          <w:rFonts w:asciiTheme="minorHAnsi" w:hAnsiTheme="minorHAnsi"/>
          <w:sz w:val="24"/>
          <w:szCs w:val="24"/>
        </w:rPr>
        <w:t>Artificial Intelligence Proficiency for Medical Educators: An Adapted Competency Framework Derived from a Two-Round Delphi Consensus in China.</w:t>
      </w:r>
    </w:p>
    <w:p w14:paraId="0F35A1E2">
      <w:pPr>
        <w:spacing w:after="160"/>
        <w:rPr>
          <w:rFonts w:asciiTheme="minorHAnsi" w:hAnsiTheme="minorHAnsi"/>
          <w:sz w:val="24"/>
          <w:szCs w:val="24"/>
        </w:rPr>
      </w:pPr>
      <w:r>
        <w:rPr>
          <w:rFonts w:asciiTheme="minorHAnsi" w:hAnsiTheme="minorHAnsi"/>
          <w:b/>
          <w:sz w:val="24"/>
          <w:szCs w:val="24"/>
        </w:rPr>
        <w:t xml:space="preserve">Reporting context: </w:t>
      </w:r>
      <w:r>
        <w:rPr>
          <w:rFonts w:asciiTheme="minorHAnsi" w:hAnsiTheme="minorHAnsi"/>
          <w:sz w:val="24"/>
          <w:szCs w:val="24"/>
        </w:rPr>
        <w:t>The online component of this study was a closed, invitation-only two-round Delphi expert survey administered through Wenjuanxing. It was not an open public web survey. Therefore, open-web traffic metrics such as view rate and unique site visitors are marked as not applicable where appropriate.</w:t>
      </w:r>
    </w:p>
    <w:tbl>
      <w:tblPr>
        <w:tblStyle w:val="33"/>
        <w:tblW w:w="9752" w:type="dxa"/>
        <w:jc w:val="center"/>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49"/>
        <w:gridCol w:w="2126"/>
        <w:gridCol w:w="3969"/>
        <w:gridCol w:w="1908"/>
      </w:tblGrid>
      <w:tr w14:paraId="0C948C70">
        <w:trPr>
          <w:tblHeader/>
          <w:jc w:val="center"/>
        </w:trPr>
        <w:tc>
          <w:tcPr>
            <w:tcW w:w="1749" w:type="dxa"/>
            <w:tcBorders>
              <w:top w:val="single" w:color="000000" w:themeColor="text1" w:sz="4" w:space="0"/>
              <w:bottom w:val="single" w:color="000000" w:themeColor="text1" w:sz="4" w:space="0"/>
            </w:tcBorders>
            <w:tcMar>
              <w:top w:w="90" w:type="dxa"/>
              <w:left w:w="90" w:type="dxa"/>
              <w:bottom w:w="90" w:type="dxa"/>
              <w:right w:w="90" w:type="dxa"/>
            </w:tcMar>
          </w:tcPr>
          <w:p w14:paraId="1790097C">
            <w:pPr>
              <w:spacing w:after="0" w:line="240" w:lineRule="auto"/>
              <w:rPr>
                <w:rFonts w:asciiTheme="minorHAnsi" w:hAnsiTheme="minorHAnsi"/>
                <w:bCs/>
                <w:sz w:val="24"/>
                <w:szCs w:val="24"/>
              </w:rPr>
            </w:pPr>
            <w:r>
              <w:rPr>
                <w:rFonts w:asciiTheme="minorHAnsi" w:hAnsiTheme="minorHAnsi"/>
                <w:bCs/>
                <w:sz w:val="24"/>
                <w:szCs w:val="24"/>
              </w:rPr>
              <w:t>CHERRIES category</w:t>
            </w:r>
          </w:p>
        </w:tc>
        <w:tc>
          <w:tcPr>
            <w:tcW w:w="2126" w:type="dxa"/>
            <w:tcBorders>
              <w:top w:val="single" w:color="000000" w:themeColor="text1" w:sz="4" w:space="0"/>
              <w:bottom w:val="single" w:color="000000" w:themeColor="text1" w:sz="4" w:space="0"/>
            </w:tcBorders>
            <w:tcMar>
              <w:top w:w="90" w:type="dxa"/>
              <w:left w:w="90" w:type="dxa"/>
              <w:bottom w:w="90" w:type="dxa"/>
              <w:right w:w="90" w:type="dxa"/>
            </w:tcMar>
          </w:tcPr>
          <w:p w14:paraId="0BC89E3C">
            <w:pPr>
              <w:spacing w:after="0" w:line="240" w:lineRule="auto"/>
              <w:rPr>
                <w:rFonts w:asciiTheme="minorHAnsi" w:hAnsiTheme="minorHAnsi"/>
                <w:bCs/>
                <w:sz w:val="24"/>
                <w:szCs w:val="24"/>
              </w:rPr>
            </w:pPr>
            <w:r>
              <w:rPr>
                <w:rFonts w:asciiTheme="minorHAnsi" w:hAnsiTheme="minorHAnsi"/>
                <w:bCs/>
                <w:sz w:val="24"/>
                <w:szCs w:val="24"/>
              </w:rPr>
              <w:t>Checklist item</w:t>
            </w:r>
          </w:p>
        </w:tc>
        <w:tc>
          <w:tcPr>
            <w:tcW w:w="3969" w:type="dxa"/>
            <w:tcBorders>
              <w:top w:val="single" w:color="000000" w:themeColor="text1" w:sz="4" w:space="0"/>
              <w:bottom w:val="single" w:color="000000" w:themeColor="text1" w:sz="4" w:space="0"/>
            </w:tcBorders>
            <w:tcMar>
              <w:top w:w="90" w:type="dxa"/>
              <w:left w:w="90" w:type="dxa"/>
              <w:bottom w:w="90" w:type="dxa"/>
              <w:right w:w="90" w:type="dxa"/>
            </w:tcMar>
          </w:tcPr>
          <w:p w14:paraId="2A6B2283">
            <w:pPr>
              <w:spacing w:after="0" w:line="240" w:lineRule="auto"/>
              <w:rPr>
                <w:rFonts w:asciiTheme="minorHAnsi" w:hAnsiTheme="minorHAnsi"/>
                <w:bCs/>
                <w:sz w:val="24"/>
                <w:szCs w:val="24"/>
              </w:rPr>
            </w:pPr>
            <w:r>
              <w:rPr>
                <w:rFonts w:asciiTheme="minorHAnsi" w:hAnsiTheme="minorHAnsi"/>
                <w:bCs/>
                <w:sz w:val="24"/>
                <w:szCs w:val="24"/>
              </w:rPr>
              <w:t>Reporting in this manuscript</w:t>
            </w:r>
          </w:p>
        </w:tc>
        <w:tc>
          <w:tcPr>
            <w:tcW w:w="1908" w:type="dxa"/>
            <w:tcBorders>
              <w:top w:val="single" w:color="000000" w:themeColor="text1" w:sz="4" w:space="0"/>
              <w:bottom w:val="single" w:color="000000" w:themeColor="text1" w:sz="4" w:space="0"/>
            </w:tcBorders>
            <w:tcMar>
              <w:top w:w="90" w:type="dxa"/>
              <w:left w:w="90" w:type="dxa"/>
              <w:bottom w:w="90" w:type="dxa"/>
              <w:right w:w="90" w:type="dxa"/>
            </w:tcMar>
          </w:tcPr>
          <w:p w14:paraId="6B17D6B3">
            <w:pPr>
              <w:spacing w:after="0" w:line="240" w:lineRule="auto"/>
              <w:rPr>
                <w:rFonts w:asciiTheme="minorHAnsi" w:hAnsiTheme="minorHAnsi"/>
                <w:bCs/>
                <w:sz w:val="24"/>
                <w:szCs w:val="24"/>
              </w:rPr>
            </w:pPr>
            <w:r>
              <w:rPr>
                <w:rFonts w:asciiTheme="minorHAnsi" w:hAnsiTheme="minorHAnsi"/>
                <w:bCs/>
                <w:sz w:val="24"/>
                <w:szCs w:val="24"/>
              </w:rPr>
              <w:t>Location / status</w:t>
            </w:r>
          </w:p>
        </w:tc>
      </w:tr>
      <w:tr w14:paraId="5ECA3FE5">
        <w:trPr>
          <w:jc w:val="center"/>
        </w:trPr>
        <w:tc>
          <w:tcPr>
            <w:tcW w:w="3875" w:type="dxa"/>
            <w:gridSpan w:val="2"/>
            <w:tcBorders>
              <w:top w:val="single" w:color="000000" w:themeColor="text1" w:sz="4" w:space="0"/>
              <w:bottom w:val="nil"/>
            </w:tcBorders>
            <w:tcMar>
              <w:top w:w="90" w:type="dxa"/>
              <w:left w:w="90" w:type="dxa"/>
              <w:bottom w:w="90" w:type="dxa"/>
              <w:right w:w="90" w:type="dxa"/>
            </w:tcMar>
            <w:vAlign w:val="center"/>
          </w:tcPr>
          <w:p w14:paraId="3138F1B8">
            <w:pPr>
              <w:spacing w:after="0" w:line="240" w:lineRule="auto"/>
              <w:rPr>
                <w:rFonts w:asciiTheme="minorHAnsi" w:hAnsiTheme="minorHAnsi"/>
                <w:sz w:val="24"/>
                <w:szCs w:val="24"/>
              </w:rPr>
            </w:pPr>
            <w:r>
              <w:rPr>
                <w:rFonts w:asciiTheme="minorHAnsi" w:hAnsiTheme="minorHAnsi"/>
                <w:b/>
                <w:sz w:val="24"/>
                <w:szCs w:val="24"/>
              </w:rPr>
              <w:t>Design</w:t>
            </w:r>
          </w:p>
        </w:tc>
        <w:tc>
          <w:tcPr>
            <w:tcW w:w="3969" w:type="dxa"/>
            <w:tcBorders>
              <w:top w:val="single" w:color="000000" w:themeColor="text1" w:sz="4" w:space="0"/>
              <w:bottom w:val="nil"/>
            </w:tcBorders>
            <w:tcMar>
              <w:top w:w="90" w:type="dxa"/>
              <w:left w:w="90" w:type="dxa"/>
              <w:bottom w:w="90" w:type="dxa"/>
              <w:right w:w="90" w:type="dxa"/>
            </w:tcMar>
            <w:vAlign w:val="center"/>
          </w:tcPr>
          <w:p w14:paraId="709DF483">
            <w:pPr>
              <w:spacing w:after="0" w:line="240" w:lineRule="auto"/>
              <w:rPr>
                <w:rFonts w:asciiTheme="minorHAnsi" w:hAnsiTheme="minorHAnsi"/>
                <w:sz w:val="24"/>
                <w:szCs w:val="24"/>
              </w:rPr>
            </w:pPr>
          </w:p>
        </w:tc>
        <w:tc>
          <w:tcPr>
            <w:tcW w:w="1908" w:type="dxa"/>
            <w:tcBorders>
              <w:top w:val="single" w:color="000000" w:themeColor="text1" w:sz="4" w:space="0"/>
              <w:bottom w:val="nil"/>
            </w:tcBorders>
            <w:tcMar>
              <w:top w:w="90" w:type="dxa"/>
              <w:left w:w="90" w:type="dxa"/>
              <w:bottom w:w="90" w:type="dxa"/>
              <w:right w:w="90" w:type="dxa"/>
            </w:tcMar>
            <w:vAlign w:val="center"/>
          </w:tcPr>
          <w:p w14:paraId="76BA292B">
            <w:pPr>
              <w:spacing w:after="0" w:line="240" w:lineRule="auto"/>
              <w:rPr>
                <w:rFonts w:asciiTheme="minorHAnsi" w:hAnsiTheme="minorHAnsi"/>
                <w:sz w:val="24"/>
                <w:szCs w:val="24"/>
              </w:rPr>
            </w:pPr>
          </w:p>
        </w:tc>
      </w:tr>
      <w:tr w14:paraId="3BB7D9FC">
        <w:trPr>
          <w:jc w:val="center"/>
        </w:trPr>
        <w:tc>
          <w:tcPr>
            <w:tcW w:w="1749" w:type="dxa"/>
            <w:tcBorders>
              <w:top w:val="nil"/>
            </w:tcBorders>
            <w:tcMar>
              <w:top w:w="90" w:type="dxa"/>
              <w:left w:w="90" w:type="dxa"/>
              <w:bottom w:w="90" w:type="dxa"/>
              <w:right w:w="90" w:type="dxa"/>
            </w:tcMar>
            <w:vAlign w:val="center"/>
          </w:tcPr>
          <w:p w14:paraId="39DC5E75">
            <w:pPr>
              <w:spacing w:after="0" w:line="240" w:lineRule="auto"/>
              <w:rPr>
                <w:rFonts w:hint="eastAsia" w:asciiTheme="minorHAnsi" w:hAnsiTheme="minorHAnsi"/>
                <w:sz w:val="24"/>
                <w:szCs w:val="24"/>
                <w:lang w:eastAsia="zh-CN"/>
              </w:rPr>
            </w:pPr>
          </w:p>
        </w:tc>
        <w:tc>
          <w:tcPr>
            <w:tcW w:w="2126" w:type="dxa"/>
            <w:tcBorders>
              <w:top w:val="nil"/>
            </w:tcBorders>
            <w:tcMar>
              <w:top w:w="90" w:type="dxa"/>
              <w:left w:w="90" w:type="dxa"/>
              <w:bottom w:w="90" w:type="dxa"/>
              <w:right w:w="90" w:type="dxa"/>
            </w:tcMar>
            <w:vAlign w:val="center"/>
          </w:tcPr>
          <w:p w14:paraId="56208A11">
            <w:pPr>
              <w:spacing w:after="0" w:line="240" w:lineRule="auto"/>
              <w:rPr>
                <w:rFonts w:asciiTheme="minorHAnsi" w:hAnsiTheme="minorHAnsi"/>
                <w:sz w:val="24"/>
                <w:szCs w:val="24"/>
              </w:rPr>
            </w:pPr>
            <w:r>
              <w:rPr>
                <w:rFonts w:asciiTheme="minorHAnsi" w:hAnsiTheme="minorHAnsi"/>
                <w:sz w:val="24"/>
                <w:szCs w:val="24"/>
              </w:rPr>
              <w:t>Describe survey design</w:t>
            </w:r>
          </w:p>
        </w:tc>
        <w:tc>
          <w:tcPr>
            <w:tcW w:w="3969" w:type="dxa"/>
            <w:tcBorders>
              <w:top w:val="nil"/>
            </w:tcBorders>
            <w:tcMar>
              <w:top w:w="90" w:type="dxa"/>
              <w:left w:w="90" w:type="dxa"/>
              <w:bottom w:w="90" w:type="dxa"/>
              <w:right w:w="90" w:type="dxa"/>
            </w:tcMar>
            <w:vAlign w:val="center"/>
          </w:tcPr>
          <w:p w14:paraId="395D86AB">
            <w:pPr>
              <w:spacing w:after="0" w:line="240" w:lineRule="auto"/>
              <w:rPr>
                <w:rFonts w:asciiTheme="minorHAnsi" w:hAnsiTheme="minorHAnsi"/>
                <w:sz w:val="24"/>
                <w:szCs w:val="24"/>
              </w:rPr>
            </w:pPr>
            <w:r>
              <w:rPr>
                <w:rFonts w:asciiTheme="minorHAnsi" w:hAnsiTheme="minorHAnsi"/>
                <w:sz w:val="24"/>
                <w:szCs w:val="24"/>
              </w:rPr>
              <w:t>Closed, invitation-only, web-based two-round Delphi expert survey used to refine and classify the CAIP-ME competency framework. The invited panel comprised 60 multidisciplinary experts recruited through purposive sampling and snowball nomination.</w:t>
            </w:r>
          </w:p>
        </w:tc>
        <w:tc>
          <w:tcPr>
            <w:tcW w:w="1908" w:type="dxa"/>
            <w:tcBorders>
              <w:top w:val="nil"/>
            </w:tcBorders>
            <w:tcMar>
              <w:top w:w="90" w:type="dxa"/>
              <w:left w:w="90" w:type="dxa"/>
              <w:bottom w:w="90" w:type="dxa"/>
              <w:right w:w="90" w:type="dxa"/>
            </w:tcMar>
            <w:vAlign w:val="center"/>
          </w:tcPr>
          <w:p w14:paraId="54041574">
            <w:pPr>
              <w:spacing w:after="0" w:line="240" w:lineRule="auto"/>
              <w:rPr>
                <w:rFonts w:asciiTheme="minorHAnsi" w:hAnsiTheme="minorHAnsi"/>
                <w:sz w:val="24"/>
                <w:szCs w:val="24"/>
              </w:rPr>
            </w:pPr>
            <w:r>
              <w:rPr>
                <w:rFonts w:asciiTheme="minorHAnsi" w:hAnsiTheme="minorHAnsi"/>
                <w:sz w:val="24"/>
                <w:szCs w:val="24"/>
              </w:rPr>
              <w:t>Methods: Study Design; Delphi Panel and Procedure; Results: Delphi Expert Panel Characteristics</w:t>
            </w:r>
          </w:p>
        </w:tc>
      </w:tr>
      <w:tr w14:paraId="09E30060">
        <w:trPr>
          <w:jc w:val="center"/>
        </w:trPr>
        <w:tc>
          <w:tcPr>
            <w:tcW w:w="3875" w:type="dxa"/>
            <w:gridSpan w:val="2"/>
            <w:tcMar>
              <w:top w:w="90" w:type="dxa"/>
              <w:left w:w="90" w:type="dxa"/>
              <w:bottom w:w="90" w:type="dxa"/>
              <w:right w:w="90" w:type="dxa"/>
            </w:tcMar>
            <w:vAlign w:val="center"/>
          </w:tcPr>
          <w:p w14:paraId="13182A29">
            <w:pPr>
              <w:spacing w:after="0" w:line="240" w:lineRule="auto"/>
              <w:rPr>
                <w:rFonts w:asciiTheme="minorHAnsi" w:hAnsiTheme="minorHAnsi"/>
                <w:sz w:val="24"/>
                <w:szCs w:val="24"/>
              </w:rPr>
            </w:pPr>
            <w:r>
              <w:rPr>
                <w:rFonts w:asciiTheme="minorHAnsi" w:hAnsiTheme="minorHAnsi"/>
                <w:b/>
                <w:sz w:val="24"/>
                <w:szCs w:val="24"/>
              </w:rPr>
              <w:t>IRB approval and informed consent process</w:t>
            </w:r>
          </w:p>
        </w:tc>
        <w:tc>
          <w:tcPr>
            <w:tcW w:w="3969" w:type="dxa"/>
            <w:tcMar>
              <w:top w:w="90" w:type="dxa"/>
              <w:left w:w="90" w:type="dxa"/>
              <w:bottom w:w="90" w:type="dxa"/>
              <w:right w:w="90" w:type="dxa"/>
            </w:tcMar>
            <w:vAlign w:val="center"/>
          </w:tcPr>
          <w:p w14:paraId="21161FEB">
            <w:pPr>
              <w:spacing w:after="0" w:line="240" w:lineRule="auto"/>
              <w:rPr>
                <w:rFonts w:asciiTheme="minorHAnsi" w:hAnsiTheme="minorHAnsi"/>
                <w:sz w:val="24"/>
                <w:szCs w:val="24"/>
              </w:rPr>
            </w:pPr>
          </w:p>
        </w:tc>
        <w:tc>
          <w:tcPr>
            <w:tcW w:w="1908" w:type="dxa"/>
            <w:tcMar>
              <w:top w:w="90" w:type="dxa"/>
              <w:left w:w="90" w:type="dxa"/>
              <w:bottom w:w="90" w:type="dxa"/>
              <w:right w:w="90" w:type="dxa"/>
            </w:tcMar>
            <w:vAlign w:val="center"/>
          </w:tcPr>
          <w:p w14:paraId="68D3369C">
            <w:pPr>
              <w:spacing w:after="0" w:line="240" w:lineRule="auto"/>
              <w:rPr>
                <w:rFonts w:asciiTheme="minorHAnsi" w:hAnsiTheme="minorHAnsi"/>
                <w:sz w:val="24"/>
                <w:szCs w:val="24"/>
              </w:rPr>
            </w:pPr>
          </w:p>
        </w:tc>
      </w:tr>
      <w:tr w14:paraId="4A7B801D">
        <w:trPr>
          <w:jc w:val="center"/>
        </w:trPr>
        <w:tc>
          <w:tcPr>
            <w:tcW w:w="1749" w:type="dxa"/>
            <w:tcMar>
              <w:top w:w="90" w:type="dxa"/>
              <w:left w:w="90" w:type="dxa"/>
              <w:bottom w:w="90" w:type="dxa"/>
              <w:right w:w="90" w:type="dxa"/>
            </w:tcMar>
            <w:vAlign w:val="center"/>
          </w:tcPr>
          <w:p w14:paraId="17326008">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029AD153">
            <w:pPr>
              <w:spacing w:after="0" w:line="240" w:lineRule="auto"/>
              <w:rPr>
                <w:rFonts w:asciiTheme="minorHAnsi" w:hAnsiTheme="minorHAnsi"/>
                <w:sz w:val="24"/>
                <w:szCs w:val="24"/>
              </w:rPr>
            </w:pPr>
            <w:r>
              <w:rPr>
                <w:rFonts w:asciiTheme="minorHAnsi" w:hAnsiTheme="minorHAnsi"/>
                <w:sz w:val="24"/>
                <w:szCs w:val="24"/>
              </w:rPr>
              <w:t>IRB approval</w:t>
            </w:r>
          </w:p>
        </w:tc>
        <w:tc>
          <w:tcPr>
            <w:tcW w:w="3969" w:type="dxa"/>
            <w:tcMar>
              <w:top w:w="90" w:type="dxa"/>
              <w:left w:w="90" w:type="dxa"/>
              <w:bottom w:w="90" w:type="dxa"/>
              <w:right w:w="90" w:type="dxa"/>
            </w:tcMar>
            <w:vAlign w:val="center"/>
          </w:tcPr>
          <w:p w14:paraId="085D1C65">
            <w:pPr>
              <w:spacing w:after="0" w:line="240" w:lineRule="auto"/>
              <w:rPr>
                <w:rFonts w:asciiTheme="minorHAnsi" w:hAnsiTheme="minorHAnsi"/>
                <w:sz w:val="24"/>
                <w:szCs w:val="24"/>
              </w:rPr>
            </w:pPr>
            <w:r>
              <w:rPr>
                <w:rFonts w:asciiTheme="minorHAnsi" w:hAnsiTheme="minorHAnsi"/>
                <w:sz w:val="24"/>
                <w:szCs w:val="24"/>
              </w:rPr>
              <w:t>A formal post hoc exemption confirmation was obtained from the Research Ethics Committee of Guangzhou Women and Children’s Medical Center after completion of the Delphi consensus exercise and before submission of the revised manuscript (Certificate No. 2026-402A01; July 16, 2026).</w:t>
            </w:r>
          </w:p>
        </w:tc>
        <w:tc>
          <w:tcPr>
            <w:tcW w:w="1908" w:type="dxa"/>
            <w:tcMar>
              <w:top w:w="90" w:type="dxa"/>
              <w:left w:w="90" w:type="dxa"/>
              <w:bottom w:w="90" w:type="dxa"/>
              <w:right w:w="90" w:type="dxa"/>
            </w:tcMar>
            <w:vAlign w:val="center"/>
          </w:tcPr>
          <w:p w14:paraId="77170DDB">
            <w:pPr>
              <w:spacing w:after="0" w:line="240" w:lineRule="auto"/>
              <w:rPr>
                <w:rFonts w:asciiTheme="minorHAnsi" w:hAnsiTheme="minorHAnsi"/>
                <w:sz w:val="24"/>
                <w:szCs w:val="24"/>
              </w:rPr>
            </w:pPr>
            <w:r>
              <w:rPr>
                <w:rFonts w:asciiTheme="minorHAnsi" w:hAnsiTheme="minorHAnsi"/>
                <w:sz w:val="24"/>
                <w:szCs w:val="24"/>
              </w:rPr>
              <w:t>Methods: Research Ethics Board Review and Informed Consent</w:t>
            </w:r>
          </w:p>
        </w:tc>
      </w:tr>
      <w:tr w14:paraId="718B410F">
        <w:trPr>
          <w:jc w:val="center"/>
        </w:trPr>
        <w:tc>
          <w:tcPr>
            <w:tcW w:w="1749" w:type="dxa"/>
            <w:tcMar>
              <w:top w:w="90" w:type="dxa"/>
              <w:left w:w="90" w:type="dxa"/>
              <w:bottom w:w="90" w:type="dxa"/>
              <w:right w:w="90" w:type="dxa"/>
            </w:tcMar>
            <w:vAlign w:val="center"/>
          </w:tcPr>
          <w:p w14:paraId="7EEEA2EF">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23EDB931">
            <w:pPr>
              <w:spacing w:after="0" w:line="240" w:lineRule="auto"/>
              <w:rPr>
                <w:rFonts w:asciiTheme="minorHAnsi" w:hAnsiTheme="minorHAnsi"/>
                <w:sz w:val="24"/>
                <w:szCs w:val="24"/>
              </w:rPr>
            </w:pPr>
            <w:r>
              <w:rPr>
                <w:rFonts w:asciiTheme="minorHAnsi" w:hAnsiTheme="minorHAnsi"/>
                <w:sz w:val="24"/>
                <w:szCs w:val="24"/>
              </w:rPr>
              <w:t>Informed consent</w:t>
            </w:r>
          </w:p>
        </w:tc>
        <w:tc>
          <w:tcPr>
            <w:tcW w:w="3969" w:type="dxa"/>
            <w:tcMar>
              <w:top w:w="90" w:type="dxa"/>
              <w:left w:w="90" w:type="dxa"/>
              <w:bottom w:w="90" w:type="dxa"/>
              <w:right w:w="90" w:type="dxa"/>
            </w:tcMar>
            <w:vAlign w:val="center"/>
          </w:tcPr>
          <w:p w14:paraId="71E644C5">
            <w:pPr>
              <w:spacing w:after="0" w:line="240" w:lineRule="auto"/>
              <w:rPr>
                <w:rFonts w:asciiTheme="minorHAnsi" w:hAnsiTheme="minorHAnsi"/>
                <w:sz w:val="24"/>
                <w:szCs w:val="24"/>
              </w:rPr>
            </w:pPr>
            <w:r>
              <w:rPr>
                <w:rFonts w:asciiTheme="minorHAnsi" w:hAnsiTheme="minorHAnsi"/>
                <w:sz w:val="24"/>
                <w:szCs w:val="24"/>
              </w:rPr>
              <w:t>The Delphi system entry page and questionnaire instructions explained the study purpose, voluntary expert contribution, intended academic use of aggregate findings, confidentiality arrangements, data-handling procedures, and acknowledgement arrangements. Completion of the questionnaire was treated as agreement to contribute professional opinions to the consensus process.</w:t>
            </w:r>
          </w:p>
        </w:tc>
        <w:tc>
          <w:tcPr>
            <w:tcW w:w="1908" w:type="dxa"/>
            <w:tcMar>
              <w:top w:w="90" w:type="dxa"/>
              <w:left w:w="90" w:type="dxa"/>
              <w:bottom w:w="90" w:type="dxa"/>
              <w:right w:w="90" w:type="dxa"/>
            </w:tcMar>
            <w:vAlign w:val="center"/>
          </w:tcPr>
          <w:p w14:paraId="29E92DB5">
            <w:pPr>
              <w:spacing w:after="0" w:line="240" w:lineRule="auto"/>
              <w:rPr>
                <w:rFonts w:asciiTheme="minorHAnsi" w:hAnsiTheme="minorHAnsi"/>
                <w:sz w:val="24"/>
                <w:szCs w:val="24"/>
              </w:rPr>
            </w:pPr>
            <w:r>
              <w:rPr>
                <w:rFonts w:asciiTheme="minorHAnsi" w:hAnsiTheme="minorHAnsi"/>
                <w:sz w:val="24"/>
                <w:szCs w:val="24"/>
              </w:rPr>
              <w:t>Methods: Research Ethics Board Review and Informed Consent</w:t>
            </w:r>
          </w:p>
        </w:tc>
      </w:tr>
      <w:tr w14:paraId="59D5E39D">
        <w:trPr>
          <w:jc w:val="center"/>
        </w:trPr>
        <w:tc>
          <w:tcPr>
            <w:tcW w:w="1749" w:type="dxa"/>
            <w:tcMar>
              <w:top w:w="90" w:type="dxa"/>
              <w:left w:w="90" w:type="dxa"/>
              <w:bottom w:w="90" w:type="dxa"/>
              <w:right w:w="90" w:type="dxa"/>
            </w:tcMar>
            <w:vAlign w:val="center"/>
          </w:tcPr>
          <w:p w14:paraId="064BC128">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233DD3CE">
            <w:pPr>
              <w:spacing w:after="0" w:line="240" w:lineRule="auto"/>
              <w:rPr>
                <w:rFonts w:asciiTheme="minorHAnsi" w:hAnsiTheme="minorHAnsi"/>
                <w:sz w:val="24"/>
                <w:szCs w:val="24"/>
              </w:rPr>
            </w:pPr>
            <w:r>
              <w:rPr>
                <w:rFonts w:asciiTheme="minorHAnsi" w:hAnsiTheme="minorHAnsi"/>
                <w:sz w:val="24"/>
                <w:szCs w:val="24"/>
              </w:rPr>
              <w:t>Data protection</w:t>
            </w:r>
          </w:p>
        </w:tc>
        <w:tc>
          <w:tcPr>
            <w:tcW w:w="3969" w:type="dxa"/>
            <w:tcMar>
              <w:top w:w="90" w:type="dxa"/>
              <w:left w:w="90" w:type="dxa"/>
              <w:bottom w:w="90" w:type="dxa"/>
              <w:right w:w="90" w:type="dxa"/>
            </w:tcMar>
            <w:vAlign w:val="center"/>
          </w:tcPr>
          <w:p w14:paraId="15F34920">
            <w:pPr>
              <w:spacing w:after="0" w:line="240" w:lineRule="auto"/>
              <w:rPr>
                <w:rFonts w:asciiTheme="minorHAnsi" w:hAnsiTheme="minorHAnsi"/>
                <w:sz w:val="24"/>
                <w:szCs w:val="24"/>
              </w:rPr>
            </w:pPr>
            <w:r>
              <w:rPr>
                <w:rFonts w:asciiTheme="minorHAnsi" w:hAnsiTheme="minorHAnsi"/>
                <w:sz w:val="24"/>
                <w:szCs w:val="24"/>
              </w:rPr>
              <w:t xml:space="preserve">Analytic Delphi responses were de-identified before analysis. Expert names and contact information were used only for panel administration and acknowledgement management. </w:t>
            </w:r>
          </w:p>
        </w:tc>
        <w:tc>
          <w:tcPr>
            <w:tcW w:w="1908" w:type="dxa"/>
            <w:tcMar>
              <w:top w:w="90" w:type="dxa"/>
              <w:left w:w="90" w:type="dxa"/>
              <w:bottom w:w="90" w:type="dxa"/>
              <w:right w:w="90" w:type="dxa"/>
            </w:tcMar>
            <w:vAlign w:val="center"/>
          </w:tcPr>
          <w:p w14:paraId="31490873">
            <w:pPr>
              <w:spacing w:after="0" w:line="240" w:lineRule="auto"/>
              <w:rPr>
                <w:rFonts w:asciiTheme="minorHAnsi" w:hAnsiTheme="minorHAnsi"/>
                <w:sz w:val="24"/>
                <w:szCs w:val="24"/>
              </w:rPr>
            </w:pPr>
            <w:r>
              <w:rPr>
                <w:rFonts w:asciiTheme="minorHAnsi" w:hAnsiTheme="minorHAnsi"/>
                <w:sz w:val="24"/>
                <w:szCs w:val="24"/>
              </w:rPr>
              <w:t>Methods: Research Ethics Board Review and Informed Consent; Results: Delphi Expert Panel Characteristics</w:t>
            </w:r>
          </w:p>
        </w:tc>
      </w:tr>
      <w:tr w14:paraId="269E2309">
        <w:trPr>
          <w:jc w:val="center"/>
        </w:trPr>
        <w:tc>
          <w:tcPr>
            <w:tcW w:w="3875" w:type="dxa"/>
            <w:gridSpan w:val="2"/>
            <w:tcMar>
              <w:top w:w="90" w:type="dxa"/>
              <w:left w:w="90" w:type="dxa"/>
              <w:bottom w:w="90" w:type="dxa"/>
              <w:right w:w="90" w:type="dxa"/>
            </w:tcMar>
            <w:vAlign w:val="center"/>
          </w:tcPr>
          <w:p w14:paraId="50DDC932">
            <w:pPr>
              <w:spacing w:after="0" w:line="240" w:lineRule="auto"/>
              <w:rPr>
                <w:rFonts w:asciiTheme="minorHAnsi" w:hAnsiTheme="minorHAnsi"/>
                <w:sz w:val="24"/>
                <w:szCs w:val="24"/>
              </w:rPr>
            </w:pPr>
            <w:r>
              <w:rPr>
                <w:rFonts w:asciiTheme="minorHAnsi" w:hAnsiTheme="minorHAnsi"/>
                <w:b/>
                <w:sz w:val="24"/>
                <w:szCs w:val="24"/>
              </w:rPr>
              <w:t>Development and pre-testing</w:t>
            </w:r>
          </w:p>
        </w:tc>
        <w:tc>
          <w:tcPr>
            <w:tcW w:w="3969" w:type="dxa"/>
            <w:tcMar>
              <w:top w:w="90" w:type="dxa"/>
              <w:left w:w="90" w:type="dxa"/>
              <w:bottom w:w="90" w:type="dxa"/>
              <w:right w:w="90" w:type="dxa"/>
            </w:tcMar>
            <w:vAlign w:val="center"/>
          </w:tcPr>
          <w:p w14:paraId="677C60F9">
            <w:pPr>
              <w:spacing w:after="0" w:line="240" w:lineRule="auto"/>
              <w:rPr>
                <w:rFonts w:asciiTheme="minorHAnsi" w:hAnsiTheme="minorHAnsi"/>
                <w:sz w:val="24"/>
                <w:szCs w:val="24"/>
              </w:rPr>
            </w:pPr>
          </w:p>
        </w:tc>
        <w:tc>
          <w:tcPr>
            <w:tcW w:w="1908" w:type="dxa"/>
            <w:tcMar>
              <w:top w:w="90" w:type="dxa"/>
              <w:left w:w="90" w:type="dxa"/>
              <w:bottom w:w="90" w:type="dxa"/>
              <w:right w:w="90" w:type="dxa"/>
            </w:tcMar>
            <w:vAlign w:val="center"/>
          </w:tcPr>
          <w:p w14:paraId="29A12892">
            <w:pPr>
              <w:spacing w:after="0" w:line="240" w:lineRule="auto"/>
              <w:rPr>
                <w:rFonts w:asciiTheme="minorHAnsi" w:hAnsiTheme="minorHAnsi"/>
                <w:sz w:val="24"/>
                <w:szCs w:val="24"/>
              </w:rPr>
            </w:pPr>
          </w:p>
        </w:tc>
      </w:tr>
      <w:tr w14:paraId="0B7F17BF">
        <w:trPr>
          <w:jc w:val="center"/>
        </w:trPr>
        <w:tc>
          <w:tcPr>
            <w:tcW w:w="1749" w:type="dxa"/>
            <w:tcMar>
              <w:top w:w="90" w:type="dxa"/>
              <w:left w:w="90" w:type="dxa"/>
              <w:bottom w:w="90" w:type="dxa"/>
              <w:right w:w="90" w:type="dxa"/>
            </w:tcMar>
            <w:vAlign w:val="center"/>
          </w:tcPr>
          <w:p w14:paraId="7D89F4F1">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3086CBDF">
            <w:pPr>
              <w:spacing w:after="0" w:line="240" w:lineRule="auto"/>
              <w:rPr>
                <w:rFonts w:asciiTheme="minorHAnsi" w:hAnsiTheme="minorHAnsi"/>
                <w:sz w:val="24"/>
                <w:szCs w:val="24"/>
              </w:rPr>
            </w:pPr>
            <w:r>
              <w:rPr>
                <w:rFonts w:asciiTheme="minorHAnsi" w:hAnsiTheme="minorHAnsi"/>
                <w:sz w:val="24"/>
                <w:szCs w:val="24"/>
              </w:rPr>
              <w:t>Development and testing</w:t>
            </w:r>
          </w:p>
        </w:tc>
        <w:tc>
          <w:tcPr>
            <w:tcW w:w="3969" w:type="dxa"/>
            <w:tcMar>
              <w:top w:w="90" w:type="dxa"/>
              <w:left w:w="90" w:type="dxa"/>
              <w:bottom w:w="90" w:type="dxa"/>
              <w:right w:w="90" w:type="dxa"/>
            </w:tcMar>
            <w:vAlign w:val="center"/>
          </w:tcPr>
          <w:p w14:paraId="3E47E954">
            <w:pPr>
              <w:spacing w:after="0" w:line="240" w:lineRule="auto"/>
              <w:rPr>
                <w:rFonts w:asciiTheme="minorHAnsi" w:hAnsiTheme="minorHAnsi"/>
                <w:sz w:val="24"/>
                <w:szCs w:val="24"/>
              </w:rPr>
            </w:pPr>
            <w:r>
              <w:t>Questionnaire content was derived from literature synthesis, structured competency extraction, and expert pre-consultation. Expert feedback expanded the initial 20-item competency pool to 25 competency statements. The Delphi questionnaires and detailed results are provided in Additional file 10. Separate technical usability testing of the Wenjuanxing form was not reported.</w:t>
            </w:r>
          </w:p>
        </w:tc>
        <w:tc>
          <w:tcPr>
            <w:tcW w:w="1908" w:type="dxa"/>
            <w:tcMar>
              <w:top w:w="90" w:type="dxa"/>
              <w:left w:w="90" w:type="dxa"/>
              <w:bottom w:w="90" w:type="dxa"/>
              <w:right w:w="90" w:type="dxa"/>
            </w:tcMar>
            <w:vAlign w:val="center"/>
          </w:tcPr>
          <w:p w14:paraId="67CF01A5">
            <w:pPr>
              <w:spacing w:after="0" w:line="240" w:lineRule="auto"/>
              <w:rPr>
                <w:rFonts w:asciiTheme="minorHAnsi" w:hAnsiTheme="minorHAnsi"/>
                <w:sz w:val="24"/>
                <w:szCs w:val="24"/>
              </w:rPr>
            </w:pPr>
            <w:r>
              <w:t>Methods: Literature Search and Competency Extraction; First Expert Consensus Meeting; Delphi Panel and Procedure; Additional file 10</w:t>
            </w:r>
          </w:p>
        </w:tc>
      </w:tr>
      <w:tr w14:paraId="546A16CA">
        <w:trPr>
          <w:jc w:val="center"/>
        </w:trPr>
        <w:tc>
          <w:tcPr>
            <w:tcW w:w="3875" w:type="dxa"/>
            <w:gridSpan w:val="2"/>
            <w:tcMar>
              <w:top w:w="90" w:type="dxa"/>
              <w:left w:w="90" w:type="dxa"/>
              <w:bottom w:w="90" w:type="dxa"/>
              <w:right w:w="90" w:type="dxa"/>
            </w:tcMar>
            <w:vAlign w:val="center"/>
          </w:tcPr>
          <w:p w14:paraId="2356EBD9">
            <w:pPr>
              <w:spacing w:after="0" w:line="240" w:lineRule="auto"/>
              <w:rPr>
                <w:rFonts w:asciiTheme="minorHAnsi" w:hAnsiTheme="minorHAnsi"/>
                <w:sz w:val="24"/>
                <w:szCs w:val="24"/>
              </w:rPr>
            </w:pPr>
            <w:r>
              <w:rPr>
                <w:rFonts w:asciiTheme="minorHAnsi" w:hAnsiTheme="minorHAnsi"/>
                <w:b/>
                <w:sz w:val="24"/>
                <w:szCs w:val="24"/>
              </w:rPr>
              <w:t>Recruitment process and description of the sample having access to the questionnaire</w:t>
            </w:r>
          </w:p>
        </w:tc>
        <w:tc>
          <w:tcPr>
            <w:tcW w:w="3969" w:type="dxa"/>
            <w:tcMar>
              <w:top w:w="90" w:type="dxa"/>
              <w:left w:w="90" w:type="dxa"/>
              <w:bottom w:w="90" w:type="dxa"/>
              <w:right w:w="90" w:type="dxa"/>
            </w:tcMar>
            <w:vAlign w:val="center"/>
          </w:tcPr>
          <w:p w14:paraId="58A29762">
            <w:pPr>
              <w:spacing w:after="0" w:line="240" w:lineRule="auto"/>
              <w:rPr>
                <w:rFonts w:asciiTheme="minorHAnsi" w:hAnsiTheme="minorHAnsi"/>
                <w:sz w:val="24"/>
                <w:szCs w:val="24"/>
              </w:rPr>
            </w:pPr>
          </w:p>
        </w:tc>
        <w:tc>
          <w:tcPr>
            <w:tcW w:w="1908" w:type="dxa"/>
            <w:tcMar>
              <w:top w:w="90" w:type="dxa"/>
              <w:left w:w="90" w:type="dxa"/>
              <w:bottom w:w="90" w:type="dxa"/>
              <w:right w:w="90" w:type="dxa"/>
            </w:tcMar>
            <w:vAlign w:val="center"/>
          </w:tcPr>
          <w:p w14:paraId="7096633D">
            <w:pPr>
              <w:spacing w:after="0" w:line="240" w:lineRule="auto"/>
              <w:rPr>
                <w:rFonts w:asciiTheme="minorHAnsi" w:hAnsiTheme="minorHAnsi"/>
                <w:sz w:val="24"/>
                <w:szCs w:val="24"/>
              </w:rPr>
            </w:pPr>
          </w:p>
        </w:tc>
      </w:tr>
      <w:tr w14:paraId="3A5BA583">
        <w:trPr>
          <w:jc w:val="center"/>
        </w:trPr>
        <w:tc>
          <w:tcPr>
            <w:tcW w:w="1749" w:type="dxa"/>
            <w:tcMar>
              <w:top w:w="90" w:type="dxa"/>
              <w:left w:w="90" w:type="dxa"/>
              <w:bottom w:w="90" w:type="dxa"/>
              <w:right w:w="90" w:type="dxa"/>
            </w:tcMar>
            <w:vAlign w:val="center"/>
          </w:tcPr>
          <w:p w14:paraId="25BEB715">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2082590D">
            <w:pPr>
              <w:spacing w:after="0" w:line="240" w:lineRule="auto"/>
              <w:rPr>
                <w:rFonts w:asciiTheme="minorHAnsi" w:hAnsiTheme="minorHAnsi"/>
                <w:sz w:val="24"/>
                <w:szCs w:val="24"/>
              </w:rPr>
            </w:pPr>
            <w:r>
              <w:rPr>
                <w:rFonts w:asciiTheme="minorHAnsi" w:hAnsiTheme="minorHAnsi"/>
                <w:sz w:val="24"/>
                <w:szCs w:val="24"/>
              </w:rPr>
              <w:t>Open survey versus closed survey</w:t>
            </w:r>
          </w:p>
        </w:tc>
        <w:tc>
          <w:tcPr>
            <w:tcW w:w="3969" w:type="dxa"/>
            <w:tcMar>
              <w:top w:w="90" w:type="dxa"/>
              <w:left w:w="90" w:type="dxa"/>
              <w:bottom w:w="90" w:type="dxa"/>
              <w:right w:w="90" w:type="dxa"/>
            </w:tcMar>
            <w:vAlign w:val="center"/>
          </w:tcPr>
          <w:p w14:paraId="439F18F2">
            <w:pPr>
              <w:spacing w:after="0" w:line="240" w:lineRule="auto"/>
              <w:rPr>
                <w:rFonts w:asciiTheme="minorHAnsi" w:hAnsiTheme="minorHAnsi"/>
                <w:sz w:val="24"/>
                <w:szCs w:val="24"/>
              </w:rPr>
            </w:pPr>
            <w:r>
              <w:rPr>
                <w:rFonts w:asciiTheme="minorHAnsi" w:hAnsiTheme="minorHAnsi"/>
                <w:sz w:val="24"/>
                <w:szCs w:val="24"/>
              </w:rPr>
              <w:t>Closed survey. The questionnaires were restricted to the same invited expert panel of 60 experts in both Delphi rounds and were not openly accessible to the public.</w:t>
            </w:r>
          </w:p>
        </w:tc>
        <w:tc>
          <w:tcPr>
            <w:tcW w:w="1908" w:type="dxa"/>
            <w:tcMar>
              <w:top w:w="90" w:type="dxa"/>
              <w:left w:w="90" w:type="dxa"/>
              <w:bottom w:w="90" w:type="dxa"/>
              <w:right w:w="90" w:type="dxa"/>
            </w:tcMar>
            <w:vAlign w:val="center"/>
          </w:tcPr>
          <w:p w14:paraId="498CD1DB">
            <w:pPr>
              <w:spacing w:after="0" w:line="240" w:lineRule="auto"/>
              <w:rPr>
                <w:rFonts w:asciiTheme="minorHAnsi" w:hAnsiTheme="minorHAnsi"/>
                <w:sz w:val="24"/>
                <w:szCs w:val="24"/>
              </w:rPr>
            </w:pPr>
            <w:r>
              <w:rPr>
                <w:rFonts w:asciiTheme="minorHAnsi" w:hAnsiTheme="minorHAnsi"/>
                <w:sz w:val="24"/>
                <w:szCs w:val="24"/>
              </w:rPr>
              <w:t>Methods: Delphi Panel and Procedure; Results: Expert Response Rate</w:t>
            </w:r>
          </w:p>
        </w:tc>
      </w:tr>
      <w:tr w14:paraId="214EB010">
        <w:trPr>
          <w:jc w:val="center"/>
        </w:trPr>
        <w:tc>
          <w:tcPr>
            <w:tcW w:w="1749" w:type="dxa"/>
            <w:tcMar>
              <w:top w:w="90" w:type="dxa"/>
              <w:left w:w="90" w:type="dxa"/>
              <w:bottom w:w="90" w:type="dxa"/>
              <w:right w:w="90" w:type="dxa"/>
            </w:tcMar>
            <w:vAlign w:val="center"/>
          </w:tcPr>
          <w:p w14:paraId="68E95C18">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5B7EE5D3">
            <w:pPr>
              <w:spacing w:after="0" w:line="240" w:lineRule="auto"/>
              <w:rPr>
                <w:rFonts w:asciiTheme="minorHAnsi" w:hAnsiTheme="minorHAnsi"/>
                <w:sz w:val="24"/>
                <w:szCs w:val="24"/>
              </w:rPr>
            </w:pPr>
            <w:r>
              <w:rPr>
                <w:rFonts w:asciiTheme="minorHAnsi" w:hAnsiTheme="minorHAnsi"/>
                <w:sz w:val="24"/>
                <w:szCs w:val="24"/>
              </w:rPr>
              <w:t>Contact mode</w:t>
            </w:r>
          </w:p>
        </w:tc>
        <w:tc>
          <w:tcPr>
            <w:tcW w:w="3969" w:type="dxa"/>
            <w:tcMar>
              <w:top w:w="90" w:type="dxa"/>
              <w:left w:w="90" w:type="dxa"/>
              <w:bottom w:w="90" w:type="dxa"/>
              <w:right w:w="90" w:type="dxa"/>
            </w:tcMar>
            <w:vAlign w:val="center"/>
          </w:tcPr>
          <w:p w14:paraId="2E43B914">
            <w:pPr>
              <w:spacing w:after="0" w:line="240" w:lineRule="auto"/>
              <w:rPr>
                <w:rFonts w:asciiTheme="minorHAnsi" w:hAnsiTheme="minorHAnsi"/>
                <w:sz w:val="24"/>
                <w:szCs w:val="24"/>
              </w:rPr>
            </w:pPr>
            <w:r>
              <w:rPr>
                <w:rFonts w:asciiTheme="minorHAnsi" w:hAnsiTheme="minorHAnsi"/>
                <w:sz w:val="24"/>
                <w:szCs w:val="24"/>
              </w:rPr>
              <w:t>Experts were recruited using purposive sampling with snowball nomination. Survey access was administered through the invited expert panel and Wenjuanxing platform during dedicated research meetings.</w:t>
            </w:r>
          </w:p>
        </w:tc>
        <w:tc>
          <w:tcPr>
            <w:tcW w:w="1908" w:type="dxa"/>
            <w:tcMar>
              <w:top w:w="90" w:type="dxa"/>
              <w:left w:w="90" w:type="dxa"/>
              <w:bottom w:w="90" w:type="dxa"/>
              <w:right w:w="90" w:type="dxa"/>
            </w:tcMar>
            <w:vAlign w:val="center"/>
          </w:tcPr>
          <w:p w14:paraId="771FFD8B">
            <w:pPr>
              <w:spacing w:after="0" w:line="240" w:lineRule="auto"/>
              <w:rPr>
                <w:rFonts w:asciiTheme="minorHAnsi" w:hAnsiTheme="minorHAnsi"/>
                <w:sz w:val="24"/>
                <w:szCs w:val="24"/>
              </w:rPr>
            </w:pPr>
            <w:r>
              <w:rPr>
                <w:rFonts w:asciiTheme="minorHAnsi" w:hAnsiTheme="minorHAnsi"/>
                <w:sz w:val="24"/>
                <w:szCs w:val="24"/>
              </w:rPr>
              <w:t>Methods: Delphi Panel and Procedure; Results: Expert Response Rate</w:t>
            </w:r>
          </w:p>
        </w:tc>
      </w:tr>
      <w:tr w14:paraId="77284E1D">
        <w:trPr>
          <w:jc w:val="center"/>
        </w:trPr>
        <w:tc>
          <w:tcPr>
            <w:tcW w:w="1749" w:type="dxa"/>
            <w:tcMar>
              <w:top w:w="90" w:type="dxa"/>
              <w:left w:w="90" w:type="dxa"/>
              <w:bottom w:w="90" w:type="dxa"/>
              <w:right w:w="90" w:type="dxa"/>
            </w:tcMar>
            <w:vAlign w:val="center"/>
          </w:tcPr>
          <w:p w14:paraId="62C5254F">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40353D30">
            <w:pPr>
              <w:spacing w:after="0" w:line="240" w:lineRule="auto"/>
              <w:rPr>
                <w:rFonts w:asciiTheme="minorHAnsi" w:hAnsiTheme="minorHAnsi"/>
                <w:sz w:val="24"/>
                <w:szCs w:val="24"/>
              </w:rPr>
            </w:pPr>
            <w:r>
              <w:rPr>
                <w:rFonts w:asciiTheme="minorHAnsi" w:hAnsiTheme="minorHAnsi"/>
                <w:sz w:val="24"/>
                <w:szCs w:val="24"/>
              </w:rPr>
              <w:t>Advertising the survey</w:t>
            </w:r>
          </w:p>
        </w:tc>
        <w:tc>
          <w:tcPr>
            <w:tcW w:w="3969" w:type="dxa"/>
            <w:tcMar>
              <w:top w:w="90" w:type="dxa"/>
              <w:left w:w="90" w:type="dxa"/>
              <w:bottom w:w="90" w:type="dxa"/>
              <w:right w:w="90" w:type="dxa"/>
            </w:tcMar>
            <w:vAlign w:val="center"/>
          </w:tcPr>
          <w:p w14:paraId="55792D15">
            <w:pPr>
              <w:spacing w:after="0" w:line="240" w:lineRule="auto"/>
              <w:rPr>
                <w:rFonts w:asciiTheme="minorHAnsi" w:hAnsiTheme="minorHAnsi"/>
                <w:sz w:val="24"/>
                <w:szCs w:val="24"/>
              </w:rPr>
            </w:pPr>
            <w:r>
              <w:rPr>
                <w:rFonts w:asciiTheme="minorHAnsi" w:hAnsiTheme="minorHAnsi"/>
                <w:sz w:val="24"/>
                <w:szCs w:val="24"/>
              </w:rPr>
              <w:t>Not applicable. No open public advertising, mailing-list recruitment, banner advertisement, or public survey announcement was used.</w:t>
            </w:r>
          </w:p>
        </w:tc>
        <w:tc>
          <w:tcPr>
            <w:tcW w:w="1908" w:type="dxa"/>
            <w:tcMar>
              <w:top w:w="90" w:type="dxa"/>
              <w:left w:w="90" w:type="dxa"/>
              <w:bottom w:w="90" w:type="dxa"/>
              <w:right w:w="90" w:type="dxa"/>
            </w:tcMar>
            <w:vAlign w:val="center"/>
          </w:tcPr>
          <w:p w14:paraId="24C365E2">
            <w:pPr>
              <w:spacing w:after="0" w:line="240" w:lineRule="auto"/>
              <w:rPr>
                <w:rFonts w:asciiTheme="minorHAnsi" w:hAnsiTheme="minorHAnsi"/>
                <w:sz w:val="24"/>
                <w:szCs w:val="24"/>
              </w:rPr>
            </w:pPr>
            <w:r>
              <w:rPr>
                <w:rFonts w:asciiTheme="minorHAnsi" w:hAnsiTheme="minorHAnsi"/>
                <w:sz w:val="24"/>
                <w:szCs w:val="24"/>
              </w:rPr>
              <w:t>Methods: Delphi Panel and Procedure</w:t>
            </w:r>
          </w:p>
        </w:tc>
      </w:tr>
      <w:tr w14:paraId="606A2B5B">
        <w:trPr>
          <w:jc w:val="center"/>
        </w:trPr>
        <w:tc>
          <w:tcPr>
            <w:tcW w:w="3875" w:type="dxa"/>
            <w:gridSpan w:val="2"/>
            <w:tcMar>
              <w:top w:w="90" w:type="dxa"/>
              <w:left w:w="90" w:type="dxa"/>
              <w:bottom w:w="90" w:type="dxa"/>
              <w:right w:w="90" w:type="dxa"/>
            </w:tcMar>
            <w:vAlign w:val="center"/>
          </w:tcPr>
          <w:p w14:paraId="4B9F0052">
            <w:pPr>
              <w:spacing w:after="0" w:line="240" w:lineRule="auto"/>
              <w:rPr>
                <w:rFonts w:asciiTheme="minorHAnsi" w:hAnsiTheme="minorHAnsi"/>
                <w:sz w:val="24"/>
                <w:szCs w:val="24"/>
              </w:rPr>
            </w:pPr>
            <w:r>
              <w:rPr>
                <w:rFonts w:asciiTheme="minorHAnsi" w:hAnsiTheme="minorHAnsi"/>
                <w:b/>
                <w:sz w:val="24"/>
                <w:szCs w:val="24"/>
              </w:rPr>
              <w:t>Survey administration</w:t>
            </w:r>
          </w:p>
        </w:tc>
        <w:tc>
          <w:tcPr>
            <w:tcW w:w="3969" w:type="dxa"/>
            <w:tcMar>
              <w:top w:w="90" w:type="dxa"/>
              <w:left w:w="90" w:type="dxa"/>
              <w:bottom w:w="90" w:type="dxa"/>
              <w:right w:w="90" w:type="dxa"/>
            </w:tcMar>
            <w:vAlign w:val="center"/>
          </w:tcPr>
          <w:p w14:paraId="2DDC3982">
            <w:pPr>
              <w:spacing w:after="0" w:line="240" w:lineRule="auto"/>
              <w:rPr>
                <w:rFonts w:asciiTheme="minorHAnsi" w:hAnsiTheme="minorHAnsi"/>
                <w:sz w:val="24"/>
                <w:szCs w:val="24"/>
              </w:rPr>
            </w:pPr>
          </w:p>
        </w:tc>
        <w:tc>
          <w:tcPr>
            <w:tcW w:w="1908" w:type="dxa"/>
            <w:tcMar>
              <w:top w:w="90" w:type="dxa"/>
              <w:left w:w="90" w:type="dxa"/>
              <w:bottom w:w="90" w:type="dxa"/>
              <w:right w:w="90" w:type="dxa"/>
            </w:tcMar>
            <w:vAlign w:val="center"/>
          </w:tcPr>
          <w:p w14:paraId="74970365">
            <w:pPr>
              <w:spacing w:after="0" w:line="240" w:lineRule="auto"/>
              <w:rPr>
                <w:rFonts w:asciiTheme="minorHAnsi" w:hAnsiTheme="minorHAnsi"/>
                <w:sz w:val="24"/>
                <w:szCs w:val="24"/>
              </w:rPr>
            </w:pPr>
          </w:p>
        </w:tc>
      </w:tr>
      <w:tr w14:paraId="20A2879D">
        <w:trPr>
          <w:jc w:val="center"/>
        </w:trPr>
        <w:tc>
          <w:tcPr>
            <w:tcW w:w="1749" w:type="dxa"/>
            <w:tcMar>
              <w:top w:w="90" w:type="dxa"/>
              <w:left w:w="90" w:type="dxa"/>
              <w:bottom w:w="90" w:type="dxa"/>
              <w:right w:w="90" w:type="dxa"/>
            </w:tcMar>
            <w:vAlign w:val="center"/>
          </w:tcPr>
          <w:p w14:paraId="6049A585">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045FCA3E">
            <w:pPr>
              <w:spacing w:after="0" w:line="240" w:lineRule="auto"/>
              <w:rPr>
                <w:rFonts w:asciiTheme="minorHAnsi" w:hAnsiTheme="minorHAnsi"/>
                <w:sz w:val="24"/>
                <w:szCs w:val="24"/>
              </w:rPr>
            </w:pPr>
            <w:r>
              <w:rPr>
                <w:rFonts w:asciiTheme="minorHAnsi" w:hAnsiTheme="minorHAnsi"/>
                <w:sz w:val="24"/>
                <w:szCs w:val="24"/>
              </w:rPr>
              <w:t>Web/E-mail</w:t>
            </w:r>
          </w:p>
        </w:tc>
        <w:tc>
          <w:tcPr>
            <w:tcW w:w="3969" w:type="dxa"/>
            <w:tcMar>
              <w:top w:w="90" w:type="dxa"/>
              <w:left w:w="90" w:type="dxa"/>
              <w:bottom w:w="90" w:type="dxa"/>
              <w:right w:w="90" w:type="dxa"/>
            </w:tcMar>
            <w:vAlign w:val="center"/>
          </w:tcPr>
          <w:p w14:paraId="69DE67B7">
            <w:pPr>
              <w:spacing w:after="0" w:line="240" w:lineRule="auto"/>
              <w:rPr>
                <w:rFonts w:asciiTheme="minorHAnsi" w:hAnsiTheme="minorHAnsi"/>
                <w:sz w:val="24"/>
                <w:szCs w:val="24"/>
              </w:rPr>
            </w:pPr>
            <w:r>
              <w:rPr>
                <w:rFonts w:asciiTheme="minorHAnsi" w:hAnsiTheme="minorHAnsi"/>
                <w:sz w:val="24"/>
                <w:szCs w:val="24"/>
              </w:rPr>
              <w:t>Data were collected using Wenjuanxing, a web-based survey platform. Responses were entered through the web-based questionnaire rather than manually transcribed from paper forms.</w:t>
            </w:r>
          </w:p>
        </w:tc>
        <w:tc>
          <w:tcPr>
            <w:tcW w:w="1908" w:type="dxa"/>
            <w:tcMar>
              <w:top w:w="90" w:type="dxa"/>
              <w:left w:w="90" w:type="dxa"/>
              <w:bottom w:w="90" w:type="dxa"/>
              <w:right w:w="90" w:type="dxa"/>
            </w:tcMar>
            <w:vAlign w:val="center"/>
          </w:tcPr>
          <w:p w14:paraId="143DC45B">
            <w:pPr>
              <w:spacing w:after="0" w:line="240" w:lineRule="auto"/>
              <w:rPr>
                <w:rFonts w:asciiTheme="minorHAnsi" w:hAnsiTheme="minorHAnsi"/>
                <w:sz w:val="24"/>
                <w:szCs w:val="24"/>
              </w:rPr>
            </w:pPr>
            <w:r>
              <w:rPr>
                <w:rFonts w:asciiTheme="minorHAnsi" w:hAnsiTheme="minorHAnsi"/>
                <w:sz w:val="24"/>
                <w:szCs w:val="24"/>
              </w:rPr>
              <w:t>Results: Expert Response Rate</w:t>
            </w:r>
          </w:p>
        </w:tc>
      </w:tr>
      <w:tr w14:paraId="5C1CA07C">
        <w:trPr>
          <w:jc w:val="center"/>
        </w:trPr>
        <w:tc>
          <w:tcPr>
            <w:tcW w:w="1749" w:type="dxa"/>
            <w:tcMar>
              <w:top w:w="90" w:type="dxa"/>
              <w:left w:w="90" w:type="dxa"/>
              <w:bottom w:w="90" w:type="dxa"/>
              <w:right w:w="90" w:type="dxa"/>
            </w:tcMar>
            <w:vAlign w:val="center"/>
          </w:tcPr>
          <w:p w14:paraId="1639607D">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323755B5">
            <w:pPr>
              <w:spacing w:after="0" w:line="240" w:lineRule="auto"/>
              <w:rPr>
                <w:rFonts w:asciiTheme="minorHAnsi" w:hAnsiTheme="minorHAnsi"/>
                <w:sz w:val="24"/>
                <w:szCs w:val="24"/>
              </w:rPr>
            </w:pPr>
            <w:r>
              <w:rPr>
                <w:rFonts w:asciiTheme="minorHAnsi" w:hAnsiTheme="minorHAnsi"/>
                <w:sz w:val="24"/>
                <w:szCs w:val="24"/>
              </w:rPr>
              <w:t>Context</w:t>
            </w:r>
          </w:p>
        </w:tc>
        <w:tc>
          <w:tcPr>
            <w:tcW w:w="3969" w:type="dxa"/>
            <w:tcMar>
              <w:top w:w="90" w:type="dxa"/>
              <w:left w:w="90" w:type="dxa"/>
              <w:bottom w:w="90" w:type="dxa"/>
              <w:right w:w="90" w:type="dxa"/>
            </w:tcMar>
            <w:vAlign w:val="center"/>
          </w:tcPr>
          <w:p w14:paraId="0FDFC05F">
            <w:pPr>
              <w:spacing w:after="0" w:line="240" w:lineRule="auto"/>
              <w:rPr>
                <w:rFonts w:asciiTheme="minorHAnsi" w:hAnsiTheme="minorHAnsi"/>
                <w:sz w:val="24"/>
                <w:szCs w:val="24"/>
              </w:rPr>
            </w:pPr>
            <w:r>
              <w:rPr>
                <w:rFonts w:asciiTheme="minorHAnsi" w:hAnsiTheme="minorHAnsi"/>
                <w:sz w:val="24"/>
                <w:szCs w:val="24"/>
              </w:rPr>
              <w:t>The survey was administered as part of a closed expert Delphi consensus process during dedicated research meetings. It was not posted on a public website and was not linked to public website traffic.</w:t>
            </w:r>
          </w:p>
        </w:tc>
        <w:tc>
          <w:tcPr>
            <w:tcW w:w="1908" w:type="dxa"/>
            <w:tcMar>
              <w:top w:w="90" w:type="dxa"/>
              <w:left w:w="90" w:type="dxa"/>
              <w:bottom w:w="90" w:type="dxa"/>
              <w:right w:w="90" w:type="dxa"/>
            </w:tcMar>
            <w:vAlign w:val="center"/>
          </w:tcPr>
          <w:p w14:paraId="15E3B828">
            <w:pPr>
              <w:spacing w:after="0" w:line="240" w:lineRule="auto"/>
              <w:rPr>
                <w:rFonts w:asciiTheme="minorHAnsi" w:hAnsiTheme="minorHAnsi"/>
                <w:sz w:val="24"/>
                <w:szCs w:val="24"/>
              </w:rPr>
            </w:pPr>
            <w:r>
              <w:rPr>
                <w:rFonts w:asciiTheme="minorHAnsi" w:hAnsiTheme="minorHAnsi"/>
                <w:sz w:val="24"/>
                <w:szCs w:val="24"/>
              </w:rPr>
              <w:t>Methods: Delphi Panel and Procedure; Results: Expert Response Rate</w:t>
            </w:r>
          </w:p>
        </w:tc>
      </w:tr>
      <w:tr w14:paraId="405398CA">
        <w:trPr>
          <w:jc w:val="center"/>
        </w:trPr>
        <w:tc>
          <w:tcPr>
            <w:tcW w:w="1749" w:type="dxa"/>
            <w:tcMar>
              <w:top w:w="90" w:type="dxa"/>
              <w:left w:w="90" w:type="dxa"/>
              <w:bottom w:w="90" w:type="dxa"/>
              <w:right w:w="90" w:type="dxa"/>
            </w:tcMar>
            <w:vAlign w:val="center"/>
          </w:tcPr>
          <w:p w14:paraId="5145999A">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762279A4">
            <w:pPr>
              <w:spacing w:after="0" w:line="240" w:lineRule="auto"/>
              <w:rPr>
                <w:rFonts w:asciiTheme="minorHAnsi" w:hAnsiTheme="minorHAnsi"/>
                <w:sz w:val="24"/>
                <w:szCs w:val="24"/>
              </w:rPr>
            </w:pPr>
            <w:r>
              <w:rPr>
                <w:rFonts w:asciiTheme="minorHAnsi" w:hAnsiTheme="minorHAnsi"/>
                <w:sz w:val="24"/>
                <w:szCs w:val="24"/>
              </w:rPr>
              <w:t>Mandatory/voluntary</w:t>
            </w:r>
          </w:p>
        </w:tc>
        <w:tc>
          <w:tcPr>
            <w:tcW w:w="3969" w:type="dxa"/>
            <w:tcMar>
              <w:top w:w="90" w:type="dxa"/>
              <w:left w:w="90" w:type="dxa"/>
              <w:bottom w:w="90" w:type="dxa"/>
              <w:right w:w="90" w:type="dxa"/>
            </w:tcMar>
            <w:vAlign w:val="center"/>
          </w:tcPr>
          <w:p w14:paraId="23A17A79">
            <w:pPr>
              <w:spacing w:after="0" w:line="240" w:lineRule="auto"/>
              <w:rPr>
                <w:rFonts w:asciiTheme="minorHAnsi" w:hAnsiTheme="minorHAnsi"/>
                <w:sz w:val="24"/>
                <w:szCs w:val="24"/>
              </w:rPr>
            </w:pPr>
            <w:r>
              <w:rPr>
                <w:rFonts w:asciiTheme="minorHAnsi" w:hAnsiTheme="minorHAnsi"/>
                <w:sz w:val="24"/>
                <w:szCs w:val="24"/>
              </w:rPr>
              <w:t>Participation was voluntary. Questionnaire entry materials explained the voluntary nature of expert contribution.</w:t>
            </w:r>
          </w:p>
        </w:tc>
        <w:tc>
          <w:tcPr>
            <w:tcW w:w="1908" w:type="dxa"/>
            <w:tcMar>
              <w:top w:w="90" w:type="dxa"/>
              <w:left w:w="90" w:type="dxa"/>
              <w:bottom w:w="90" w:type="dxa"/>
              <w:right w:w="90" w:type="dxa"/>
            </w:tcMar>
            <w:vAlign w:val="center"/>
          </w:tcPr>
          <w:p w14:paraId="04E42B09">
            <w:pPr>
              <w:spacing w:after="0" w:line="240" w:lineRule="auto"/>
              <w:rPr>
                <w:rFonts w:asciiTheme="minorHAnsi" w:hAnsiTheme="minorHAnsi"/>
                <w:sz w:val="24"/>
                <w:szCs w:val="24"/>
              </w:rPr>
            </w:pPr>
            <w:r>
              <w:rPr>
                <w:rFonts w:asciiTheme="minorHAnsi" w:hAnsiTheme="minorHAnsi"/>
                <w:sz w:val="24"/>
                <w:szCs w:val="24"/>
              </w:rPr>
              <w:t>Methods: Research Ethics Board Review and Informed Consent</w:t>
            </w:r>
          </w:p>
        </w:tc>
      </w:tr>
      <w:tr w14:paraId="0AB427E4">
        <w:trPr>
          <w:jc w:val="center"/>
        </w:trPr>
        <w:tc>
          <w:tcPr>
            <w:tcW w:w="1749" w:type="dxa"/>
            <w:tcMar>
              <w:top w:w="90" w:type="dxa"/>
              <w:left w:w="90" w:type="dxa"/>
              <w:bottom w:w="90" w:type="dxa"/>
              <w:right w:w="90" w:type="dxa"/>
            </w:tcMar>
            <w:vAlign w:val="center"/>
          </w:tcPr>
          <w:p w14:paraId="621950C7">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003CC281">
            <w:pPr>
              <w:spacing w:after="0" w:line="240" w:lineRule="auto"/>
              <w:rPr>
                <w:rFonts w:asciiTheme="minorHAnsi" w:hAnsiTheme="minorHAnsi"/>
                <w:sz w:val="24"/>
                <w:szCs w:val="24"/>
              </w:rPr>
            </w:pPr>
            <w:r>
              <w:rPr>
                <w:rFonts w:asciiTheme="minorHAnsi" w:hAnsiTheme="minorHAnsi"/>
                <w:sz w:val="24"/>
                <w:szCs w:val="24"/>
              </w:rPr>
              <w:t>Incentives</w:t>
            </w:r>
          </w:p>
        </w:tc>
        <w:tc>
          <w:tcPr>
            <w:tcW w:w="3969" w:type="dxa"/>
            <w:tcMar>
              <w:top w:w="90" w:type="dxa"/>
              <w:left w:w="90" w:type="dxa"/>
              <w:bottom w:w="90" w:type="dxa"/>
              <w:right w:w="90" w:type="dxa"/>
            </w:tcMar>
            <w:vAlign w:val="center"/>
          </w:tcPr>
          <w:p w14:paraId="35FE8B08">
            <w:pPr>
              <w:spacing w:after="0" w:line="240" w:lineRule="auto"/>
              <w:rPr>
                <w:rFonts w:asciiTheme="minorHAnsi" w:hAnsiTheme="minorHAnsi"/>
                <w:sz w:val="24"/>
                <w:szCs w:val="24"/>
              </w:rPr>
            </w:pPr>
            <w:r>
              <w:rPr>
                <w:rFonts w:asciiTheme="minorHAnsi" w:hAnsiTheme="minorHAnsi"/>
                <w:sz w:val="24"/>
                <w:szCs w:val="24"/>
              </w:rPr>
              <w:t>No incentive or compensation is reported in the manuscript. Expert contribution was described as voluntary.</w:t>
            </w:r>
          </w:p>
        </w:tc>
        <w:tc>
          <w:tcPr>
            <w:tcW w:w="1908" w:type="dxa"/>
            <w:tcMar>
              <w:top w:w="90" w:type="dxa"/>
              <w:left w:w="90" w:type="dxa"/>
              <w:bottom w:w="90" w:type="dxa"/>
              <w:right w:w="90" w:type="dxa"/>
            </w:tcMar>
            <w:vAlign w:val="center"/>
          </w:tcPr>
          <w:p w14:paraId="01288648">
            <w:pPr>
              <w:spacing w:after="0" w:line="240" w:lineRule="auto"/>
              <w:rPr>
                <w:rFonts w:asciiTheme="minorHAnsi" w:hAnsiTheme="minorHAnsi"/>
                <w:sz w:val="24"/>
                <w:szCs w:val="24"/>
              </w:rPr>
            </w:pPr>
            <w:r>
              <w:rPr>
                <w:rFonts w:asciiTheme="minorHAnsi" w:hAnsiTheme="minorHAnsi"/>
                <w:sz w:val="24"/>
                <w:szCs w:val="24"/>
              </w:rPr>
              <w:t>Methods: Research Ethics Board Review and Informed Consent</w:t>
            </w:r>
          </w:p>
        </w:tc>
      </w:tr>
      <w:tr w14:paraId="2DBB8CBB">
        <w:trPr>
          <w:jc w:val="center"/>
        </w:trPr>
        <w:tc>
          <w:tcPr>
            <w:tcW w:w="1749" w:type="dxa"/>
            <w:tcMar>
              <w:top w:w="90" w:type="dxa"/>
              <w:left w:w="90" w:type="dxa"/>
              <w:bottom w:w="90" w:type="dxa"/>
              <w:right w:w="90" w:type="dxa"/>
            </w:tcMar>
            <w:vAlign w:val="center"/>
          </w:tcPr>
          <w:p w14:paraId="3C6AFDFE">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6F9EC609">
            <w:pPr>
              <w:spacing w:after="0" w:line="240" w:lineRule="auto"/>
              <w:rPr>
                <w:rFonts w:asciiTheme="minorHAnsi" w:hAnsiTheme="minorHAnsi"/>
                <w:sz w:val="24"/>
                <w:szCs w:val="24"/>
              </w:rPr>
            </w:pPr>
            <w:r>
              <w:rPr>
                <w:rFonts w:asciiTheme="minorHAnsi" w:hAnsiTheme="minorHAnsi"/>
                <w:sz w:val="24"/>
                <w:szCs w:val="24"/>
              </w:rPr>
              <w:t>Time/Date</w:t>
            </w:r>
          </w:p>
        </w:tc>
        <w:tc>
          <w:tcPr>
            <w:tcW w:w="3969" w:type="dxa"/>
            <w:tcMar>
              <w:top w:w="90" w:type="dxa"/>
              <w:left w:w="90" w:type="dxa"/>
              <w:bottom w:w="90" w:type="dxa"/>
              <w:right w:w="90" w:type="dxa"/>
            </w:tcMar>
            <w:vAlign w:val="center"/>
          </w:tcPr>
          <w:p w14:paraId="392037D0">
            <w:pPr>
              <w:spacing w:after="0" w:line="240" w:lineRule="auto"/>
              <w:rPr>
                <w:rFonts w:asciiTheme="minorHAnsi" w:hAnsiTheme="minorHAnsi"/>
                <w:sz w:val="24"/>
                <w:szCs w:val="24"/>
              </w:rPr>
            </w:pPr>
            <w:r>
              <w:rPr>
                <w:rFonts w:asciiTheme="minorHAnsi" w:hAnsiTheme="minorHAnsi"/>
                <w:sz w:val="24"/>
                <w:szCs w:val="24"/>
              </w:rPr>
              <w:t>The two Delphi survey rounds were completed between December 18 and December 25, 2025, as part of the expert-consensus process. The first expert consensus meeting was held on December 15, 2025, and the finalization working session was held on December 28, 2025.</w:t>
            </w:r>
          </w:p>
        </w:tc>
        <w:tc>
          <w:tcPr>
            <w:tcW w:w="1908" w:type="dxa"/>
            <w:tcMar>
              <w:top w:w="90" w:type="dxa"/>
              <w:left w:w="90" w:type="dxa"/>
              <w:bottom w:w="90" w:type="dxa"/>
              <w:right w:w="90" w:type="dxa"/>
            </w:tcMar>
            <w:vAlign w:val="center"/>
          </w:tcPr>
          <w:p w14:paraId="2409F9A9">
            <w:pPr>
              <w:spacing w:after="0" w:line="240" w:lineRule="auto"/>
              <w:rPr>
                <w:rFonts w:asciiTheme="minorHAnsi" w:hAnsiTheme="minorHAnsi"/>
                <w:sz w:val="24"/>
                <w:szCs w:val="24"/>
              </w:rPr>
            </w:pPr>
            <w:r>
              <w:rPr>
                <w:rFonts w:asciiTheme="minorHAnsi" w:hAnsiTheme="minorHAnsi"/>
                <w:sz w:val="24"/>
                <w:szCs w:val="24"/>
              </w:rPr>
              <w:t>Methods: First Expert Consensus Meeting; Delphi Panel and Procedure; Disagreement Resolution; Multimedia Appendices 5, 8, and 9</w:t>
            </w:r>
          </w:p>
        </w:tc>
      </w:tr>
      <w:tr w14:paraId="55583467">
        <w:trPr>
          <w:jc w:val="center"/>
        </w:trPr>
        <w:tc>
          <w:tcPr>
            <w:tcW w:w="1749" w:type="dxa"/>
            <w:tcMar>
              <w:top w:w="90" w:type="dxa"/>
              <w:left w:w="90" w:type="dxa"/>
              <w:bottom w:w="90" w:type="dxa"/>
              <w:right w:w="90" w:type="dxa"/>
            </w:tcMar>
            <w:vAlign w:val="center"/>
          </w:tcPr>
          <w:p w14:paraId="0F12AE97">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5AC0835D">
            <w:pPr>
              <w:spacing w:after="0" w:line="240" w:lineRule="auto"/>
              <w:rPr>
                <w:rFonts w:asciiTheme="minorHAnsi" w:hAnsiTheme="minorHAnsi"/>
                <w:sz w:val="24"/>
                <w:szCs w:val="24"/>
              </w:rPr>
            </w:pPr>
            <w:r>
              <w:rPr>
                <w:rFonts w:asciiTheme="minorHAnsi" w:hAnsiTheme="minorHAnsi"/>
                <w:sz w:val="24"/>
                <w:szCs w:val="24"/>
              </w:rPr>
              <w:t>Randomization of items or questionnaires</w:t>
            </w:r>
          </w:p>
        </w:tc>
        <w:tc>
          <w:tcPr>
            <w:tcW w:w="3969" w:type="dxa"/>
            <w:tcMar>
              <w:top w:w="90" w:type="dxa"/>
              <w:left w:w="90" w:type="dxa"/>
              <w:bottom w:w="90" w:type="dxa"/>
              <w:right w:w="90" w:type="dxa"/>
            </w:tcMar>
            <w:vAlign w:val="center"/>
          </w:tcPr>
          <w:p w14:paraId="267C5C94">
            <w:pPr>
              <w:spacing w:after="0" w:line="240" w:lineRule="auto"/>
              <w:rPr>
                <w:rFonts w:asciiTheme="minorHAnsi" w:hAnsiTheme="minorHAnsi"/>
                <w:sz w:val="24"/>
                <w:szCs w:val="24"/>
              </w:rPr>
            </w:pPr>
            <w:r>
              <w:rPr>
                <w:rFonts w:asciiTheme="minorHAnsi" w:hAnsiTheme="minorHAnsi"/>
                <w:sz w:val="24"/>
                <w:szCs w:val="24"/>
              </w:rPr>
              <w:t>No randomization of competency items is reported. Items were presented as competency statements for Round 1 importance rating and Round 2 foundational/developmental classification.</w:t>
            </w:r>
          </w:p>
        </w:tc>
        <w:tc>
          <w:tcPr>
            <w:tcW w:w="1908" w:type="dxa"/>
            <w:tcMar>
              <w:top w:w="90" w:type="dxa"/>
              <w:left w:w="90" w:type="dxa"/>
              <w:bottom w:w="90" w:type="dxa"/>
              <w:right w:w="90" w:type="dxa"/>
            </w:tcMar>
            <w:vAlign w:val="center"/>
          </w:tcPr>
          <w:p w14:paraId="0BF872C9">
            <w:pPr>
              <w:spacing w:after="0" w:line="240" w:lineRule="auto"/>
              <w:rPr>
                <w:rFonts w:asciiTheme="minorHAnsi" w:hAnsiTheme="minorHAnsi"/>
                <w:sz w:val="24"/>
                <w:szCs w:val="24"/>
              </w:rPr>
            </w:pPr>
            <w:r>
              <w:t>Methods: Delphi Panel and Procedure; Additional file 10</w:t>
            </w:r>
          </w:p>
        </w:tc>
      </w:tr>
      <w:tr w14:paraId="7EA700AE">
        <w:trPr>
          <w:jc w:val="center"/>
        </w:trPr>
        <w:tc>
          <w:tcPr>
            <w:tcW w:w="1749" w:type="dxa"/>
            <w:tcMar>
              <w:top w:w="90" w:type="dxa"/>
              <w:left w:w="90" w:type="dxa"/>
              <w:bottom w:w="90" w:type="dxa"/>
              <w:right w:w="90" w:type="dxa"/>
            </w:tcMar>
            <w:vAlign w:val="center"/>
          </w:tcPr>
          <w:p w14:paraId="33DF33C7">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14D22366">
            <w:pPr>
              <w:spacing w:after="0" w:line="240" w:lineRule="auto"/>
              <w:rPr>
                <w:rFonts w:asciiTheme="minorHAnsi" w:hAnsiTheme="minorHAnsi"/>
                <w:sz w:val="24"/>
                <w:szCs w:val="24"/>
              </w:rPr>
            </w:pPr>
            <w:r>
              <w:rPr>
                <w:rFonts w:asciiTheme="minorHAnsi" w:hAnsiTheme="minorHAnsi"/>
                <w:sz w:val="24"/>
                <w:szCs w:val="24"/>
              </w:rPr>
              <w:t>Adaptive questioning</w:t>
            </w:r>
          </w:p>
        </w:tc>
        <w:tc>
          <w:tcPr>
            <w:tcW w:w="3969" w:type="dxa"/>
            <w:tcMar>
              <w:top w:w="90" w:type="dxa"/>
              <w:left w:w="90" w:type="dxa"/>
              <w:bottom w:w="90" w:type="dxa"/>
              <w:right w:w="90" w:type="dxa"/>
            </w:tcMar>
            <w:vAlign w:val="center"/>
          </w:tcPr>
          <w:p w14:paraId="5CA4CC2E">
            <w:pPr>
              <w:spacing w:after="0" w:line="240" w:lineRule="auto"/>
              <w:rPr>
                <w:rFonts w:asciiTheme="minorHAnsi" w:hAnsiTheme="minorHAnsi"/>
                <w:sz w:val="24"/>
                <w:szCs w:val="24"/>
              </w:rPr>
            </w:pPr>
            <w:r>
              <w:rPr>
                <w:rFonts w:asciiTheme="minorHAnsi" w:hAnsiTheme="minorHAnsi"/>
                <w:sz w:val="24"/>
                <w:szCs w:val="24"/>
              </w:rPr>
              <w:t>No adaptive questioning or branching logic is reported for the Delphi competency items.</w:t>
            </w:r>
          </w:p>
        </w:tc>
        <w:tc>
          <w:tcPr>
            <w:tcW w:w="1908" w:type="dxa"/>
            <w:tcMar>
              <w:top w:w="90" w:type="dxa"/>
              <w:left w:w="90" w:type="dxa"/>
              <w:bottom w:w="90" w:type="dxa"/>
              <w:right w:w="90" w:type="dxa"/>
            </w:tcMar>
            <w:vAlign w:val="center"/>
          </w:tcPr>
          <w:p w14:paraId="3939EF88">
            <w:pPr>
              <w:spacing w:after="0" w:line="240" w:lineRule="auto"/>
              <w:rPr>
                <w:rFonts w:asciiTheme="minorHAnsi" w:hAnsiTheme="minorHAnsi"/>
                <w:sz w:val="24"/>
                <w:szCs w:val="24"/>
              </w:rPr>
            </w:pPr>
            <w:r>
              <w:t>Methods: Delphi Panel and Procedure; Additional file 10</w:t>
            </w:r>
          </w:p>
        </w:tc>
      </w:tr>
      <w:tr w14:paraId="4D4B76F8">
        <w:trPr>
          <w:jc w:val="center"/>
        </w:trPr>
        <w:tc>
          <w:tcPr>
            <w:tcW w:w="1749" w:type="dxa"/>
            <w:tcMar>
              <w:top w:w="90" w:type="dxa"/>
              <w:left w:w="90" w:type="dxa"/>
              <w:bottom w:w="90" w:type="dxa"/>
              <w:right w:w="90" w:type="dxa"/>
            </w:tcMar>
            <w:vAlign w:val="center"/>
          </w:tcPr>
          <w:p w14:paraId="67D20FF7">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00BB6135">
            <w:pPr>
              <w:spacing w:after="0" w:line="240" w:lineRule="auto"/>
              <w:rPr>
                <w:rFonts w:asciiTheme="minorHAnsi" w:hAnsiTheme="minorHAnsi"/>
                <w:sz w:val="24"/>
                <w:szCs w:val="24"/>
              </w:rPr>
            </w:pPr>
            <w:r>
              <w:rPr>
                <w:rFonts w:asciiTheme="minorHAnsi" w:hAnsiTheme="minorHAnsi"/>
                <w:sz w:val="24"/>
                <w:szCs w:val="24"/>
              </w:rPr>
              <w:t>Number of Items</w:t>
            </w:r>
          </w:p>
        </w:tc>
        <w:tc>
          <w:tcPr>
            <w:tcW w:w="3969" w:type="dxa"/>
            <w:tcMar>
              <w:top w:w="90" w:type="dxa"/>
              <w:left w:w="90" w:type="dxa"/>
              <w:bottom w:w="90" w:type="dxa"/>
              <w:right w:w="90" w:type="dxa"/>
            </w:tcMar>
            <w:vAlign w:val="center"/>
          </w:tcPr>
          <w:p w14:paraId="2F8CE600">
            <w:pPr>
              <w:spacing w:after="0" w:line="240" w:lineRule="auto"/>
              <w:rPr>
                <w:rFonts w:asciiTheme="minorHAnsi" w:hAnsiTheme="minorHAnsi"/>
                <w:sz w:val="24"/>
                <w:szCs w:val="24"/>
              </w:rPr>
            </w:pPr>
            <w:r>
              <w:t>The main Delphi competency section included 25 competency items in Round 1 and the same 25 competency items in Round 2. Round 1 used 5-point importance ratings; Round 2 asked experts to classify each item as foundational or developmental. The full questionnaires are provided in Additional file 10.</w:t>
            </w:r>
          </w:p>
        </w:tc>
        <w:tc>
          <w:tcPr>
            <w:tcW w:w="1908" w:type="dxa"/>
            <w:tcMar>
              <w:top w:w="90" w:type="dxa"/>
              <w:left w:w="90" w:type="dxa"/>
              <w:bottom w:w="90" w:type="dxa"/>
              <w:right w:w="90" w:type="dxa"/>
            </w:tcMar>
            <w:vAlign w:val="center"/>
          </w:tcPr>
          <w:p w14:paraId="4B606D3C">
            <w:pPr>
              <w:spacing w:after="0" w:line="240" w:lineRule="auto"/>
              <w:rPr>
                <w:rFonts w:asciiTheme="minorHAnsi" w:hAnsiTheme="minorHAnsi"/>
                <w:sz w:val="24"/>
                <w:szCs w:val="24"/>
              </w:rPr>
            </w:pPr>
            <w:r>
              <w:t>Methods: Delphi Panel and Procedure; Additional file 10</w:t>
            </w:r>
          </w:p>
        </w:tc>
      </w:tr>
      <w:tr w14:paraId="2DC67130">
        <w:trPr>
          <w:jc w:val="center"/>
        </w:trPr>
        <w:tc>
          <w:tcPr>
            <w:tcW w:w="1749" w:type="dxa"/>
            <w:tcMar>
              <w:top w:w="90" w:type="dxa"/>
              <w:left w:w="90" w:type="dxa"/>
              <w:bottom w:w="90" w:type="dxa"/>
              <w:right w:w="90" w:type="dxa"/>
            </w:tcMar>
            <w:vAlign w:val="center"/>
          </w:tcPr>
          <w:p w14:paraId="631FD3FF">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5714B78D">
            <w:pPr>
              <w:spacing w:after="0" w:line="240" w:lineRule="auto"/>
              <w:rPr>
                <w:rFonts w:asciiTheme="minorHAnsi" w:hAnsiTheme="minorHAnsi"/>
                <w:sz w:val="24"/>
                <w:szCs w:val="24"/>
              </w:rPr>
            </w:pPr>
            <w:r>
              <w:rPr>
                <w:rFonts w:asciiTheme="minorHAnsi" w:hAnsiTheme="minorHAnsi"/>
                <w:sz w:val="24"/>
                <w:szCs w:val="24"/>
              </w:rPr>
              <w:t>Number of screens (pages)</w:t>
            </w:r>
          </w:p>
        </w:tc>
        <w:tc>
          <w:tcPr>
            <w:tcW w:w="3969" w:type="dxa"/>
            <w:tcMar>
              <w:top w:w="90" w:type="dxa"/>
              <w:left w:w="90" w:type="dxa"/>
              <w:bottom w:w="90" w:type="dxa"/>
              <w:right w:w="90" w:type="dxa"/>
            </w:tcMar>
            <w:vAlign w:val="center"/>
          </w:tcPr>
          <w:p w14:paraId="50D274DD">
            <w:pPr>
              <w:spacing w:after="0" w:line="240" w:lineRule="auto"/>
              <w:rPr>
                <w:rFonts w:asciiTheme="minorHAnsi" w:hAnsiTheme="minorHAnsi"/>
                <w:sz w:val="24"/>
                <w:szCs w:val="24"/>
              </w:rPr>
            </w:pPr>
            <w:r>
              <w:t>The number of Wenjuanxing screens/pages is not reported in the manuscript. The full questionnaire content is provided in Additional file 10.</w:t>
            </w:r>
          </w:p>
        </w:tc>
        <w:tc>
          <w:tcPr>
            <w:tcW w:w="1908" w:type="dxa"/>
            <w:tcMar>
              <w:top w:w="90" w:type="dxa"/>
              <w:left w:w="90" w:type="dxa"/>
              <w:bottom w:w="90" w:type="dxa"/>
              <w:right w:w="90" w:type="dxa"/>
            </w:tcMar>
            <w:vAlign w:val="center"/>
          </w:tcPr>
          <w:p w14:paraId="34DA178E">
            <w:pPr>
              <w:spacing w:after="0" w:line="240" w:lineRule="auto"/>
              <w:rPr>
                <w:rFonts w:asciiTheme="minorHAnsi" w:hAnsiTheme="minorHAnsi"/>
                <w:sz w:val="24"/>
                <w:szCs w:val="24"/>
              </w:rPr>
            </w:pPr>
            <w:r>
              <w:t>Additional file 10; not reported as screen count</w:t>
            </w:r>
          </w:p>
        </w:tc>
      </w:tr>
      <w:tr w14:paraId="54A7FDF3">
        <w:trPr>
          <w:jc w:val="center"/>
        </w:trPr>
        <w:tc>
          <w:tcPr>
            <w:tcW w:w="1749" w:type="dxa"/>
            <w:tcMar>
              <w:top w:w="90" w:type="dxa"/>
              <w:left w:w="90" w:type="dxa"/>
              <w:bottom w:w="90" w:type="dxa"/>
              <w:right w:w="90" w:type="dxa"/>
            </w:tcMar>
            <w:vAlign w:val="center"/>
          </w:tcPr>
          <w:p w14:paraId="30F106AB">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2999ABDC">
            <w:pPr>
              <w:spacing w:after="0" w:line="240" w:lineRule="auto"/>
              <w:rPr>
                <w:rFonts w:asciiTheme="minorHAnsi" w:hAnsiTheme="minorHAnsi"/>
                <w:sz w:val="24"/>
                <w:szCs w:val="24"/>
              </w:rPr>
            </w:pPr>
            <w:r>
              <w:rPr>
                <w:rFonts w:asciiTheme="minorHAnsi" w:hAnsiTheme="minorHAnsi"/>
                <w:sz w:val="24"/>
                <w:szCs w:val="24"/>
              </w:rPr>
              <w:t>Completeness check</w:t>
            </w:r>
          </w:p>
        </w:tc>
        <w:tc>
          <w:tcPr>
            <w:tcW w:w="3969" w:type="dxa"/>
            <w:tcMar>
              <w:top w:w="90" w:type="dxa"/>
              <w:left w:w="90" w:type="dxa"/>
              <w:bottom w:w="90" w:type="dxa"/>
              <w:right w:w="90" w:type="dxa"/>
            </w:tcMar>
            <w:vAlign w:val="center"/>
          </w:tcPr>
          <w:p w14:paraId="0762D351">
            <w:pPr>
              <w:spacing w:after="0" w:line="240" w:lineRule="auto"/>
              <w:rPr>
                <w:rFonts w:asciiTheme="minorHAnsi" w:hAnsiTheme="minorHAnsi"/>
                <w:sz w:val="24"/>
                <w:szCs w:val="24"/>
              </w:rPr>
            </w:pPr>
            <w:r>
              <w:rPr>
                <w:rFonts w:asciiTheme="minorHAnsi" w:hAnsiTheme="minorHAnsi"/>
                <w:sz w:val="24"/>
                <w:szCs w:val="24"/>
              </w:rPr>
              <w:t>Analyses were based on valid responses only. Round 1 yielded 57 valid responses and Round 2 yielded 58 valid responses. The exact Wenjuanxing completeness-check setting is not reported.</w:t>
            </w:r>
          </w:p>
        </w:tc>
        <w:tc>
          <w:tcPr>
            <w:tcW w:w="1908" w:type="dxa"/>
            <w:tcMar>
              <w:top w:w="90" w:type="dxa"/>
              <w:left w:w="90" w:type="dxa"/>
              <w:bottom w:w="90" w:type="dxa"/>
              <w:right w:w="90" w:type="dxa"/>
            </w:tcMar>
            <w:vAlign w:val="center"/>
          </w:tcPr>
          <w:p w14:paraId="75518D55">
            <w:pPr>
              <w:spacing w:after="0" w:line="240" w:lineRule="auto"/>
              <w:rPr>
                <w:rFonts w:asciiTheme="minorHAnsi" w:hAnsiTheme="minorHAnsi"/>
                <w:sz w:val="24"/>
                <w:szCs w:val="24"/>
              </w:rPr>
            </w:pPr>
            <w:r>
              <w:rPr>
                <w:rFonts w:asciiTheme="minorHAnsi" w:hAnsiTheme="minorHAnsi"/>
                <w:sz w:val="24"/>
                <w:szCs w:val="24"/>
              </w:rPr>
              <w:t>Results: Expert Response Rate; Statistical Analysis and Reporting</w:t>
            </w:r>
          </w:p>
        </w:tc>
      </w:tr>
      <w:tr w14:paraId="5EC9A39F">
        <w:trPr>
          <w:jc w:val="center"/>
        </w:trPr>
        <w:tc>
          <w:tcPr>
            <w:tcW w:w="1749" w:type="dxa"/>
            <w:tcMar>
              <w:top w:w="90" w:type="dxa"/>
              <w:left w:w="90" w:type="dxa"/>
              <w:bottom w:w="90" w:type="dxa"/>
              <w:right w:w="90" w:type="dxa"/>
            </w:tcMar>
            <w:vAlign w:val="center"/>
          </w:tcPr>
          <w:p w14:paraId="4BC627B9">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0BEEB2E3">
            <w:pPr>
              <w:spacing w:after="0" w:line="240" w:lineRule="auto"/>
              <w:rPr>
                <w:rFonts w:asciiTheme="minorHAnsi" w:hAnsiTheme="minorHAnsi"/>
                <w:sz w:val="24"/>
                <w:szCs w:val="24"/>
              </w:rPr>
            </w:pPr>
            <w:r>
              <w:rPr>
                <w:rFonts w:asciiTheme="minorHAnsi" w:hAnsiTheme="minorHAnsi"/>
                <w:sz w:val="24"/>
                <w:szCs w:val="24"/>
              </w:rPr>
              <w:t>Review step</w:t>
            </w:r>
          </w:p>
        </w:tc>
        <w:tc>
          <w:tcPr>
            <w:tcW w:w="3969" w:type="dxa"/>
            <w:tcMar>
              <w:top w:w="90" w:type="dxa"/>
              <w:left w:w="90" w:type="dxa"/>
              <w:bottom w:w="90" w:type="dxa"/>
              <w:right w:w="90" w:type="dxa"/>
            </w:tcMar>
            <w:vAlign w:val="center"/>
          </w:tcPr>
          <w:p w14:paraId="5F51574D">
            <w:pPr>
              <w:spacing w:after="0" w:line="240" w:lineRule="auto"/>
              <w:rPr>
                <w:rFonts w:asciiTheme="minorHAnsi" w:hAnsiTheme="minorHAnsi"/>
                <w:sz w:val="24"/>
                <w:szCs w:val="24"/>
              </w:rPr>
            </w:pPr>
            <w:r>
              <w:rPr>
                <w:rFonts w:asciiTheme="minorHAnsi" w:hAnsiTheme="minorHAnsi"/>
                <w:sz w:val="24"/>
                <w:szCs w:val="24"/>
              </w:rPr>
              <w:t>The manuscript does not report whether respondents could review or change answers before final submission.</w:t>
            </w:r>
            <w:r>
              <w:t xml:space="preserve"> </w:t>
            </w:r>
            <w:r>
              <w:rPr>
                <w:rFonts w:asciiTheme="minorHAnsi" w:hAnsiTheme="minorHAnsi"/>
                <w:sz w:val="24"/>
                <w:szCs w:val="24"/>
              </w:rPr>
              <w:t>Respondents could review and modify their answers before final submission.</w:t>
            </w:r>
          </w:p>
        </w:tc>
        <w:tc>
          <w:tcPr>
            <w:tcW w:w="1908" w:type="dxa"/>
            <w:tcMar>
              <w:top w:w="90" w:type="dxa"/>
              <w:left w:w="90" w:type="dxa"/>
              <w:bottom w:w="90" w:type="dxa"/>
              <w:right w:w="90" w:type="dxa"/>
            </w:tcMar>
            <w:vAlign w:val="center"/>
          </w:tcPr>
          <w:p w14:paraId="4E8EFE96">
            <w:pPr>
              <w:spacing w:after="0" w:line="240" w:lineRule="auto"/>
              <w:rPr>
                <w:rFonts w:asciiTheme="minorHAnsi" w:hAnsiTheme="minorHAnsi"/>
                <w:sz w:val="24"/>
                <w:szCs w:val="24"/>
              </w:rPr>
            </w:pPr>
            <w:r>
              <w:rPr>
                <w:rFonts w:asciiTheme="minorHAnsi" w:hAnsiTheme="minorHAnsi"/>
                <w:sz w:val="24"/>
                <w:szCs w:val="24"/>
              </w:rPr>
              <w:t>Not reported</w:t>
            </w:r>
          </w:p>
        </w:tc>
      </w:tr>
      <w:tr w14:paraId="31EB31AA">
        <w:trPr>
          <w:jc w:val="center"/>
        </w:trPr>
        <w:tc>
          <w:tcPr>
            <w:tcW w:w="3875" w:type="dxa"/>
            <w:gridSpan w:val="2"/>
            <w:tcMar>
              <w:top w:w="90" w:type="dxa"/>
              <w:left w:w="90" w:type="dxa"/>
              <w:bottom w:w="90" w:type="dxa"/>
              <w:right w:w="90" w:type="dxa"/>
            </w:tcMar>
            <w:vAlign w:val="center"/>
          </w:tcPr>
          <w:p w14:paraId="7D1D6BDA">
            <w:pPr>
              <w:spacing w:after="0" w:line="240" w:lineRule="auto"/>
              <w:rPr>
                <w:rFonts w:asciiTheme="minorHAnsi" w:hAnsiTheme="minorHAnsi"/>
                <w:sz w:val="24"/>
                <w:szCs w:val="24"/>
              </w:rPr>
            </w:pPr>
            <w:r>
              <w:rPr>
                <w:rFonts w:asciiTheme="minorHAnsi" w:hAnsiTheme="minorHAnsi"/>
                <w:b/>
                <w:sz w:val="24"/>
                <w:szCs w:val="24"/>
              </w:rPr>
              <w:t>Response rates</w:t>
            </w:r>
          </w:p>
        </w:tc>
        <w:tc>
          <w:tcPr>
            <w:tcW w:w="3969" w:type="dxa"/>
            <w:tcMar>
              <w:top w:w="90" w:type="dxa"/>
              <w:left w:w="90" w:type="dxa"/>
              <w:bottom w:w="90" w:type="dxa"/>
              <w:right w:w="90" w:type="dxa"/>
            </w:tcMar>
            <w:vAlign w:val="center"/>
          </w:tcPr>
          <w:p w14:paraId="6CBF9795">
            <w:pPr>
              <w:spacing w:after="0" w:line="240" w:lineRule="auto"/>
              <w:rPr>
                <w:rFonts w:asciiTheme="minorHAnsi" w:hAnsiTheme="minorHAnsi"/>
                <w:sz w:val="24"/>
                <w:szCs w:val="24"/>
              </w:rPr>
            </w:pPr>
          </w:p>
        </w:tc>
        <w:tc>
          <w:tcPr>
            <w:tcW w:w="1908" w:type="dxa"/>
            <w:tcMar>
              <w:top w:w="90" w:type="dxa"/>
              <w:left w:w="90" w:type="dxa"/>
              <w:bottom w:w="90" w:type="dxa"/>
              <w:right w:w="90" w:type="dxa"/>
            </w:tcMar>
            <w:vAlign w:val="center"/>
          </w:tcPr>
          <w:p w14:paraId="0D27260B">
            <w:pPr>
              <w:spacing w:after="0" w:line="240" w:lineRule="auto"/>
              <w:rPr>
                <w:rFonts w:asciiTheme="minorHAnsi" w:hAnsiTheme="minorHAnsi"/>
                <w:sz w:val="24"/>
                <w:szCs w:val="24"/>
              </w:rPr>
            </w:pPr>
          </w:p>
        </w:tc>
      </w:tr>
      <w:tr w14:paraId="25EB13FD">
        <w:trPr>
          <w:jc w:val="center"/>
        </w:trPr>
        <w:tc>
          <w:tcPr>
            <w:tcW w:w="1749" w:type="dxa"/>
            <w:tcMar>
              <w:top w:w="90" w:type="dxa"/>
              <w:left w:w="90" w:type="dxa"/>
              <w:bottom w:w="90" w:type="dxa"/>
              <w:right w:w="90" w:type="dxa"/>
            </w:tcMar>
            <w:vAlign w:val="center"/>
          </w:tcPr>
          <w:p w14:paraId="7896F083">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5195C50E">
            <w:pPr>
              <w:spacing w:after="0" w:line="240" w:lineRule="auto"/>
              <w:rPr>
                <w:rFonts w:asciiTheme="minorHAnsi" w:hAnsiTheme="minorHAnsi"/>
                <w:sz w:val="24"/>
                <w:szCs w:val="24"/>
              </w:rPr>
            </w:pPr>
            <w:r>
              <w:rPr>
                <w:rFonts w:asciiTheme="minorHAnsi" w:hAnsiTheme="minorHAnsi"/>
                <w:sz w:val="24"/>
                <w:szCs w:val="24"/>
              </w:rPr>
              <w:t>Unique site visitor</w:t>
            </w:r>
          </w:p>
        </w:tc>
        <w:tc>
          <w:tcPr>
            <w:tcW w:w="3969" w:type="dxa"/>
            <w:tcMar>
              <w:top w:w="90" w:type="dxa"/>
              <w:left w:w="90" w:type="dxa"/>
              <w:bottom w:w="90" w:type="dxa"/>
              <w:right w:w="90" w:type="dxa"/>
            </w:tcMar>
            <w:vAlign w:val="center"/>
          </w:tcPr>
          <w:p w14:paraId="79B5807A">
            <w:pPr>
              <w:spacing w:after="0" w:line="240" w:lineRule="auto"/>
              <w:rPr>
                <w:rFonts w:asciiTheme="minorHAnsi" w:hAnsiTheme="minorHAnsi"/>
                <w:sz w:val="24"/>
                <w:szCs w:val="24"/>
              </w:rPr>
            </w:pPr>
            <w:r>
              <w:rPr>
                <w:rFonts w:asciiTheme="minorHAnsi" w:hAnsiTheme="minorHAnsi"/>
                <w:sz w:val="24"/>
                <w:szCs w:val="24"/>
              </w:rPr>
              <w:t>Not applicable in the usual open-web-survey sense because this was a closed invitation-only Delphi expert survey. The relevant denominator was the invited expert panel (N=60), not public website traffic.</w:t>
            </w:r>
          </w:p>
        </w:tc>
        <w:tc>
          <w:tcPr>
            <w:tcW w:w="1908" w:type="dxa"/>
            <w:tcMar>
              <w:top w:w="90" w:type="dxa"/>
              <w:left w:w="90" w:type="dxa"/>
              <w:bottom w:w="90" w:type="dxa"/>
              <w:right w:w="90" w:type="dxa"/>
            </w:tcMar>
            <w:vAlign w:val="center"/>
          </w:tcPr>
          <w:p w14:paraId="430EB2B8">
            <w:pPr>
              <w:spacing w:after="0" w:line="240" w:lineRule="auto"/>
              <w:rPr>
                <w:rFonts w:asciiTheme="minorHAnsi" w:hAnsiTheme="minorHAnsi"/>
                <w:sz w:val="24"/>
                <w:szCs w:val="24"/>
              </w:rPr>
            </w:pPr>
            <w:r>
              <w:rPr>
                <w:rFonts w:asciiTheme="minorHAnsi" w:hAnsiTheme="minorHAnsi"/>
                <w:sz w:val="24"/>
                <w:szCs w:val="24"/>
              </w:rPr>
              <w:t>Results: Expert Response Rate</w:t>
            </w:r>
          </w:p>
        </w:tc>
      </w:tr>
      <w:tr w14:paraId="48391BE3">
        <w:trPr>
          <w:jc w:val="center"/>
        </w:trPr>
        <w:tc>
          <w:tcPr>
            <w:tcW w:w="1749" w:type="dxa"/>
            <w:tcMar>
              <w:top w:w="90" w:type="dxa"/>
              <w:left w:w="90" w:type="dxa"/>
              <w:bottom w:w="90" w:type="dxa"/>
              <w:right w:w="90" w:type="dxa"/>
            </w:tcMar>
            <w:vAlign w:val="center"/>
          </w:tcPr>
          <w:p w14:paraId="466A8DE7">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00D2AB37">
            <w:pPr>
              <w:spacing w:after="0" w:line="240" w:lineRule="auto"/>
              <w:rPr>
                <w:rFonts w:asciiTheme="minorHAnsi" w:hAnsiTheme="minorHAnsi"/>
                <w:sz w:val="24"/>
                <w:szCs w:val="24"/>
              </w:rPr>
            </w:pPr>
            <w:r>
              <w:rPr>
                <w:rFonts w:asciiTheme="minorHAnsi" w:hAnsiTheme="minorHAnsi"/>
                <w:sz w:val="24"/>
                <w:szCs w:val="24"/>
              </w:rPr>
              <w:t>View rate</w:t>
            </w:r>
          </w:p>
        </w:tc>
        <w:tc>
          <w:tcPr>
            <w:tcW w:w="3969" w:type="dxa"/>
            <w:tcMar>
              <w:top w:w="90" w:type="dxa"/>
              <w:left w:w="90" w:type="dxa"/>
              <w:bottom w:w="90" w:type="dxa"/>
              <w:right w:w="90" w:type="dxa"/>
            </w:tcMar>
            <w:vAlign w:val="center"/>
          </w:tcPr>
          <w:p w14:paraId="2CFF1DB8">
            <w:pPr>
              <w:spacing w:after="0" w:line="240" w:lineRule="auto"/>
              <w:rPr>
                <w:rFonts w:asciiTheme="minorHAnsi" w:hAnsiTheme="minorHAnsi"/>
                <w:sz w:val="24"/>
                <w:szCs w:val="24"/>
              </w:rPr>
            </w:pPr>
            <w:r>
              <w:rPr>
                <w:rFonts w:asciiTheme="minorHAnsi" w:hAnsiTheme="minorHAnsi"/>
                <w:sz w:val="24"/>
                <w:szCs w:val="24"/>
              </w:rPr>
              <w:t>Not applicable. The study did not use an open public survey page, so unique site-visitor or view-rate metrics were not meaningful.</w:t>
            </w:r>
          </w:p>
        </w:tc>
        <w:tc>
          <w:tcPr>
            <w:tcW w:w="1908" w:type="dxa"/>
            <w:tcMar>
              <w:top w:w="90" w:type="dxa"/>
              <w:left w:w="90" w:type="dxa"/>
              <w:bottom w:w="90" w:type="dxa"/>
              <w:right w:w="90" w:type="dxa"/>
            </w:tcMar>
            <w:vAlign w:val="center"/>
          </w:tcPr>
          <w:p w14:paraId="5223F349">
            <w:pPr>
              <w:spacing w:after="0" w:line="240" w:lineRule="auto"/>
              <w:rPr>
                <w:rFonts w:asciiTheme="minorHAnsi" w:hAnsiTheme="minorHAnsi"/>
                <w:sz w:val="24"/>
                <w:szCs w:val="24"/>
              </w:rPr>
            </w:pPr>
            <w:r>
              <w:rPr>
                <w:rFonts w:asciiTheme="minorHAnsi" w:hAnsiTheme="minorHAnsi"/>
                <w:sz w:val="24"/>
                <w:szCs w:val="24"/>
              </w:rPr>
              <w:t>Not applicable to closed invitation-only survey</w:t>
            </w:r>
          </w:p>
        </w:tc>
      </w:tr>
      <w:tr w14:paraId="0AEB9B17">
        <w:trPr>
          <w:jc w:val="center"/>
        </w:trPr>
        <w:tc>
          <w:tcPr>
            <w:tcW w:w="1749" w:type="dxa"/>
            <w:tcMar>
              <w:top w:w="90" w:type="dxa"/>
              <w:left w:w="90" w:type="dxa"/>
              <w:bottom w:w="90" w:type="dxa"/>
              <w:right w:w="90" w:type="dxa"/>
            </w:tcMar>
            <w:vAlign w:val="center"/>
          </w:tcPr>
          <w:p w14:paraId="51EFA5F6">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71BEA7AE">
            <w:pPr>
              <w:spacing w:after="0" w:line="240" w:lineRule="auto"/>
              <w:rPr>
                <w:rFonts w:asciiTheme="minorHAnsi" w:hAnsiTheme="minorHAnsi"/>
                <w:sz w:val="24"/>
                <w:szCs w:val="24"/>
              </w:rPr>
            </w:pPr>
            <w:r>
              <w:rPr>
                <w:rFonts w:asciiTheme="minorHAnsi" w:hAnsiTheme="minorHAnsi"/>
                <w:sz w:val="24"/>
                <w:szCs w:val="24"/>
              </w:rPr>
              <w:t>Participation rate</w:t>
            </w:r>
          </w:p>
        </w:tc>
        <w:tc>
          <w:tcPr>
            <w:tcW w:w="3969" w:type="dxa"/>
            <w:tcMar>
              <w:top w:w="90" w:type="dxa"/>
              <w:left w:w="90" w:type="dxa"/>
              <w:bottom w:w="90" w:type="dxa"/>
              <w:right w:w="90" w:type="dxa"/>
            </w:tcMar>
            <w:vAlign w:val="center"/>
          </w:tcPr>
          <w:p w14:paraId="3A33ABD5">
            <w:pPr>
              <w:spacing w:after="0" w:line="240" w:lineRule="auto"/>
              <w:rPr>
                <w:rFonts w:asciiTheme="minorHAnsi" w:hAnsiTheme="minorHAnsi"/>
                <w:sz w:val="24"/>
                <w:szCs w:val="24"/>
              </w:rPr>
            </w:pPr>
            <w:r>
              <w:rPr>
                <w:rFonts w:asciiTheme="minorHAnsi" w:hAnsiTheme="minorHAnsi"/>
                <w:sz w:val="24"/>
                <w:szCs w:val="24"/>
              </w:rPr>
              <w:t>For this closed expert Delphi survey, the manuscript reports valid responses among invited experts: 57/60 (95%) in Round 1 and 58/60 (97%) in Round 2.</w:t>
            </w:r>
          </w:p>
        </w:tc>
        <w:tc>
          <w:tcPr>
            <w:tcW w:w="1908" w:type="dxa"/>
            <w:tcMar>
              <w:top w:w="90" w:type="dxa"/>
              <w:left w:w="90" w:type="dxa"/>
              <w:bottom w:w="90" w:type="dxa"/>
              <w:right w:w="90" w:type="dxa"/>
            </w:tcMar>
            <w:vAlign w:val="center"/>
          </w:tcPr>
          <w:p w14:paraId="6B53DA53">
            <w:pPr>
              <w:spacing w:after="0" w:line="240" w:lineRule="auto"/>
              <w:rPr>
                <w:rFonts w:asciiTheme="minorHAnsi" w:hAnsiTheme="minorHAnsi"/>
                <w:sz w:val="24"/>
                <w:szCs w:val="24"/>
              </w:rPr>
            </w:pPr>
            <w:r>
              <w:rPr>
                <w:rFonts w:asciiTheme="minorHAnsi" w:hAnsiTheme="minorHAnsi"/>
                <w:sz w:val="24"/>
                <w:szCs w:val="24"/>
              </w:rPr>
              <w:t>Abstract Results; Results: Expert Response Rate</w:t>
            </w:r>
          </w:p>
        </w:tc>
      </w:tr>
      <w:tr w14:paraId="0AD99D46">
        <w:trPr>
          <w:jc w:val="center"/>
        </w:trPr>
        <w:tc>
          <w:tcPr>
            <w:tcW w:w="1749" w:type="dxa"/>
            <w:tcMar>
              <w:top w:w="90" w:type="dxa"/>
              <w:left w:w="90" w:type="dxa"/>
              <w:bottom w:w="90" w:type="dxa"/>
              <w:right w:w="90" w:type="dxa"/>
            </w:tcMar>
            <w:vAlign w:val="center"/>
          </w:tcPr>
          <w:p w14:paraId="0BA97B47">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7FEB15ED">
            <w:pPr>
              <w:spacing w:after="0" w:line="240" w:lineRule="auto"/>
              <w:rPr>
                <w:rFonts w:asciiTheme="minorHAnsi" w:hAnsiTheme="minorHAnsi"/>
                <w:sz w:val="24"/>
                <w:szCs w:val="24"/>
              </w:rPr>
            </w:pPr>
            <w:r>
              <w:rPr>
                <w:rFonts w:asciiTheme="minorHAnsi" w:hAnsiTheme="minorHAnsi"/>
                <w:sz w:val="24"/>
                <w:szCs w:val="24"/>
              </w:rPr>
              <w:t>Completion rate</w:t>
            </w:r>
          </w:p>
        </w:tc>
        <w:tc>
          <w:tcPr>
            <w:tcW w:w="3969" w:type="dxa"/>
            <w:tcMar>
              <w:top w:w="90" w:type="dxa"/>
              <w:left w:w="90" w:type="dxa"/>
              <w:bottom w:w="90" w:type="dxa"/>
              <w:right w:w="90" w:type="dxa"/>
            </w:tcMar>
            <w:vAlign w:val="center"/>
          </w:tcPr>
          <w:p w14:paraId="78B51BB5">
            <w:pPr>
              <w:spacing w:after="0" w:line="240" w:lineRule="auto"/>
              <w:rPr>
                <w:rFonts w:asciiTheme="minorHAnsi" w:hAnsiTheme="minorHAnsi"/>
                <w:sz w:val="24"/>
                <w:szCs w:val="24"/>
              </w:rPr>
            </w:pPr>
            <w:r>
              <w:rPr>
                <w:rFonts w:asciiTheme="minorHAnsi" w:hAnsiTheme="minorHAnsi"/>
                <w:sz w:val="24"/>
                <w:szCs w:val="24"/>
              </w:rPr>
              <w:t>A separate CHERRIES completion rate based on users who started but did not finish the questionnaire is not reported. The manuscript reports valid-response denominators for each Delphi round: 57 valid responses in Round 1 and 58 valid responses in Round 2.</w:t>
            </w:r>
          </w:p>
        </w:tc>
        <w:tc>
          <w:tcPr>
            <w:tcW w:w="1908" w:type="dxa"/>
            <w:tcMar>
              <w:top w:w="90" w:type="dxa"/>
              <w:left w:w="90" w:type="dxa"/>
              <w:bottom w:w="90" w:type="dxa"/>
              <w:right w:w="90" w:type="dxa"/>
            </w:tcMar>
            <w:vAlign w:val="center"/>
          </w:tcPr>
          <w:p w14:paraId="56F4DD46">
            <w:pPr>
              <w:spacing w:after="0" w:line="240" w:lineRule="auto"/>
              <w:rPr>
                <w:rFonts w:asciiTheme="minorHAnsi" w:hAnsiTheme="minorHAnsi"/>
                <w:sz w:val="24"/>
                <w:szCs w:val="24"/>
              </w:rPr>
            </w:pPr>
            <w:r>
              <w:rPr>
                <w:rFonts w:asciiTheme="minorHAnsi" w:hAnsiTheme="minorHAnsi"/>
                <w:sz w:val="24"/>
                <w:szCs w:val="24"/>
              </w:rPr>
              <w:t>Results: Expert Response Rate</w:t>
            </w:r>
          </w:p>
        </w:tc>
      </w:tr>
      <w:tr w14:paraId="601918A8">
        <w:trPr>
          <w:jc w:val="center"/>
        </w:trPr>
        <w:tc>
          <w:tcPr>
            <w:tcW w:w="3875" w:type="dxa"/>
            <w:gridSpan w:val="2"/>
            <w:tcMar>
              <w:top w:w="90" w:type="dxa"/>
              <w:left w:w="90" w:type="dxa"/>
              <w:bottom w:w="90" w:type="dxa"/>
              <w:right w:w="90" w:type="dxa"/>
            </w:tcMar>
            <w:vAlign w:val="center"/>
          </w:tcPr>
          <w:p w14:paraId="2C4AB86C">
            <w:pPr>
              <w:spacing w:after="0" w:line="240" w:lineRule="auto"/>
              <w:rPr>
                <w:rFonts w:asciiTheme="minorHAnsi" w:hAnsiTheme="minorHAnsi"/>
                <w:sz w:val="24"/>
                <w:szCs w:val="24"/>
              </w:rPr>
            </w:pPr>
            <w:r>
              <w:rPr>
                <w:rFonts w:asciiTheme="minorHAnsi" w:hAnsiTheme="minorHAnsi"/>
                <w:b/>
                <w:sz w:val="24"/>
                <w:szCs w:val="24"/>
              </w:rPr>
              <w:t>Preventing multiple entries from the same individual</w:t>
            </w:r>
          </w:p>
        </w:tc>
        <w:tc>
          <w:tcPr>
            <w:tcW w:w="3969" w:type="dxa"/>
            <w:tcMar>
              <w:top w:w="90" w:type="dxa"/>
              <w:left w:w="90" w:type="dxa"/>
              <w:bottom w:w="90" w:type="dxa"/>
              <w:right w:w="90" w:type="dxa"/>
            </w:tcMar>
            <w:vAlign w:val="center"/>
          </w:tcPr>
          <w:p w14:paraId="4991CD4B">
            <w:pPr>
              <w:spacing w:after="0" w:line="240" w:lineRule="auto"/>
              <w:rPr>
                <w:rFonts w:asciiTheme="minorHAnsi" w:hAnsiTheme="minorHAnsi"/>
                <w:sz w:val="24"/>
                <w:szCs w:val="24"/>
              </w:rPr>
            </w:pPr>
          </w:p>
        </w:tc>
        <w:tc>
          <w:tcPr>
            <w:tcW w:w="1908" w:type="dxa"/>
            <w:tcMar>
              <w:top w:w="90" w:type="dxa"/>
              <w:left w:w="90" w:type="dxa"/>
              <w:bottom w:w="90" w:type="dxa"/>
              <w:right w:w="90" w:type="dxa"/>
            </w:tcMar>
            <w:vAlign w:val="center"/>
          </w:tcPr>
          <w:p w14:paraId="797D89B7">
            <w:pPr>
              <w:spacing w:after="0" w:line="240" w:lineRule="auto"/>
              <w:rPr>
                <w:rFonts w:asciiTheme="minorHAnsi" w:hAnsiTheme="minorHAnsi"/>
                <w:sz w:val="24"/>
                <w:szCs w:val="24"/>
              </w:rPr>
            </w:pPr>
          </w:p>
        </w:tc>
      </w:tr>
      <w:tr w14:paraId="5E738CA0">
        <w:trPr>
          <w:jc w:val="center"/>
        </w:trPr>
        <w:tc>
          <w:tcPr>
            <w:tcW w:w="1749" w:type="dxa"/>
            <w:tcMar>
              <w:top w:w="90" w:type="dxa"/>
              <w:left w:w="90" w:type="dxa"/>
              <w:bottom w:w="90" w:type="dxa"/>
              <w:right w:w="90" w:type="dxa"/>
            </w:tcMar>
            <w:vAlign w:val="center"/>
          </w:tcPr>
          <w:p w14:paraId="59734DE9">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3780C86D">
            <w:pPr>
              <w:spacing w:after="0" w:line="240" w:lineRule="auto"/>
              <w:rPr>
                <w:rFonts w:asciiTheme="minorHAnsi" w:hAnsiTheme="minorHAnsi"/>
                <w:sz w:val="24"/>
                <w:szCs w:val="24"/>
              </w:rPr>
            </w:pPr>
            <w:r>
              <w:rPr>
                <w:rFonts w:asciiTheme="minorHAnsi" w:hAnsiTheme="minorHAnsi"/>
                <w:sz w:val="24"/>
                <w:szCs w:val="24"/>
              </w:rPr>
              <w:t>Cookies used</w:t>
            </w:r>
          </w:p>
        </w:tc>
        <w:tc>
          <w:tcPr>
            <w:tcW w:w="3969" w:type="dxa"/>
            <w:tcMar>
              <w:top w:w="90" w:type="dxa"/>
              <w:left w:w="90" w:type="dxa"/>
              <w:bottom w:w="90" w:type="dxa"/>
              <w:right w:w="90" w:type="dxa"/>
            </w:tcMar>
            <w:vAlign w:val="center"/>
          </w:tcPr>
          <w:p w14:paraId="6295BCD6">
            <w:pPr>
              <w:spacing w:after="0" w:line="240" w:lineRule="auto"/>
              <w:rPr>
                <w:rFonts w:asciiTheme="minorHAnsi" w:hAnsiTheme="minorHAnsi"/>
                <w:sz w:val="24"/>
                <w:szCs w:val="24"/>
              </w:rPr>
            </w:pPr>
            <w:r>
              <w:rPr>
                <w:rFonts w:asciiTheme="minorHAnsi" w:hAnsiTheme="minorHAnsi"/>
                <w:sz w:val="24"/>
                <w:szCs w:val="24"/>
              </w:rPr>
              <w:t>Cookie-based duplicate prevention is not reported. Because the survey was closed and invitation-only, duplicate-entry control primarily relied on the invited-panel administration rather than open public access.</w:t>
            </w:r>
          </w:p>
        </w:tc>
        <w:tc>
          <w:tcPr>
            <w:tcW w:w="1908" w:type="dxa"/>
            <w:tcMar>
              <w:top w:w="90" w:type="dxa"/>
              <w:left w:w="90" w:type="dxa"/>
              <w:bottom w:w="90" w:type="dxa"/>
              <w:right w:w="90" w:type="dxa"/>
            </w:tcMar>
            <w:vAlign w:val="center"/>
          </w:tcPr>
          <w:p w14:paraId="257A4346">
            <w:pPr>
              <w:spacing w:after="0" w:line="240" w:lineRule="auto"/>
              <w:rPr>
                <w:rFonts w:asciiTheme="minorHAnsi" w:hAnsiTheme="minorHAnsi"/>
                <w:sz w:val="24"/>
                <w:szCs w:val="24"/>
              </w:rPr>
            </w:pPr>
            <w:r>
              <w:rPr>
                <w:rFonts w:asciiTheme="minorHAnsi" w:hAnsiTheme="minorHAnsi"/>
                <w:sz w:val="24"/>
                <w:szCs w:val="24"/>
              </w:rPr>
              <w:t>Methods: Delphi Panel and Procedure; Results: Expert Response Rate</w:t>
            </w:r>
          </w:p>
        </w:tc>
      </w:tr>
      <w:tr w14:paraId="3EF99DE4">
        <w:trPr>
          <w:jc w:val="center"/>
        </w:trPr>
        <w:tc>
          <w:tcPr>
            <w:tcW w:w="1749" w:type="dxa"/>
            <w:tcMar>
              <w:top w:w="90" w:type="dxa"/>
              <w:left w:w="90" w:type="dxa"/>
              <w:bottom w:w="90" w:type="dxa"/>
              <w:right w:w="90" w:type="dxa"/>
            </w:tcMar>
            <w:vAlign w:val="center"/>
          </w:tcPr>
          <w:p w14:paraId="11E6B8CF">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5B4C9924">
            <w:pPr>
              <w:spacing w:after="0" w:line="240" w:lineRule="auto"/>
              <w:rPr>
                <w:rFonts w:asciiTheme="minorHAnsi" w:hAnsiTheme="minorHAnsi"/>
                <w:sz w:val="24"/>
                <w:szCs w:val="24"/>
              </w:rPr>
            </w:pPr>
            <w:r>
              <w:rPr>
                <w:rFonts w:asciiTheme="minorHAnsi" w:hAnsiTheme="minorHAnsi"/>
                <w:sz w:val="24"/>
                <w:szCs w:val="24"/>
              </w:rPr>
              <w:t>IP check</w:t>
            </w:r>
          </w:p>
        </w:tc>
        <w:tc>
          <w:tcPr>
            <w:tcW w:w="3969" w:type="dxa"/>
            <w:tcMar>
              <w:top w:w="90" w:type="dxa"/>
              <w:left w:w="90" w:type="dxa"/>
              <w:bottom w:w="90" w:type="dxa"/>
              <w:right w:w="90" w:type="dxa"/>
            </w:tcMar>
            <w:vAlign w:val="center"/>
          </w:tcPr>
          <w:p w14:paraId="249BDFE8">
            <w:pPr>
              <w:spacing w:after="0" w:line="240" w:lineRule="auto"/>
              <w:rPr>
                <w:rFonts w:asciiTheme="minorHAnsi" w:hAnsiTheme="minorHAnsi"/>
                <w:sz w:val="24"/>
                <w:szCs w:val="24"/>
              </w:rPr>
            </w:pPr>
            <w:r>
              <w:rPr>
                <w:rFonts w:asciiTheme="minorHAnsi" w:hAnsiTheme="minorHAnsi"/>
                <w:sz w:val="24"/>
                <w:szCs w:val="24"/>
              </w:rPr>
              <w:t>IP-based duplicate checking is not reported.</w:t>
            </w:r>
          </w:p>
        </w:tc>
        <w:tc>
          <w:tcPr>
            <w:tcW w:w="1908" w:type="dxa"/>
            <w:tcMar>
              <w:top w:w="90" w:type="dxa"/>
              <w:left w:w="90" w:type="dxa"/>
              <w:bottom w:w="90" w:type="dxa"/>
              <w:right w:w="90" w:type="dxa"/>
            </w:tcMar>
            <w:vAlign w:val="center"/>
          </w:tcPr>
          <w:p w14:paraId="0AE99B5B">
            <w:pPr>
              <w:spacing w:after="0" w:line="240" w:lineRule="auto"/>
              <w:rPr>
                <w:rFonts w:asciiTheme="minorHAnsi" w:hAnsiTheme="minorHAnsi"/>
                <w:sz w:val="24"/>
                <w:szCs w:val="24"/>
              </w:rPr>
            </w:pPr>
            <w:r>
              <w:rPr>
                <w:rFonts w:asciiTheme="minorHAnsi" w:hAnsiTheme="minorHAnsi"/>
                <w:sz w:val="24"/>
                <w:szCs w:val="24"/>
              </w:rPr>
              <w:t>Not reported</w:t>
            </w:r>
          </w:p>
        </w:tc>
      </w:tr>
      <w:tr w14:paraId="736A2860">
        <w:trPr>
          <w:jc w:val="center"/>
        </w:trPr>
        <w:tc>
          <w:tcPr>
            <w:tcW w:w="1749" w:type="dxa"/>
            <w:tcMar>
              <w:top w:w="90" w:type="dxa"/>
              <w:left w:w="90" w:type="dxa"/>
              <w:bottom w:w="90" w:type="dxa"/>
              <w:right w:w="90" w:type="dxa"/>
            </w:tcMar>
            <w:vAlign w:val="center"/>
          </w:tcPr>
          <w:p w14:paraId="092B17A3">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55367997">
            <w:pPr>
              <w:spacing w:after="0" w:line="240" w:lineRule="auto"/>
              <w:rPr>
                <w:rFonts w:asciiTheme="minorHAnsi" w:hAnsiTheme="minorHAnsi"/>
                <w:sz w:val="24"/>
                <w:szCs w:val="24"/>
              </w:rPr>
            </w:pPr>
            <w:r>
              <w:rPr>
                <w:rFonts w:asciiTheme="minorHAnsi" w:hAnsiTheme="minorHAnsi"/>
                <w:sz w:val="24"/>
                <w:szCs w:val="24"/>
              </w:rPr>
              <w:t>Log file analysis</w:t>
            </w:r>
          </w:p>
        </w:tc>
        <w:tc>
          <w:tcPr>
            <w:tcW w:w="3969" w:type="dxa"/>
            <w:tcMar>
              <w:top w:w="90" w:type="dxa"/>
              <w:left w:w="90" w:type="dxa"/>
              <w:bottom w:w="90" w:type="dxa"/>
              <w:right w:w="90" w:type="dxa"/>
            </w:tcMar>
            <w:vAlign w:val="center"/>
          </w:tcPr>
          <w:p w14:paraId="25E38A98">
            <w:pPr>
              <w:spacing w:after="0" w:line="240" w:lineRule="auto"/>
              <w:rPr>
                <w:rFonts w:asciiTheme="minorHAnsi" w:hAnsiTheme="minorHAnsi"/>
                <w:sz w:val="24"/>
                <w:szCs w:val="24"/>
              </w:rPr>
            </w:pPr>
            <w:r>
              <w:rPr>
                <w:rFonts w:asciiTheme="minorHAnsi" w:hAnsiTheme="minorHAnsi"/>
                <w:sz w:val="24"/>
                <w:szCs w:val="24"/>
              </w:rPr>
              <w:t>Log-file analysis is not reported.</w:t>
            </w:r>
          </w:p>
        </w:tc>
        <w:tc>
          <w:tcPr>
            <w:tcW w:w="1908" w:type="dxa"/>
            <w:tcMar>
              <w:top w:w="90" w:type="dxa"/>
              <w:left w:w="90" w:type="dxa"/>
              <w:bottom w:w="90" w:type="dxa"/>
              <w:right w:w="90" w:type="dxa"/>
            </w:tcMar>
            <w:vAlign w:val="center"/>
          </w:tcPr>
          <w:p w14:paraId="2548C2E9">
            <w:pPr>
              <w:spacing w:after="0" w:line="240" w:lineRule="auto"/>
              <w:rPr>
                <w:rFonts w:asciiTheme="minorHAnsi" w:hAnsiTheme="minorHAnsi"/>
                <w:sz w:val="24"/>
                <w:szCs w:val="24"/>
              </w:rPr>
            </w:pPr>
            <w:r>
              <w:rPr>
                <w:rFonts w:asciiTheme="minorHAnsi" w:hAnsiTheme="minorHAnsi"/>
                <w:sz w:val="24"/>
                <w:szCs w:val="24"/>
              </w:rPr>
              <w:t>Not reported</w:t>
            </w:r>
          </w:p>
        </w:tc>
      </w:tr>
      <w:tr w14:paraId="4658149B">
        <w:trPr>
          <w:jc w:val="center"/>
        </w:trPr>
        <w:tc>
          <w:tcPr>
            <w:tcW w:w="1749" w:type="dxa"/>
            <w:tcMar>
              <w:top w:w="90" w:type="dxa"/>
              <w:left w:w="90" w:type="dxa"/>
              <w:bottom w:w="90" w:type="dxa"/>
              <w:right w:w="90" w:type="dxa"/>
            </w:tcMar>
            <w:vAlign w:val="center"/>
          </w:tcPr>
          <w:p w14:paraId="4A9BF2DF">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5BC12290">
            <w:pPr>
              <w:spacing w:after="0" w:line="240" w:lineRule="auto"/>
              <w:rPr>
                <w:rFonts w:asciiTheme="minorHAnsi" w:hAnsiTheme="minorHAnsi"/>
                <w:sz w:val="24"/>
                <w:szCs w:val="24"/>
              </w:rPr>
            </w:pPr>
            <w:r>
              <w:rPr>
                <w:rFonts w:asciiTheme="minorHAnsi" w:hAnsiTheme="minorHAnsi"/>
                <w:sz w:val="24"/>
                <w:szCs w:val="24"/>
              </w:rPr>
              <w:t>Registration</w:t>
            </w:r>
          </w:p>
        </w:tc>
        <w:tc>
          <w:tcPr>
            <w:tcW w:w="3969" w:type="dxa"/>
            <w:tcMar>
              <w:top w:w="90" w:type="dxa"/>
              <w:left w:w="90" w:type="dxa"/>
              <w:bottom w:w="90" w:type="dxa"/>
              <w:right w:w="90" w:type="dxa"/>
            </w:tcMar>
            <w:vAlign w:val="center"/>
          </w:tcPr>
          <w:p w14:paraId="1B57C814">
            <w:pPr>
              <w:spacing w:after="0" w:line="240" w:lineRule="auto"/>
              <w:rPr>
                <w:rFonts w:asciiTheme="minorHAnsi" w:hAnsiTheme="minorHAnsi"/>
                <w:sz w:val="24"/>
                <w:szCs w:val="24"/>
              </w:rPr>
            </w:pPr>
            <w:r>
              <w:rPr>
                <w:rFonts w:asciiTheme="minorHAnsi" w:hAnsiTheme="minorHAnsi"/>
                <w:sz w:val="24"/>
                <w:szCs w:val="24"/>
              </w:rPr>
              <w:t>The same invited expert panel of 60 experts was approached for both Delphi rounds, and no additional experts were recruited between rounds.</w:t>
            </w:r>
          </w:p>
        </w:tc>
        <w:tc>
          <w:tcPr>
            <w:tcW w:w="1908" w:type="dxa"/>
            <w:tcMar>
              <w:top w:w="90" w:type="dxa"/>
              <w:left w:w="90" w:type="dxa"/>
              <w:bottom w:w="90" w:type="dxa"/>
              <w:right w:w="90" w:type="dxa"/>
            </w:tcMar>
            <w:vAlign w:val="center"/>
          </w:tcPr>
          <w:p w14:paraId="11A371F9">
            <w:pPr>
              <w:spacing w:after="0" w:line="240" w:lineRule="auto"/>
              <w:rPr>
                <w:rFonts w:asciiTheme="minorHAnsi" w:hAnsiTheme="minorHAnsi"/>
                <w:sz w:val="24"/>
                <w:szCs w:val="24"/>
              </w:rPr>
            </w:pPr>
            <w:r>
              <w:rPr>
                <w:rFonts w:asciiTheme="minorHAnsi" w:hAnsiTheme="minorHAnsi"/>
                <w:sz w:val="24"/>
                <w:szCs w:val="24"/>
              </w:rPr>
              <w:t>Results: Expert Response Rate</w:t>
            </w:r>
          </w:p>
        </w:tc>
      </w:tr>
      <w:tr w14:paraId="701C8D33">
        <w:trPr>
          <w:jc w:val="center"/>
        </w:trPr>
        <w:tc>
          <w:tcPr>
            <w:tcW w:w="3875" w:type="dxa"/>
            <w:gridSpan w:val="2"/>
            <w:tcMar>
              <w:top w:w="90" w:type="dxa"/>
              <w:left w:w="90" w:type="dxa"/>
              <w:bottom w:w="90" w:type="dxa"/>
              <w:right w:w="90" w:type="dxa"/>
            </w:tcMar>
            <w:vAlign w:val="center"/>
          </w:tcPr>
          <w:p w14:paraId="73ADB982">
            <w:pPr>
              <w:spacing w:after="0" w:line="240" w:lineRule="auto"/>
              <w:rPr>
                <w:rFonts w:asciiTheme="minorHAnsi" w:hAnsiTheme="minorHAnsi"/>
                <w:sz w:val="24"/>
                <w:szCs w:val="24"/>
              </w:rPr>
            </w:pPr>
            <w:r>
              <w:rPr>
                <w:rFonts w:asciiTheme="minorHAnsi" w:hAnsiTheme="minorHAnsi"/>
                <w:b/>
                <w:sz w:val="24"/>
                <w:szCs w:val="24"/>
              </w:rPr>
              <w:t>Analysis</w:t>
            </w:r>
          </w:p>
        </w:tc>
        <w:tc>
          <w:tcPr>
            <w:tcW w:w="3969" w:type="dxa"/>
            <w:tcMar>
              <w:top w:w="90" w:type="dxa"/>
              <w:left w:w="90" w:type="dxa"/>
              <w:bottom w:w="90" w:type="dxa"/>
              <w:right w:w="90" w:type="dxa"/>
            </w:tcMar>
            <w:vAlign w:val="center"/>
          </w:tcPr>
          <w:p w14:paraId="6AB2AAE2">
            <w:pPr>
              <w:spacing w:after="0" w:line="240" w:lineRule="auto"/>
              <w:rPr>
                <w:rFonts w:asciiTheme="minorHAnsi" w:hAnsiTheme="minorHAnsi"/>
                <w:sz w:val="24"/>
                <w:szCs w:val="24"/>
              </w:rPr>
            </w:pPr>
          </w:p>
        </w:tc>
        <w:tc>
          <w:tcPr>
            <w:tcW w:w="1908" w:type="dxa"/>
            <w:tcMar>
              <w:top w:w="90" w:type="dxa"/>
              <w:left w:w="90" w:type="dxa"/>
              <w:bottom w:w="90" w:type="dxa"/>
              <w:right w:w="90" w:type="dxa"/>
            </w:tcMar>
            <w:vAlign w:val="center"/>
          </w:tcPr>
          <w:p w14:paraId="63528747">
            <w:pPr>
              <w:spacing w:after="0" w:line="240" w:lineRule="auto"/>
              <w:rPr>
                <w:rFonts w:asciiTheme="minorHAnsi" w:hAnsiTheme="minorHAnsi"/>
                <w:sz w:val="24"/>
                <w:szCs w:val="24"/>
              </w:rPr>
            </w:pPr>
          </w:p>
        </w:tc>
      </w:tr>
      <w:tr w14:paraId="365AD48E">
        <w:trPr>
          <w:jc w:val="center"/>
        </w:trPr>
        <w:tc>
          <w:tcPr>
            <w:tcW w:w="1749" w:type="dxa"/>
            <w:tcMar>
              <w:top w:w="90" w:type="dxa"/>
              <w:left w:w="90" w:type="dxa"/>
              <w:bottom w:w="90" w:type="dxa"/>
              <w:right w:w="90" w:type="dxa"/>
            </w:tcMar>
            <w:vAlign w:val="center"/>
          </w:tcPr>
          <w:p w14:paraId="3C1B4C29">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7E45902A">
            <w:pPr>
              <w:spacing w:after="0" w:line="240" w:lineRule="auto"/>
              <w:rPr>
                <w:rFonts w:asciiTheme="minorHAnsi" w:hAnsiTheme="minorHAnsi"/>
                <w:sz w:val="24"/>
                <w:szCs w:val="24"/>
              </w:rPr>
            </w:pPr>
            <w:r>
              <w:rPr>
                <w:rFonts w:asciiTheme="minorHAnsi" w:hAnsiTheme="minorHAnsi"/>
                <w:sz w:val="24"/>
                <w:szCs w:val="24"/>
              </w:rPr>
              <w:t>Handling of incomplete questionnaires</w:t>
            </w:r>
          </w:p>
        </w:tc>
        <w:tc>
          <w:tcPr>
            <w:tcW w:w="3969" w:type="dxa"/>
            <w:tcMar>
              <w:top w:w="90" w:type="dxa"/>
              <w:left w:w="90" w:type="dxa"/>
              <w:bottom w:w="90" w:type="dxa"/>
              <w:right w:w="90" w:type="dxa"/>
            </w:tcMar>
            <w:vAlign w:val="center"/>
          </w:tcPr>
          <w:p w14:paraId="4DB8A234">
            <w:pPr>
              <w:spacing w:after="0" w:line="240" w:lineRule="auto"/>
              <w:rPr>
                <w:rFonts w:asciiTheme="minorHAnsi" w:hAnsiTheme="minorHAnsi"/>
                <w:sz w:val="24"/>
                <w:szCs w:val="24"/>
              </w:rPr>
            </w:pPr>
            <w:r>
              <w:rPr>
                <w:rFonts w:asciiTheme="minorHAnsi" w:hAnsiTheme="minorHAnsi"/>
                <w:sz w:val="24"/>
                <w:szCs w:val="24"/>
              </w:rPr>
              <w:t>Analyses used valid responses only. The manuscript reports 57 valid Round 1 responses and 58 valid Round 2 responses.</w:t>
            </w:r>
          </w:p>
        </w:tc>
        <w:tc>
          <w:tcPr>
            <w:tcW w:w="1908" w:type="dxa"/>
            <w:tcMar>
              <w:top w:w="90" w:type="dxa"/>
              <w:left w:w="90" w:type="dxa"/>
              <w:bottom w:w="90" w:type="dxa"/>
              <w:right w:w="90" w:type="dxa"/>
            </w:tcMar>
            <w:vAlign w:val="center"/>
          </w:tcPr>
          <w:p w14:paraId="3F3383FA">
            <w:pPr>
              <w:spacing w:after="0" w:line="240" w:lineRule="auto"/>
              <w:rPr>
                <w:rFonts w:asciiTheme="minorHAnsi" w:hAnsiTheme="minorHAnsi"/>
                <w:sz w:val="24"/>
                <w:szCs w:val="24"/>
              </w:rPr>
            </w:pPr>
            <w:r>
              <w:rPr>
                <w:rFonts w:asciiTheme="minorHAnsi" w:hAnsiTheme="minorHAnsi"/>
                <w:sz w:val="24"/>
                <w:szCs w:val="24"/>
              </w:rPr>
              <w:t>Results: Expert Response Rate; Statistical Analysis and Reporting</w:t>
            </w:r>
          </w:p>
        </w:tc>
      </w:tr>
      <w:tr w14:paraId="31A8C344">
        <w:trPr>
          <w:jc w:val="center"/>
        </w:trPr>
        <w:tc>
          <w:tcPr>
            <w:tcW w:w="1749" w:type="dxa"/>
            <w:tcMar>
              <w:top w:w="90" w:type="dxa"/>
              <w:left w:w="90" w:type="dxa"/>
              <w:bottom w:w="90" w:type="dxa"/>
              <w:right w:w="90" w:type="dxa"/>
            </w:tcMar>
            <w:vAlign w:val="center"/>
          </w:tcPr>
          <w:p w14:paraId="5599110B">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6C2FBB72">
            <w:pPr>
              <w:spacing w:after="0" w:line="240" w:lineRule="auto"/>
              <w:rPr>
                <w:rFonts w:asciiTheme="minorHAnsi" w:hAnsiTheme="minorHAnsi"/>
                <w:sz w:val="24"/>
                <w:szCs w:val="24"/>
              </w:rPr>
            </w:pPr>
            <w:r>
              <w:rPr>
                <w:rFonts w:asciiTheme="minorHAnsi" w:hAnsiTheme="minorHAnsi"/>
                <w:sz w:val="24"/>
                <w:szCs w:val="24"/>
              </w:rPr>
              <w:t>Questionnaires submitted with an atypical timestamp</w:t>
            </w:r>
          </w:p>
        </w:tc>
        <w:tc>
          <w:tcPr>
            <w:tcW w:w="3969" w:type="dxa"/>
            <w:tcMar>
              <w:top w:w="90" w:type="dxa"/>
              <w:left w:w="90" w:type="dxa"/>
              <w:bottom w:w="90" w:type="dxa"/>
              <w:right w:w="90" w:type="dxa"/>
            </w:tcMar>
            <w:vAlign w:val="center"/>
          </w:tcPr>
          <w:p w14:paraId="7E36E631">
            <w:pPr>
              <w:spacing w:after="0" w:line="240" w:lineRule="auto"/>
              <w:rPr>
                <w:rFonts w:asciiTheme="minorHAnsi" w:hAnsiTheme="minorHAnsi"/>
                <w:sz w:val="24"/>
                <w:szCs w:val="24"/>
              </w:rPr>
            </w:pPr>
            <w:r>
              <w:rPr>
                <w:rFonts w:asciiTheme="minorHAnsi" w:hAnsiTheme="minorHAnsi"/>
                <w:sz w:val="24"/>
                <w:szCs w:val="24"/>
              </w:rPr>
              <w:t>No exclusion based on atypical timestamps is reported.</w:t>
            </w:r>
          </w:p>
        </w:tc>
        <w:tc>
          <w:tcPr>
            <w:tcW w:w="1908" w:type="dxa"/>
            <w:tcMar>
              <w:top w:w="90" w:type="dxa"/>
              <w:left w:w="90" w:type="dxa"/>
              <w:bottom w:w="90" w:type="dxa"/>
              <w:right w:w="90" w:type="dxa"/>
            </w:tcMar>
            <w:vAlign w:val="center"/>
          </w:tcPr>
          <w:p w14:paraId="1B29E7A7">
            <w:pPr>
              <w:spacing w:after="0" w:line="240" w:lineRule="auto"/>
              <w:rPr>
                <w:rFonts w:asciiTheme="minorHAnsi" w:hAnsiTheme="minorHAnsi"/>
                <w:sz w:val="24"/>
                <w:szCs w:val="24"/>
              </w:rPr>
            </w:pPr>
            <w:r>
              <w:rPr>
                <w:rFonts w:asciiTheme="minorHAnsi" w:hAnsiTheme="minorHAnsi"/>
                <w:sz w:val="24"/>
                <w:szCs w:val="24"/>
              </w:rPr>
              <w:t>Not reported</w:t>
            </w:r>
          </w:p>
        </w:tc>
      </w:tr>
      <w:tr w14:paraId="047F14A7">
        <w:trPr>
          <w:jc w:val="center"/>
        </w:trPr>
        <w:tc>
          <w:tcPr>
            <w:tcW w:w="1749" w:type="dxa"/>
            <w:tcMar>
              <w:top w:w="90" w:type="dxa"/>
              <w:left w:w="90" w:type="dxa"/>
              <w:bottom w:w="90" w:type="dxa"/>
              <w:right w:w="90" w:type="dxa"/>
            </w:tcMar>
            <w:vAlign w:val="center"/>
          </w:tcPr>
          <w:p w14:paraId="3257DA20">
            <w:pPr>
              <w:spacing w:after="0" w:line="240" w:lineRule="auto"/>
              <w:rPr>
                <w:rFonts w:asciiTheme="minorHAnsi" w:hAnsiTheme="minorHAnsi"/>
                <w:sz w:val="24"/>
                <w:szCs w:val="24"/>
              </w:rPr>
            </w:pPr>
          </w:p>
        </w:tc>
        <w:tc>
          <w:tcPr>
            <w:tcW w:w="2126" w:type="dxa"/>
            <w:tcMar>
              <w:top w:w="90" w:type="dxa"/>
              <w:left w:w="90" w:type="dxa"/>
              <w:bottom w:w="90" w:type="dxa"/>
              <w:right w:w="90" w:type="dxa"/>
            </w:tcMar>
            <w:vAlign w:val="center"/>
          </w:tcPr>
          <w:p w14:paraId="6F57CFF8">
            <w:pPr>
              <w:spacing w:after="0" w:line="240" w:lineRule="auto"/>
              <w:rPr>
                <w:rFonts w:asciiTheme="minorHAnsi" w:hAnsiTheme="minorHAnsi"/>
                <w:sz w:val="24"/>
                <w:szCs w:val="24"/>
              </w:rPr>
            </w:pPr>
            <w:r>
              <w:rPr>
                <w:rFonts w:asciiTheme="minorHAnsi" w:hAnsiTheme="minorHAnsi"/>
                <w:sz w:val="24"/>
                <w:szCs w:val="24"/>
              </w:rPr>
              <w:t>Statistical correction</w:t>
            </w:r>
          </w:p>
        </w:tc>
        <w:tc>
          <w:tcPr>
            <w:tcW w:w="3969" w:type="dxa"/>
            <w:tcMar>
              <w:top w:w="90" w:type="dxa"/>
              <w:left w:w="90" w:type="dxa"/>
              <w:bottom w:w="90" w:type="dxa"/>
              <w:right w:w="90" w:type="dxa"/>
            </w:tcMar>
            <w:vAlign w:val="center"/>
          </w:tcPr>
          <w:p w14:paraId="16D24ED6">
            <w:pPr>
              <w:spacing w:after="0" w:line="240" w:lineRule="auto"/>
              <w:rPr>
                <w:rFonts w:asciiTheme="minorHAnsi" w:hAnsiTheme="minorHAnsi"/>
                <w:sz w:val="24"/>
                <w:szCs w:val="24"/>
              </w:rPr>
            </w:pPr>
            <w:r>
              <w:rPr>
                <w:rFonts w:asciiTheme="minorHAnsi" w:hAnsiTheme="minorHAnsi"/>
                <w:sz w:val="24"/>
                <w:szCs w:val="24"/>
              </w:rPr>
              <w:t>No weighting or survey-specific statistical correction is reported. Results were summarized descriptively and with Delphi concordance statistics appropriate to the two survey rounds.</w:t>
            </w:r>
          </w:p>
        </w:tc>
        <w:tc>
          <w:tcPr>
            <w:tcW w:w="1908" w:type="dxa"/>
            <w:tcMar>
              <w:top w:w="90" w:type="dxa"/>
              <w:left w:w="90" w:type="dxa"/>
              <w:bottom w:w="90" w:type="dxa"/>
              <w:right w:w="90" w:type="dxa"/>
            </w:tcMar>
            <w:vAlign w:val="center"/>
          </w:tcPr>
          <w:p w14:paraId="1D27373E">
            <w:pPr>
              <w:spacing w:after="0" w:line="240" w:lineRule="auto"/>
              <w:rPr>
                <w:rFonts w:asciiTheme="minorHAnsi" w:hAnsiTheme="minorHAnsi"/>
                <w:sz w:val="24"/>
                <w:szCs w:val="24"/>
              </w:rPr>
            </w:pPr>
            <w:r>
              <w:rPr>
                <w:rFonts w:asciiTheme="minorHAnsi" w:hAnsiTheme="minorHAnsi"/>
                <w:sz w:val="24"/>
                <w:szCs w:val="24"/>
              </w:rPr>
              <w:t>Methods: Statistical Analysis and Reporting; Results</w:t>
            </w:r>
          </w:p>
        </w:tc>
      </w:tr>
    </w:tbl>
    <w:p w14:paraId="1A47F6F4">
      <w:pPr>
        <w:spacing w:before="160"/>
        <w:rPr>
          <w:rFonts w:asciiTheme="minorHAnsi" w:hAnsiTheme="minorHAnsi"/>
          <w:sz w:val="24"/>
          <w:szCs w:val="24"/>
        </w:rPr>
      </w:pPr>
      <w:r>
        <w:rPr>
          <w:rFonts w:asciiTheme="minorHAnsi" w:hAnsiTheme="minorHAnsi"/>
          <w:b/>
          <w:sz w:val="24"/>
          <w:szCs w:val="24"/>
        </w:rPr>
        <w:t xml:space="preserve">Source note: </w:t>
      </w:r>
      <w:r>
        <w:rPr>
          <w:rFonts w:asciiTheme="minorHAnsi" w:hAnsiTheme="minorHAnsi"/>
          <w:sz w:val="24"/>
          <w:szCs w:val="24"/>
        </w:rPr>
        <w:t>This completed checklist was prepared with reference to the original CHERRIES checklist: Eysenbach G. Improving the quality of Web surveys: the Checklist for Reporting Results of Internet E-Surveys (CHERRIES). J Med Internet Res. 2004;6(3):e34. PMID:15471760 doi:10.2196/jmir.6.3.e34.</w:t>
      </w:r>
    </w:p>
    <w:sectPr>
      <w:pgSz w:w="12240" w:h="15840"/>
      <w:pgMar w:top="1080" w:right="1008" w:bottom="1080" w:left="100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roman"/>
    <w:pitch w:val="default"/>
    <w:sig w:usb0="00000000" w:usb1="00000000" w:usb2="00000000" w:usb3="00000000" w:csb0="0000019F" w:csb1="00000000"/>
  </w:font>
  <w:font w:name="ＭＳ 明朝">
    <w:altName w:val="Hiragino Sans"/>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ＭＳ ゴシック">
    <w:altName w:val="苹方-简"/>
    <w:panose1 w:val="00000000000000000000"/>
    <w:charset w:val="00"/>
    <w:family w:val="auto"/>
    <w:pitch w:val="default"/>
    <w:sig w:usb0="00000000" w:usb1="00000000" w:usb2="00000000" w:usb3="00000000" w:csb0="00000000" w:csb1="00000000"/>
  </w:font>
  <w:font w:name="Courier">
    <w:altName w:val="苹方-简"/>
    <w:panose1 w:val="02070309020205020404"/>
    <w:charset w:val="00"/>
    <w:family w:val="modern"/>
    <w:pitch w:val="default"/>
    <w:sig w:usb0="00000000" w:usb1="00000000" w:usb2="00000009" w:usb3="00000000" w:csb0="000001FF"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67667B"/>
    <w:rsid w:val="0077021B"/>
    <w:rsid w:val="007E42F0"/>
    <w:rsid w:val="00AA1D8D"/>
    <w:rsid w:val="00AC644A"/>
    <w:rsid w:val="00B47730"/>
    <w:rsid w:val="00BB707B"/>
    <w:rsid w:val="00BF0692"/>
    <w:rsid w:val="00CB0664"/>
    <w:rsid w:val="00FC693F"/>
    <w:rsid w:val="3FCF9F8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Arial" w:cstheme="minorBidi"/>
      <w:sz w:val="18"/>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Arial" w:hAnsi="Arial" w:eastAsia="Arial"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uiPriority w:val="99"/>
  </w:style>
  <w:style w:type="character" w:customStyle="1" w:styleId="136">
    <w:name w:val="页脚 字符"/>
    <w:basedOn w:val="132"/>
    <w:link w:val="24"/>
    <w:uiPriority w:val="99"/>
  </w:style>
  <w:style w:type="paragraph" w:styleId="137">
    <w:name w:val="No Spacing"/>
    <w:qFormat/>
    <w:uiPriority w:val="1"/>
    <w:pPr>
      <w:spacing w:after="0" w:line="240" w:lineRule="auto"/>
    </w:pPr>
    <w:rPr>
      <w:rFonts w:ascii="Arial" w:hAnsi="Arial" w:eastAsia="Arial" w:cstheme="minorBidi"/>
      <w:sz w:val="22"/>
      <w:szCs w:val="22"/>
      <w:lang w:val="en-US" w:eastAsia="en-US" w:bidi="ar-SA"/>
    </w:rPr>
  </w:style>
  <w:style w:type="character" w:customStyle="1" w:styleId="138">
    <w:name w:val="标题 1 字符"/>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uiPriority w:val="99"/>
  </w:style>
  <w:style w:type="character" w:customStyle="1" w:styleId="145">
    <w:name w:val="正文文本 2 字符"/>
    <w:basedOn w:val="132"/>
    <w:link w:val="28"/>
    <w:uiPriority w:val="99"/>
  </w:style>
  <w:style w:type="character" w:customStyle="1" w:styleId="146">
    <w:name w:val="正文文本 3 字符"/>
    <w:basedOn w:val="132"/>
    <w:link w:val="17"/>
    <w:uiPriority w:val="99"/>
    <w:rPr>
      <w:sz w:val="16"/>
      <w:szCs w:val="16"/>
    </w:rPr>
  </w:style>
  <w:style w:type="character" w:customStyle="1" w:styleId="147">
    <w:name w:val="宏文本 字符"/>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uiPriority w:val="29"/>
    <w:rPr>
      <w:i/>
      <w:iCs/>
      <w:color w:val="000000" w:themeColor="text1"/>
      <w14:textFill>
        <w14:solidFill>
          <w14:schemeClr w14:val="tx1"/>
        </w14:solidFill>
      </w14:textFill>
    </w:rPr>
  </w:style>
  <w:style w:type="character" w:customStyle="1" w:styleId="150">
    <w:name w:val="标题 4 字符"/>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rPr>
      <w:rFonts w:ascii="Arial" w:hAnsi="Arial" w:eastAsia="Arial"/>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1348</Words>
  <Characters>7689</Characters>
  <Lines>64</Lines>
  <Paragraphs>18</Paragraphs>
  <TotalTime>0</TotalTime>
  <ScaleCrop>false</ScaleCrop>
  <LinksUpToDate>false</LinksUpToDate>
  <CharactersWithSpaces>9019</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2026-08-05T23:21:00Z</dcterms:created>
  <dc:creator>python-docx</dc:creator>
  <dc:description>generated by python-docx</dc:description>
  <cp:lastModifiedBy>WPS_1582889378</cp:lastModifiedBy>
  <dcterms:modified xsi:type="dcterms:W3CDTF">2026-08-28T17:35:10Z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7654697CDDE813424E56916A9D20C511_42</vt:lpwstr>
  </property>
</Properties>
</file>