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44E86" w14:textId="77777777" w:rsidR="00C23395" w:rsidRDefault="00C23395">
      <w:pPr>
        <w:widowControl/>
        <w:jc w:val="left"/>
        <w:rPr>
          <w:rFonts w:ascii="Times New Roman" w:eastAsia="Times" w:hAnsi="Times New Roman" w:cs="Times New Roman"/>
          <w:b/>
          <w:bCs/>
          <w:kern w:val="0"/>
          <w:sz w:val="24"/>
          <w:lang w:val="en-GB" w:eastAsia="pt-PT"/>
        </w:rPr>
      </w:pPr>
    </w:p>
    <w:p w14:paraId="3BC0D66C" w14:textId="77777777" w:rsidR="00C23395" w:rsidRDefault="00000000">
      <w:pPr>
        <w:widowControl/>
        <w:jc w:val="center"/>
        <w:rPr>
          <w:rFonts w:ascii="Times New Roman" w:eastAsia="Times" w:hAnsi="Times New Roman" w:cs="Times New Roman"/>
          <w:b/>
          <w:bCs/>
          <w:kern w:val="0"/>
          <w:sz w:val="24"/>
          <w:lang w:val="en-GB" w:eastAsia="pt-PT"/>
        </w:rPr>
      </w:pPr>
      <w:r>
        <w:rPr>
          <w:rFonts w:ascii="Times New Roman" w:eastAsia="Times" w:hAnsi="Times New Roman" w:cs="Times New Roman"/>
          <w:b/>
          <w:bCs/>
          <w:kern w:val="0"/>
          <w:sz w:val="24"/>
          <w:lang w:val="en-GB" w:eastAsia="pt-PT"/>
        </w:rPr>
        <w:t>Annex A</w:t>
      </w:r>
    </w:p>
    <w:p w14:paraId="399FA47F" w14:textId="77777777" w:rsidR="00C23395" w:rsidRDefault="00C23395">
      <w:pPr>
        <w:widowControl/>
        <w:jc w:val="center"/>
        <w:rPr>
          <w:rFonts w:ascii="Times New Roman" w:eastAsia="Times" w:hAnsi="Times New Roman" w:cs="Times New Roman"/>
          <w:kern w:val="0"/>
          <w:sz w:val="24"/>
          <w:lang w:val="en-GB" w:eastAsia="pt-PT"/>
        </w:rPr>
      </w:pPr>
    </w:p>
    <w:p w14:paraId="49BE29CE" w14:textId="77777777" w:rsidR="00C23395" w:rsidRDefault="00000000">
      <w:pPr>
        <w:jc w:val="left"/>
        <w:rPr>
          <w:rFonts w:ascii="Times New Roman" w:eastAsia="Times" w:hAnsi="Times New Roman" w:cs="Times New Roman"/>
          <w:kern w:val="0"/>
          <w:sz w:val="24"/>
          <w:lang w:val="en-GB" w:eastAsia="pt-PT"/>
        </w:rPr>
      </w:pPr>
      <w:r>
        <w:rPr>
          <w:rFonts w:ascii="Times New Roman" w:eastAsia="Times" w:hAnsi="Times New Roman" w:cs="Times New Roman" w:hint="eastAsia"/>
          <w:kern w:val="0"/>
          <w:sz w:val="24"/>
          <w:lang w:val="en-GB" w:eastAsia="pt-PT"/>
        </w:rPr>
        <w:t>This annex illustrates the model</w:t>
      </w:r>
      <w:r>
        <w:rPr>
          <w:rFonts w:ascii="Times New Roman" w:eastAsia="宋体" w:hAnsi="Times New Roman" w:cs="Times New Roman"/>
          <w:kern w:val="0"/>
          <w:sz w:val="24"/>
        </w:rPr>
        <w:t>’</w:t>
      </w:r>
      <w:r>
        <w:rPr>
          <w:rFonts w:ascii="Times New Roman" w:eastAsia="Times" w:hAnsi="Times New Roman" w:cs="Times New Roman" w:hint="eastAsia"/>
          <w:kern w:val="0"/>
          <w:sz w:val="24"/>
          <w:lang w:val="en-GB" w:eastAsia="pt-PT"/>
        </w:rPr>
        <w:t xml:space="preserve">s extraction output for </w:t>
      </w:r>
      <w:r>
        <w:rPr>
          <w:rFonts w:ascii="Times New Roman" w:eastAsia="宋体" w:hAnsi="Times New Roman" w:cs="Times New Roman" w:hint="eastAsia"/>
          <w:kern w:val="0"/>
          <w:sz w:val="24"/>
        </w:rPr>
        <w:t xml:space="preserve">a </w:t>
      </w:r>
      <w:r>
        <w:rPr>
          <w:rFonts w:ascii="Times New Roman" w:eastAsia="Times" w:hAnsi="Times New Roman" w:cs="Times New Roman" w:hint="eastAsia"/>
          <w:kern w:val="0"/>
          <w:sz w:val="24"/>
          <w:lang w:val="en-GB" w:eastAsia="pt-PT"/>
        </w:rPr>
        <w:t>representative case file</w:t>
      </w:r>
      <w:r>
        <w:rPr>
          <w:rFonts w:ascii="Times New Roman" w:eastAsia="宋体" w:hAnsi="Times New Roman" w:cs="Times New Roman" w:hint="eastAsia"/>
          <w:kern w:val="0"/>
          <w:sz w:val="24"/>
        </w:rPr>
        <w:t xml:space="preserve"> in English. </w:t>
      </w:r>
      <w:r>
        <w:rPr>
          <w:rFonts w:ascii="Times New Roman" w:eastAsia="Times" w:hAnsi="Times New Roman" w:cs="Times New Roman" w:hint="eastAsia"/>
          <w:kern w:val="0"/>
          <w:sz w:val="24"/>
          <w:lang w:val="en-GB" w:eastAsia="pt-PT"/>
        </w:rPr>
        <w:t xml:space="preserve">The full text of the judgment </w:t>
      </w:r>
      <w:r>
        <w:rPr>
          <w:rFonts w:ascii="Times New Roman" w:eastAsia="宋体" w:hAnsi="Times New Roman" w:cs="Times New Roman" w:hint="eastAsia"/>
          <w:kern w:val="0"/>
          <w:sz w:val="24"/>
        </w:rPr>
        <w:t>is</w:t>
      </w:r>
      <w:r>
        <w:rPr>
          <w:rFonts w:ascii="Times New Roman" w:eastAsia="Times" w:hAnsi="Times New Roman" w:cs="Times New Roman" w:hint="eastAsia"/>
          <w:kern w:val="0"/>
          <w:sz w:val="24"/>
          <w:lang w:val="en-GB" w:eastAsia="pt-PT"/>
        </w:rPr>
        <w:t xml:space="preserve"> publicly available on the official website of the Macao courts: https://www.court.gov.mo/zh/subpage/researchjudgments.</w:t>
      </w:r>
    </w:p>
    <w:p w14:paraId="4C335BAC" w14:textId="77777777" w:rsidR="00C23395" w:rsidRDefault="00C23395">
      <w:pPr>
        <w:rPr>
          <w:rFonts w:ascii="Times New Roman" w:eastAsia="宋体" w:hAnsi="Times New Roman" w:cs="Times New Roman"/>
          <w:kern w:val="0"/>
          <w:sz w:val="24"/>
        </w:rPr>
      </w:pPr>
    </w:p>
    <w:p w14:paraId="012E3DA8" w14:textId="77777777" w:rsidR="00C23395" w:rsidRDefault="00000000">
      <w:pPr>
        <w:rPr>
          <w:rFonts w:ascii="Times New Roman" w:eastAsia="Times" w:hAnsi="Times New Roman" w:cs="Times New Roman"/>
          <w:kern w:val="0"/>
          <w:sz w:val="24"/>
          <w:lang w:val="en-GB" w:eastAsia="pt-PT"/>
        </w:rPr>
      </w:pPr>
      <w:r>
        <w:rPr>
          <w:rFonts w:ascii="Times New Roman" w:eastAsia="Times" w:hAnsi="Times New Roman" w:cs="Times New Roman" w:hint="eastAsia"/>
          <w:kern w:val="0"/>
          <w:sz w:val="24"/>
          <w:u w:val="single"/>
          <w:lang w:val="en-GB" w:eastAsia="pt-PT"/>
        </w:rPr>
        <w:t>Example</w:t>
      </w:r>
      <w:r>
        <w:rPr>
          <w:rFonts w:ascii="Times New Roman" w:eastAsia="Times" w:hAnsi="Times New Roman" w:cs="Times New Roman" w:hint="eastAsia"/>
          <w:kern w:val="0"/>
          <w:sz w:val="24"/>
          <w:lang w:val="en-GB" w:eastAsia="pt-PT"/>
        </w:rPr>
        <w:t xml:space="preserve"> </w:t>
      </w:r>
    </w:p>
    <w:p w14:paraId="1D92E9C4" w14:textId="77777777" w:rsidR="00C23395" w:rsidRDefault="00C23395">
      <w:pPr>
        <w:rPr>
          <w:rFonts w:ascii="Times New Roman" w:eastAsia="宋体" w:hAnsi="Times New Roman" w:cs="Times New Roman"/>
          <w:kern w:val="0"/>
          <w:sz w:val="24"/>
        </w:rPr>
      </w:pPr>
    </w:p>
    <w:p w14:paraId="0DB997A8" w14:textId="77777777" w:rsidR="00C23395" w:rsidRDefault="00000000">
      <w:pPr>
        <w:rPr>
          <w:rFonts w:ascii="Times New Roman" w:eastAsia="宋体" w:hAnsi="Times New Roman" w:cs="Times New Roman"/>
          <w:kern w:val="0"/>
          <w:sz w:val="24"/>
        </w:rPr>
      </w:pPr>
      <w:r>
        <w:rPr>
          <w:rFonts w:ascii="Times New Roman" w:eastAsia="宋体" w:hAnsi="Times New Roman" w:cs="Times New Roman"/>
          <w:kern w:val="0"/>
          <w:sz w:val="24"/>
        </w:rPr>
        <w:t>- Case</w:t>
      </w:r>
      <w:r>
        <w:rPr>
          <w:rFonts w:ascii="Times New Roman" w:eastAsia="宋体" w:hAnsi="Times New Roman" w:cs="Times New Roman" w:hint="eastAsia"/>
          <w:kern w:val="0"/>
          <w:sz w:val="24"/>
        </w:rPr>
        <w:t xml:space="preserve"> </w:t>
      </w:r>
      <w:r>
        <w:rPr>
          <w:rFonts w:ascii="Times New Roman" w:eastAsia="宋体" w:hAnsi="Times New Roman" w:cs="Times New Roman"/>
          <w:kern w:val="0"/>
          <w:sz w:val="24"/>
        </w:rPr>
        <w:t>no</w:t>
      </w:r>
      <w:r>
        <w:rPr>
          <w:rFonts w:ascii="Times New Roman" w:eastAsia="宋体" w:hAnsi="Times New Roman" w:cs="Times New Roman" w:hint="eastAsia"/>
          <w:kern w:val="0"/>
          <w:sz w:val="24"/>
        </w:rPr>
        <w:t>: 740/2016</w:t>
      </w:r>
    </w:p>
    <w:p w14:paraId="0817C42B" w14:textId="77777777" w:rsidR="00C23395" w:rsidRDefault="00C23395">
      <w:pPr>
        <w:rPr>
          <w:rFonts w:ascii="Times New Roman" w:eastAsia="宋体" w:hAnsi="Times New Roman" w:cs="Times New Roman"/>
          <w:kern w:val="0"/>
          <w:sz w:val="24"/>
        </w:rPr>
      </w:pPr>
    </w:p>
    <w:p w14:paraId="60A7467A" w14:textId="77777777" w:rsidR="00C23395" w:rsidRDefault="00000000">
      <w:pPr>
        <w:rPr>
          <w:rFonts w:ascii="Times New Roman" w:eastAsia="宋体" w:hAnsi="Times New Roman" w:cs="Times New Roman"/>
          <w:kern w:val="0"/>
          <w:sz w:val="24"/>
        </w:rPr>
      </w:pPr>
      <w:r>
        <w:rPr>
          <w:rFonts w:ascii="Times New Roman" w:eastAsia="宋体" w:hAnsi="Times New Roman" w:cs="Times New Roman" w:hint="eastAsia"/>
          <w:kern w:val="0"/>
          <w:sz w:val="24"/>
        </w:rPr>
        <w:t>- Adjudicated date: 2016/11/3</w:t>
      </w:r>
    </w:p>
    <w:p w14:paraId="150847F3" w14:textId="77777777" w:rsidR="00C23395" w:rsidRDefault="00C23395">
      <w:pPr>
        <w:rPr>
          <w:rFonts w:ascii="Times New Roman" w:eastAsia="宋体" w:hAnsi="Times New Roman" w:cs="Times New Roman"/>
          <w:kern w:val="0"/>
          <w:sz w:val="24"/>
        </w:rPr>
      </w:pPr>
    </w:p>
    <w:p w14:paraId="6B1A7CFA" w14:textId="77777777" w:rsidR="00C23395" w:rsidRDefault="00000000">
      <w:pPr>
        <w:rPr>
          <w:rFonts w:ascii="Times New Roman" w:eastAsia="宋体" w:hAnsi="Times New Roman" w:cs="Times New Roman"/>
          <w:kern w:val="0"/>
          <w:sz w:val="24"/>
        </w:rPr>
      </w:pPr>
      <w:r>
        <w:rPr>
          <w:rFonts w:ascii="Times New Roman" w:eastAsia="宋体" w:hAnsi="Times New Roman" w:cs="Times New Roman" w:hint="eastAsia"/>
          <w:kern w:val="0"/>
          <w:sz w:val="24"/>
        </w:rPr>
        <w:t>- Court name: The Court of Second Instance</w:t>
      </w:r>
    </w:p>
    <w:p w14:paraId="5F573CF2" w14:textId="77777777" w:rsidR="00C23395" w:rsidRDefault="00C23395">
      <w:pPr>
        <w:rPr>
          <w:rFonts w:ascii="Times New Roman" w:eastAsia="宋体" w:hAnsi="Times New Roman" w:cs="Times New Roman"/>
          <w:kern w:val="0"/>
          <w:sz w:val="24"/>
        </w:rPr>
      </w:pPr>
    </w:p>
    <w:p w14:paraId="79234850" w14:textId="77777777" w:rsidR="00C23395" w:rsidRDefault="00000000">
      <w:pPr>
        <w:rPr>
          <w:rFonts w:ascii="Times New Roman" w:eastAsia="宋体" w:hAnsi="Times New Roman" w:cs="Times New Roman"/>
          <w:kern w:val="0"/>
          <w:sz w:val="24"/>
        </w:rPr>
      </w:pPr>
      <w:r>
        <w:rPr>
          <w:rFonts w:ascii="Times New Roman" w:eastAsia="宋体" w:hAnsi="Times New Roman" w:cs="Times New Roman" w:hint="eastAsia"/>
          <w:kern w:val="0"/>
          <w:sz w:val="24"/>
        </w:rPr>
        <w:t>- Case type: Appeals in criminal proceedings</w:t>
      </w:r>
    </w:p>
    <w:p w14:paraId="42CE0313" w14:textId="77777777" w:rsidR="00C23395" w:rsidRDefault="00C23395">
      <w:pPr>
        <w:rPr>
          <w:rFonts w:ascii="Times New Roman" w:eastAsia="Times" w:hAnsi="Times New Roman" w:cs="Times New Roman"/>
          <w:kern w:val="0"/>
          <w:sz w:val="24"/>
          <w:lang w:val="en-GB" w:eastAsia="pt-PT"/>
        </w:rPr>
      </w:pPr>
    </w:p>
    <w:p w14:paraId="24C5B85F" w14:textId="77777777" w:rsidR="00C23395" w:rsidRDefault="00000000">
      <w:pPr>
        <w:rPr>
          <w:rFonts w:ascii="Times New Roman" w:eastAsia="宋体" w:hAnsi="Times New Roman" w:cs="Times New Roman"/>
          <w:kern w:val="0"/>
          <w:sz w:val="24"/>
        </w:rPr>
      </w:pPr>
      <w:r>
        <w:rPr>
          <w:rFonts w:ascii="Times New Roman" w:eastAsia="Times" w:hAnsi="Times New Roman" w:cs="Times New Roman" w:hint="eastAsia"/>
          <w:kern w:val="0"/>
          <w:sz w:val="24"/>
          <w:lang w:val="en-GB" w:eastAsia="pt-PT"/>
        </w:rPr>
        <w:t>- Litigation object</w:t>
      </w:r>
      <w:r>
        <w:rPr>
          <w:rFonts w:ascii="Times New Roman" w:eastAsia="宋体" w:hAnsi="Times New Roman" w:cs="Times New Roman" w:hint="eastAsia"/>
          <w:kern w:val="0"/>
          <w:sz w:val="24"/>
        </w:rPr>
        <w:t>: Aggravated theft; Receiving Stolen Goods</w:t>
      </w:r>
    </w:p>
    <w:p w14:paraId="285A83B8" w14:textId="77777777" w:rsidR="00C23395" w:rsidRDefault="00C23395">
      <w:pPr>
        <w:rPr>
          <w:rFonts w:ascii="Times New Roman" w:eastAsia="Times" w:hAnsi="Times New Roman" w:cs="Times New Roman"/>
          <w:kern w:val="0"/>
          <w:sz w:val="24"/>
          <w:lang w:val="en-GB" w:eastAsia="pt-PT"/>
        </w:rPr>
      </w:pPr>
    </w:p>
    <w:p w14:paraId="07F67530" w14:textId="77777777" w:rsidR="00C23395" w:rsidRDefault="00000000">
      <w:pPr>
        <w:rPr>
          <w:rFonts w:ascii="Times New Roman" w:eastAsia="宋体" w:hAnsi="Times New Roman" w:cs="Times New Roman"/>
          <w:kern w:val="0"/>
          <w:sz w:val="24"/>
        </w:rPr>
      </w:pPr>
      <w:r>
        <w:rPr>
          <w:rFonts w:ascii="Times New Roman" w:eastAsia="Times" w:hAnsi="Times New Roman" w:cs="Times New Roman" w:hint="eastAsia"/>
          <w:kern w:val="0"/>
          <w:sz w:val="24"/>
          <w:lang w:val="en-GB" w:eastAsia="pt-PT"/>
        </w:rPr>
        <w:t>- Cited provision</w:t>
      </w:r>
      <w:r>
        <w:rPr>
          <w:rFonts w:ascii="Times New Roman" w:eastAsia="宋体" w:hAnsi="Times New Roman" w:cs="Times New Roman" w:hint="eastAsia"/>
          <w:kern w:val="0"/>
          <w:sz w:val="24"/>
        </w:rPr>
        <w:t>: Article 198(2)(a) of the Criminal Code in conjunction with Article 196(b) of the Criminal Code; Article 227(1) of the Criminal Code; Article 400(2)(c) of the Criminal Procedure Code; Article 40 of the Criminal Code; Article 65 of the Criminal Code; Article 48 of the Criminal Code; Article 13 of the Criminal Code; Article 200 of the Criminal Code; Article 1247 of the Civil Code</w:t>
      </w:r>
    </w:p>
    <w:p w14:paraId="659A36B5" w14:textId="77777777" w:rsidR="00C23395" w:rsidRDefault="00C23395">
      <w:pPr>
        <w:rPr>
          <w:rFonts w:ascii="Times New Roman" w:eastAsia="Times" w:hAnsi="Times New Roman" w:cs="Times New Roman"/>
          <w:kern w:val="0"/>
          <w:sz w:val="24"/>
          <w:lang w:val="en-GB" w:eastAsia="pt-PT"/>
        </w:rPr>
      </w:pPr>
    </w:p>
    <w:p w14:paraId="52A8EE49" w14:textId="7311BB22" w:rsidR="00C23395" w:rsidRDefault="00000000">
      <w:pPr>
        <w:rPr>
          <w:rFonts w:ascii="Times New Roman" w:eastAsia="宋体" w:hAnsi="Times New Roman" w:cs="Times New Roman"/>
          <w:kern w:val="0"/>
          <w:sz w:val="24"/>
        </w:rPr>
      </w:pPr>
      <w:r>
        <w:rPr>
          <w:rFonts w:ascii="Times New Roman" w:eastAsia="Times" w:hAnsi="Times New Roman" w:cs="Times New Roman" w:hint="eastAsia"/>
          <w:kern w:val="0"/>
          <w:sz w:val="24"/>
          <w:lang w:val="en-GB" w:eastAsia="pt-PT"/>
        </w:rPr>
        <w:t>- Verdict</w:t>
      </w:r>
      <w:r>
        <w:rPr>
          <w:rFonts w:ascii="Times New Roman" w:eastAsia="宋体" w:hAnsi="Times New Roman" w:cs="Times New Roman" w:hint="eastAsia"/>
          <w:kern w:val="0"/>
          <w:sz w:val="24"/>
        </w:rPr>
        <w:t>: First-instance judgment: Defendant A (Appellant A) committed one count of aggravated theft and was sentenced to two years and six months of actual imprisonment, and was also required to compensate the two victims in the amount of HKD 214,850 plus statutory interest; Defendant B was charged with one count of receiving stolen goods and was acquitted. Appellate judgment: The Court of Second Instance held that Appellant A</w:t>
      </w:r>
      <w:r w:rsidR="00BC605F">
        <w:rPr>
          <w:rFonts w:ascii="Times New Roman" w:eastAsia="宋体" w:hAnsi="Times New Roman" w:cs="Times New Roman"/>
          <w:kern w:val="0"/>
          <w:sz w:val="24"/>
        </w:rPr>
        <w:t>’</w:t>
      </w:r>
      <w:r>
        <w:rPr>
          <w:rFonts w:ascii="Times New Roman" w:eastAsia="宋体" w:hAnsi="Times New Roman" w:cs="Times New Roman" w:hint="eastAsia"/>
          <w:kern w:val="0"/>
          <w:sz w:val="24"/>
        </w:rPr>
        <w:t>s grounds of appeal were not sustained and upheld the original judgment; Appellant A was required to pay the litigation costs, a judicial fee of 5 units of account, and remuneration for the appointed defense counsel in the amount of MOP 2,500.</w:t>
      </w:r>
    </w:p>
    <w:p w14:paraId="5E36A34A" w14:textId="77777777" w:rsidR="00C23395" w:rsidRDefault="00C23395">
      <w:pPr>
        <w:rPr>
          <w:rFonts w:ascii="Times New Roman" w:eastAsia="Times" w:hAnsi="Times New Roman" w:cs="Times New Roman"/>
          <w:kern w:val="0"/>
          <w:sz w:val="24"/>
          <w:lang w:val="en-GB" w:eastAsia="pt-PT"/>
        </w:rPr>
      </w:pPr>
    </w:p>
    <w:p w14:paraId="7DDBDADC" w14:textId="77777777" w:rsidR="00C23395" w:rsidRDefault="00000000">
      <w:pPr>
        <w:rPr>
          <w:rFonts w:ascii="Times New Roman" w:eastAsia="宋体" w:hAnsi="Times New Roman" w:cs="Times New Roman"/>
          <w:kern w:val="0"/>
          <w:sz w:val="24"/>
        </w:rPr>
      </w:pPr>
      <w:r>
        <w:rPr>
          <w:rFonts w:ascii="Times New Roman" w:eastAsia="Times" w:hAnsi="Times New Roman" w:cs="Times New Roman" w:hint="eastAsia"/>
          <w:kern w:val="0"/>
          <w:sz w:val="24"/>
          <w:lang w:val="en-GB" w:eastAsia="pt-PT"/>
        </w:rPr>
        <w:t>- Remanded for retrial</w:t>
      </w:r>
      <w:r>
        <w:rPr>
          <w:rFonts w:ascii="Times New Roman" w:eastAsia="宋体" w:hAnsi="Times New Roman" w:cs="Times New Roman" w:hint="eastAsia"/>
          <w:kern w:val="0"/>
          <w:sz w:val="24"/>
        </w:rPr>
        <w:t>: No</w:t>
      </w:r>
    </w:p>
    <w:p w14:paraId="169C7265" w14:textId="77777777" w:rsidR="00C23395" w:rsidRDefault="00C23395">
      <w:pPr>
        <w:rPr>
          <w:rFonts w:ascii="Times New Roman" w:eastAsia="Times" w:hAnsi="Times New Roman" w:cs="Times New Roman"/>
          <w:kern w:val="0"/>
          <w:sz w:val="24"/>
          <w:lang w:val="en-GB" w:eastAsia="pt-PT"/>
        </w:rPr>
      </w:pPr>
    </w:p>
    <w:p w14:paraId="521384DA" w14:textId="77777777" w:rsidR="00C23395" w:rsidRDefault="00000000">
      <w:pPr>
        <w:rPr>
          <w:rFonts w:ascii="Times New Roman" w:eastAsia="宋体" w:hAnsi="Times New Roman" w:cs="Times New Roman"/>
          <w:kern w:val="0"/>
          <w:sz w:val="24"/>
          <w:lang w:val="en-GB"/>
        </w:rPr>
      </w:pPr>
      <w:r>
        <w:rPr>
          <w:rFonts w:ascii="Times New Roman" w:eastAsia="Times" w:hAnsi="Times New Roman" w:cs="Times New Roman" w:hint="eastAsia"/>
          <w:kern w:val="0"/>
          <w:sz w:val="24"/>
          <w:lang w:val="en-GB" w:eastAsia="pt-PT"/>
        </w:rPr>
        <w:t>- Procedural measure</w:t>
      </w:r>
      <w:r>
        <w:rPr>
          <w:rFonts w:ascii="Times New Roman" w:eastAsia="宋体" w:hAnsi="Times New Roman" w:cs="Times New Roman" w:hint="eastAsia"/>
          <w:kern w:val="0"/>
          <w:sz w:val="24"/>
        </w:rPr>
        <w:t xml:space="preserve">: </w:t>
      </w:r>
      <w:r>
        <w:rPr>
          <w:rFonts w:ascii="Times New Roman" w:eastAsia="宋体" w:hAnsi="Times New Roman" w:cs="Times New Roman" w:hint="eastAsia"/>
          <w:kern w:val="0"/>
          <w:sz w:val="24"/>
          <w:lang w:val="en-GB"/>
        </w:rPr>
        <w:t>Preventive Detention</w:t>
      </w:r>
    </w:p>
    <w:p w14:paraId="39605C7E" w14:textId="77777777" w:rsidR="00C23395" w:rsidRDefault="00C23395">
      <w:pPr>
        <w:rPr>
          <w:rFonts w:ascii="Times New Roman" w:eastAsia="Times" w:hAnsi="Times New Roman" w:cs="Times New Roman"/>
          <w:kern w:val="0"/>
          <w:sz w:val="24"/>
          <w:lang w:val="en-GB" w:eastAsia="pt-PT"/>
        </w:rPr>
      </w:pPr>
    </w:p>
    <w:p w14:paraId="0F7E3C32" w14:textId="412FAAF1" w:rsidR="00C23395" w:rsidRDefault="00000000">
      <w:pPr>
        <w:rPr>
          <w:rFonts w:ascii="Times New Roman" w:eastAsia="宋体" w:hAnsi="Times New Roman" w:cs="Times New Roman"/>
          <w:kern w:val="0"/>
          <w:sz w:val="24"/>
          <w:lang w:val="en-GB"/>
        </w:rPr>
      </w:pPr>
      <w:r>
        <w:rPr>
          <w:rFonts w:ascii="Times New Roman" w:eastAsia="Times" w:hAnsi="Times New Roman" w:cs="Times New Roman" w:hint="eastAsia"/>
          <w:kern w:val="0"/>
          <w:sz w:val="24"/>
          <w:lang w:val="en-GB" w:eastAsia="pt-PT"/>
        </w:rPr>
        <w:t>- Parties opinion</w:t>
      </w:r>
      <w:r>
        <w:rPr>
          <w:rFonts w:ascii="Times New Roman" w:eastAsia="宋体" w:hAnsi="Times New Roman" w:cs="Times New Roman" w:hint="eastAsia"/>
          <w:kern w:val="0"/>
          <w:sz w:val="24"/>
        </w:rPr>
        <w:t xml:space="preserve">: </w:t>
      </w:r>
      <w:r>
        <w:rPr>
          <w:rFonts w:ascii="Times New Roman" w:eastAsia="宋体" w:hAnsi="Times New Roman" w:cs="Times New Roman" w:hint="eastAsia"/>
          <w:kern w:val="0"/>
          <w:sz w:val="24"/>
          <w:lang w:val="en-GB"/>
        </w:rPr>
        <w:t>Reasons giving rise to the proceedings: The Public Prosecution Office charged Defendant A with one count of aggravated theft and Defendant B with one count of receiving stolen goods. Appellant A, dissatisfied with the first-instance judgment, lodged an appeal, with the main grounds including: 1. He argued that his conduct did not constitute theft, but should instead constitute the</w:t>
      </w:r>
      <w:r>
        <w:rPr>
          <w:rFonts w:ascii="Times New Roman" w:eastAsia="宋体" w:hAnsi="Times New Roman" w:cs="Times New Roman" w:hint="eastAsia"/>
          <w:kern w:val="0"/>
          <w:sz w:val="24"/>
        </w:rPr>
        <w:t xml:space="preserve"> </w:t>
      </w:r>
      <w:r>
        <w:rPr>
          <w:rFonts w:ascii="Times New Roman" w:eastAsia="宋体" w:hAnsi="Times New Roman" w:cs="Times New Roman"/>
          <w:kern w:val="0"/>
          <w:sz w:val="24"/>
        </w:rPr>
        <w:t>“</w:t>
      </w:r>
      <w:r w:rsidR="00BC605F">
        <w:rPr>
          <w:rFonts w:ascii="Times New Roman" w:eastAsia="宋体" w:hAnsi="Times New Roman" w:cs="Times New Roman" w:hint="eastAsia"/>
          <w:kern w:val="0"/>
          <w:sz w:val="24"/>
        </w:rPr>
        <w:t xml:space="preserve">illegitimate </w:t>
      </w:r>
      <w:r w:rsidR="00BC605F">
        <w:rPr>
          <w:rFonts w:ascii="Times New Roman" w:eastAsia="宋体" w:hAnsi="Times New Roman" w:cs="Times New Roman" w:hint="eastAsia"/>
          <w:kern w:val="0"/>
          <w:sz w:val="24"/>
        </w:rPr>
        <w:lastRenderedPageBreak/>
        <w:t>appropriation in case of accession or found property</w:t>
      </w:r>
      <w:r>
        <w:rPr>
          <w:rFonts w:ascii="Times New Roman" w:eastAsia="宋体" w:hAnsi="Times New Roman" w:cs="Times New Roman"/>
          <w:kern w:val="0"/>
          <w:sz w:val="24"/>
        </w:rPr>
        <w:t>”</w:t>
      </w:r>
      <w:r>
        <w:rPr>
          <w:rFonts w:ascii="Times New Roman" w:eastAsia="宋体" w:hAnsi="Times New Roman" w:cs="Times New Roman" w:hint="eastAsia"/>
          <w:kern w:val="0"/>
          <w:sz w:val="24"/>
          <w:lang w:val="en-GB"/>
        </w:rPr>
        <w:t xml:space="preserve"> under Article 200 of the Criminal Code;</w:t>
      </w:r>
      <w:r>
        <w:rPr>
          <w:rFonts w:ascii="Times New Roman" w:eastAsia="宋体" w:hAnsi="Times New Roman" w:cs="Times New Roman" w:hint="eastAsia"/>
          <w:kern w:val="0"/>
          <w:sz w:val="24"/>
        </w:rPr>
        <w:t xml:space="preserve"> 2. He alleged that the original judgment contained an obvious error in the assessment of evidence; 3. He alleged that the sentence imposed by the original judgment was excessive and that the failure to suspend the execution of the sentence violated the relevant provisions of the Criminal Code. The Public Prosecution Office and the Assistant Prosecutor General stationed at this Court both considered that the grounds of appeal were not sustained and requested that the appeal be dismissed. Issues in dispute: 1. Whether Appellant A</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s conduct should be characterized as </w:t>
      </w:r>
      <w:r>
        <w:rPr>
          <w:rFonts w:ascii="Times New Roman" w:eastAsia="宋体" w:hAnsi="Times New Roman" w:cs="Times New Roman"/>
          <w:kern w:val="0"/>
          <w:sz w:val="24"/>
        </w:rPr>
        <w:t>“</w:t>
      </w:r>
      <w:r>
        <w:rPr>
          <w:rFonts w:ascii="Times New Roman" w:eastAsia="宋体" w:hAnsi="Times New Roman" w:cs="Times New Roman" w:hint="eastAsia"/>
          <w:kern w:val="0"/>
          <w:sz w:val="24"/>
        </w:rPr>
        <w:t>aggravated theft</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or the </w:t>
      </w:r>
      <w:r>
        <w:rPr>
          <w:rFonts w:ascii="Times New Roman" w:eastAsia="宋体" w:hAnsi="Times New Roman" w:cs="Times New Roman"/>
          <w:kern w:val="0"/>
          <w:sz w:val="24"/>
        </w:rPr>
        <w:t>“</w:t>
      </w:r>
      <w:r w:rsidR="00BC605F">
        <w:rPr>
          <w:rFonts w:ascii="Times New Roman" w:eastAsia="宋体" w:hAnsi="Times New Roman" w:cs="Times New Roman" w:hint="eastAsia"/>
          <w:kern w:val="0"/>
          <w:sz w:val="24"/>
        </w:rPr>
        <w:t>illegitimate appropriation in case of accession or found property</w:t>
      </w:r>
      <w:r>
        <w:rPr>
          <w:rFonts w:ascii="Times New Roman" w:eastAsia="宋体" w:hAnsi="Times New Roman" w:cs="Times New Roman" w:hint="eastAsia"/>
          <w:kern w:val="0"/>
          <w:sz w:val="24"/>
        </w:rPr>
        <w:t>,</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and whether he subjectively had the intent to take property belonging to another person. 2. Whether the trial court committed an obvious error in its assessment of evidence, particularly the casino surveillance footage. 3. Whether the sentence imposed on Appellant A by the trial court (two years and six months of actual imprisonment without suspension) was excessive and violated Articles 40, 65, and 48 of the Criminal Code.</w:t>
      </w:r>
    </w:p>
    <w:p w14:paraId="7233E97D" w14:textId="77777777" w:rsidR="00C23395" w:rsidRDefault="00C23395">
      <w:pPr>
        <w:rPr>
          <w:rFonts w:ascii="Times New Roman" w:eastAsia="Times" w:hAnsi="Times New Roman" w:cs="Times New Roman"/>
          <w:kern w:val="0"/>
          <w:sz w:val="24"/>
          <w:lang w:val="en-GB" w:eastAsia="pt-PT"/>
        </w:rPr>
      </w:pPr>
    </w:p>
    <w:p w14:paraId="2978FB8F" w14:textId="1940E713" w:rsidR="00C23395" w:rsidRDefault="00000000">
      <w:pPr>
        <w:rPr>
          <w:rFonts w:ascii="Times New Roman" w:eastAsia="宋体" w:hAnsi="Times New Roman" w:cs="Times New Roman"/>
          <w:kern w:val="0"/>
          <w:sz w:val="24"/>
          <w:lang w:val="en-GB"/>
        </w:rPr>
      </w:pPr>
      <w:r>
        <w:rPr>
          <w:rFonts w:ascii="Times New Roman" w:eastAsia="Times" w:hAnsi="Times New Roman" w:cs="Times New Roman" w:hint="eastAsia"/>
          <w:kern w:val="0"/>
          <w:sz w:val="24"/>
          <w:lang w:val="en-GB" w:eastAsia="pt-PT"/>
        </w:rPr>
        <w:t>- Factual circumstance</w:t>
      </w:r>
      <w:r>
        <w:rPr>
          <w:rFonts w:ascii="Times New Roman" w:eastAsia="宋体" w:hAnsi="Times New Roman" w:cs="Times New Roman" w:hint="eastAsia"/>
          <w:kern w:val="0"/>
          <w:sz w:val="24"/>
        </w:rPr>
        <w:t>: Established facts: At approximately 6:44 p.m. on 18 October 2015, victims C and D were gambling at baccarat table No. 2 in the XX area of X Casino. Victim C placed a paper bag containing HKD 250,000 in cash, a Herm</w:t>
      </w:r>
      <w:r>
        <w:rPr>
          <w:rFonts w:ascii="Times New Roman" w:eastAsia="宋体" w:hAnsi="Times New Roman" w:cs="Times New Roman" w:hint="eastAsia"/>
          <w:kern w:val="0"/>
          <w:sz w:val="24"/>
        </w:rPr>
        <w:t>è</w:t>
      </w:r>
      <w:r>
        <w:rPr>
          <w:rFonts w:ascii="Times New Roman" w:eastAsia="宋体" w:hAnsi="Times New Roman" w:cs="Times New Roman" w:hint="eastAsia"/>
          <w:kern w:val="0"/>
          <w:sz w:val="24"/>
        </w:rPr>
        <w:t>s scarf valued at HKD 9,900, a box of SK-II toner valued at HKD 1,600, and a box of Shuuemura cosmetics valued at HKD 350 under the gaming table. At approximately 6:51 p.m. that afternoon, Defendant A (Appellant A) came to the gaming table and stood beside the victims to gamble. At approximately 6:57 p.m. that afternoon, victims C and D left the gaming table to watch at another gaming table behind them, but forgot to take the paper bag and the property with them. After seeing the victims leave, Defendant A sat in victim C</w:t>
      </w:r>
      <w:r>
        <w:rPr>
          <w:rFonts w:ascii="Times New Roman" w:eastAsia="宋体" w:hAnsi="Times New Roman" w:cs="Times New Roman"/>
          <w:kern w:val="0"/>
          <w:sz w:val="24"/>
        </w:rPr>
        <w:t>’</w:t>
      </w:r>
      <w:r>
        <w:rPr>
          <w:rFonts w:ascii="Times New Roman" w:eastAsia="宋体" w:hAnsi="Times New Roman" w:cs="Times New Roman" w:hint="eastAsia"/>
          <w:kern w:val="0"/>
          <w:sz w:val="24"/>
        </w:rPr>
        <w:t>s seat and, knowing that the above paper bag and property belonged to the victims, took them and appropriated them as his own, and carried them out of the casino. At approximately 8:00 p.m. that evening, Defendant A met with Defendant B and handed the paper bag to Defendant B for disposal. At approximately 9:00 p.m. that evening, Defendant B transferred the HKD 250,000 contained in the paper bag, together with his own HKD 18,000, into his Industrial and Commercial Bank of China account in Mainland China through a certain jewelry shop, and discarded the other items in the paper bag. Defendant A</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s conduct caused the two victims a total loss of HKD 261,850. Defendant A, acting freely, voluntarily, and consciously, knew that the above property of considerably high value belonged to the victims, but nevertheless took it and appropriated it as his own without the knowledge of the owners and while knowing that they would not consent. Defendant A clearly knew that his conduct was prohibited by law. Defendant A was a first-time offender, was unemployed before being </w:t>
      </w:r>
      <w:r w:rsidR="00BC605F">
        <w:rPr>
          <w:rFonts w:ascii="Times New Roman" w:eastAsia="宋体" w:hAnsi="Times New Roman" w:cs="Times New Roman"/>
          <w:kern w:val="0"/>
          <w:sz w:val="24"/>
        </w:rPr>
        <w:t>placed in preventive detention</w:t>
      </w:r>
      <w:r>
        <w:rPr>
          <w:rFonts w:ascii="Times New Roman" w:eastAsia="宋体" w:hAnsi="Times New Roman" w:cs="Times New Roman" w:hint="eastAsia"/>
          <w:kern w:val="0"/>
          <w:sz w:val="24"/>
        </w:rPr>
        <w:t xml:space="preserve">, had no educational qualifications, and needed to support his parents, husband, one adult son, and one minor son. Sentencing circumstances: Appellant A was a first-time offender; needed to support multiple family members; was unemployed; had no educational qualifications; the value of the stolen property was considerably high (HKD 261,850); full compensation had not yet been made to the victims; the offence was committed in </w:t>
      </w:r>
      <w:r>
        <w:rPr>
          <w:rFonts w:ascii="Times New Roman" w:eastAsia="宋体" w:hAnsi="Times New Roman" w:cs="Times New Roman" w:hint="eastAsia"/>
          <w:kern w:val="0"/>
          <w:sz w:val="24"/>
        </w:rPr>
        <w:lastRenderedPageBreak/>
        <w:t>a casino; the degree of criminal intent was high; the conduct had a negative impact on social order and the image of the city, and the requirements of general prevention were high.</w:t>
      </w:r>
    </w:p>
    <w:p w14:paraId="721B9255" w14:textId="77777777" w:rsidR="00C23395" w:rsidRDefault="00C23395">
      <w:pPr>
        <w:rPr>
          <w:rFonts w:ascii="Times New Roman" w:eastAsia="Times" w:hAnsi="Times New Roman" w:cs="Times New Roman"/>
          <w:kern w:val="0"/>
          <w:sz w:val="24"/>
          <w:lang w:val="en-GB" w:eastAsia="pt-PT"/>
        </w:rPr>
      </w:pPr>
    </w:p>
    <w:p w14:paraId="205ED48F" w14:textId="618804C1" w:rsidR="00C23395" w:rsidRDefault="00000000">
      <w:pPr>
        <w:rPr>
          <w:rFonts w:ascii="Times New Roman" w:eastAsia="宋体" w:hAnsi="Times New Roman" w:cs="Times New Roman"/>
          <w:kern w:val="0"/>
          <w:sz w:val="24"/>
          <w:lang w:val="en-GB"/>
        </w:rPr>
      </w:pPr>
      <w:r>
        <w:rPr>
          <w:rFonts w:ascii="Times New Roman" w:eastAsia="Times" w:hAnsi="Times New Roman" w:cs="Times New Roman" w:hint="eastAsia"/>
          <w:kern w:val="0"/>
          <w:sz w:val="24"/>
          <w:lang w:val="en-GB" w:eastAsia="pt-PT"/>
        </w:rPr>
        <w:t>- Verdict reason</w:t>
      </w:r>
      <w:r>
        <w:rPr>
          <w:rFonts w:ascii="Times New Roman" w:eastAsia="宋体" w:hAnsi="Times New Roman" w:cs="Times New Roman" w:hint="eastAsia"/>
          <w:kern w:val="0"/>
          <w:sz w:val="24"/>
        </w:rPr>
        <w:t xml:space="preserve">: Preliminary issue: None. Facts of the case (minor premise): Appellant A (Defendant A), while the victims had temporarily left the gaming table but had not relinquished possession of their property, knew that the paper bag and the property belonged to the victims, but still took them and appropriated them as his own, causing the victims a property loss of considerably high value. Legal basis (major premise): The </w:t>
      </w:r>
      <w:r>
        <w:rPr>
          <w:rFonts w:ascii="Times New Roman" w:eastAsia="宋体" w:hAnsi="Times New Roman" w:cs="Times New Roman"/>
          <w:kern w:val="0"/>
          <w:sz w:val="24"/>
        </w:rPr>
        <w:t>“</w:t>
      </w:r>
      <w:bookmarkStart w:id="0" w:name="OLE_LINK1"/>
      <w:r>
        <w:rPr>
          <w:rFonts w:ascii="Times New Roman" w:eastAsia="宋体" w:hAnsi="Times New Roman" w:cs="Times New Roman" w:hint="eastAsia"/>
          <w:kern w:val="0"/>
          <w:sz w:val="24"/>
        </w:rPr>
        <w:t>aggravated theft</w:t>
      </w:r>
      <w:bookmarkEnd w:id="0"/>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provided for and punishable under Article 198(2)(a) of the Criminal Code in conjunction with Article 196(b) of the Criminal Code requires that the perpetrator, with the intent to appropriate movable property belonging to another person as his own, cause that movable property to leave the actual control of the possessor. The key distinction between this offence and the </w:t>
      </w:r>
      <w:r>
        <w:rPr>
          <w:rFonts w:ascii="Times New Roman" w:eastAsia="宋体" w:hAnsi="Times New Roman" w:cs="Times New Roman"/>
          <w:kern w:val="0"/>
          <w:sz w:val="24"/>
        </w:rPr>
        <w:t>“</w:t>
      </w:r>
      <w:r w:rsidR="00BC605F">
        <w:rPr>
          <w:rFonts w:ascii="Times New Roman" w:eastAsia="宋体" w:hAnsi="Times New Roman" w:cs="Times New Roman" w:hint="eastAsia"/>
          <w:kern w:val="0"/>
          <w:sz w:val="24"/>
        </w:rPr>
        <w:t>illegitimate appropriation in case of accession or found property</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under Article 200 of the Criminal Code is that the latter requires the movable property possessed or held by the perpetrator to have come into his possession due to natural forces, mistake, an accidental event, or other circumstances not resulting from his own will, and it is usually lost property whose owner cannot be found. Conclusion: The judge considered that, according to the established facts, Appellant A took the property </w:t>
      </w:r>
      <w:r>
        <w:rPr>
          <w:rFonts w:ascii="Times New Roman" w:eastAsia="宋体" w:hAnsi="Times New Roman" w:cs="Times New Roman"/>
          <w:kern w:val="0"/>
          <w:sz w:val="24"/>
        </w:rPr>
        <w:t>“</w:t>
      </w:r>
      <w:r>
        <w:rPr>
          <w:rFonts w:ascii="Times New Roman" w:eastAsia="宋体" w:hAnsi="Times New Roman" w:cs="Times New Roman" w:hint="eastAsia"/>
          <w:kern w:val="0"/>
          <w:sz w:val="24"/>
        </w:rPr>
        <w:t>while knowing that the above paper bag and property belonged to the victims,</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which showed that he knew who the owners of the property were and that the property did not constitute </w:t>
      </w:r>
      <w:r>
        <w:rPr>
          <w:rFonts w:ascii="Times New Roman" w:eastAsia="宋体" w:hAnsi="Times New Roman" w:cs="Times New Roman"/>
          <w:kern w:val="0"/>
          <w:sz w:val="24"/>
        </w:rPr>
        <w:t>“</w:t>
      </w:r>
      <w:r>
        <w:rPr>
          <w:rFonts w:ascii="Times New Roman" w:eastAsia="宋体" w:hAnsi="Times New Roman" w:cs="Times New Roman" w:hint="eastAsia"/>
          <w:kern w:val="0"/>
          <w:sz w:val="24"/>
        </w:rPr>
        <w:t>lost property</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from his perspective. Therefore, his conduct did not satisfy the constituent element of </w:t>
      </w:r>
      <w:r>
        <w:rPr>
          <w:rFonts w:ascii="Times New Roman" w:eastAsia="宋体" w:hAnsi="Times New Roman" w:cs="Times New Roman"/>
          <w:kern w:val="0"/>
          <w:sz w:val="24"/>
        </w:rPr>
        <w:t>“</w:t>
      </w:r>
      <w:r>
        <w:rPr>
          <w:rFonts w:ascii="Times New Roman" w:eastAsia="宋体" w:hAnsi="Times New Roman" w:cs="Times New Roman" w:hint="eastAsia"/>
          <w:kern w:val="0"/>
          <w:sz w:val="24"/>
        </w:rPr>
        <w:t>finding</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lost property whose owner was unknown under Article 200 of the Criminal Code. By taking the property while knowing who its owners were, Appellant A had the subjective intent to infringe the property of specific victims (at least dolus eventualis), and his conduct caused the property to leave the victims</w:t>
      </w:r>
      <w:r w:rsidR="00BC605F">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actual control, thereby satisfying the constituent elements of the </w:t>
      </w:r>
      <w:r>
        <w:rPr>
          <w:rFonts w:ascii="Times New Roman" w:eastAsia="宋体" w:hAnsi="Times New Roman" w:cs="Times New Roman"/>
          <w:kern w:val="0"/>
          <w:sz w:val="24"/>
        </w:rPr>
        <w:t>“</w:t>
      </w:r>
      <w:r>
        <w:rPr>
          <w:rFonts w:ascii="Times New Roman" w:eastAsia="宋体" w:hAnsi="Times New Roman" w:cs="Times New Roman" w:hint="eastAsia"/>
          <w:kern w:val="0"/>
          <w:sz w:val="24"/>
        </w:rPr>
        <w:t>aggravated theft.</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The trial court did not commit any obvious error in determining the facts </w:t>
      </w:r>
      <w:r w:rsidR="00BC605F">
        <w:rPr>
          <w:rFonts w:ascii="Times New Roman" w:eastAsia="宋体" w:hAnsi="Times New Roman" w:cs="Times New Roman"/>
          <w:kern w:val="0"/>
          <w:sz w:val="24"/>
        </w:rPr>
        <w:t>based on</w:t>
      </w:r>
      <w:r>
        <w:rPr>
          <w:rFonts w:ascii="Times New Roman" w:eastAsia="宋体" w:hAnsi="Times New Roman" w:cs="Times New Roman" w:hint="eastAsia"/>
          <w:kern w:val="0"/>
          <w:sz w:val="24"/>
        </w:rPr>
        <w:t xml:space="preserve"> the casino surveillance footage and other evidence, and the conviction was correct. With respect to sentencing, the trial court had fully considered Articles 40, 65, and 48 of the Criminal Code and, taking into account the nature of the offence, the value of the property, the fact that Appellant A was a first-time offender but had not made full compensation, and the high requirements of general prevention in relation to theft in casinos, the sentence of two years and six months of actual imprisonment without suspension was not manifestly inappropriate or excessive and was therefore upheld.</w:t>
      </w:r>
    </w:p>
    <w:p w14:paraId="34BC0AB6" w14:textId="77777777" w:rsidR="00C23395" w:rsidRDefault="00C23395">
      <w:pPr>
        <w:rPr>
          <w:rFonts w:ascii="Times New Roman" w:eastAsia="Times" w:hAnsi="Times New Roman" w:cs="Times New Roman"/>
          <w:kern w:val="0"/>
          <w:sz w:val="24"/>
          <w:lang w:val="en-GB" w:eastAsia="pt-PT"/>
        </w:rPr>
      </w:pPr>
    </w:p>
    <w:p w14:paraId="0ACD3FBA" w14:textId="77777777" w:rsidR="00C23395" w:rsidRDefault="00000000">
      <w:pPr>
        <w:rPr>
          <w:rFonts w:ascii="Times New Roman" w:eastAsia="宋体" w:hAnsi="Times New Roman" w:cs="Times New Roman"/>
          <w:kern w:val="0"/>
          <w:sz w:val="24"/>
        </w:rPr>
      </w:pPr>
      <w:r w:rsidRPr="00BC605F">
        <w:rPr>
          <w:rFonts w:ascii="Times New Roman" w:eastAsia="Times" w:hAnsi="Times New Roman" w:cs="Times New Roman" w:hint="eastAsia"/>
          <w:kern w:val="0"/>
          <w:sz w:val="24"/>
          <w:lang w:val="pt-PT" w:eastAsia="pt-PT"/>
        </w:rPr>
        <w:t>- Comparative opinion</w:t>
      </w:r>
      <w:r w:rsidRPr="00BC605F">
        <w:rPr>
          <w:rFonts w:ascii="Times New Roman" w:eastAsia="宋体" w:hAnsi="Times New Roman" w:cs="Times New Roman" w:hint="eastAsia"/>
          <w:kern w:val="0"/>
          <w:sz w:val="24"/>
          <w:lang w:val="pt-PT"/>
        </w:rPr>
        <w:t xml:space="preserve">: See Pires de Lima and Antunes Varela, </w:t>
      </w:r>
      <w:r w:rsidRPr="00BC605F">
        <w:rPr>
          <w:rFonts w:ascii="Times New Roman" w:eastAsia="宋体" w:hAnsi="Times New Roman" w:cs="Times New Roman"/>
          <w:kern w:val="0"/>
          <w:sz w:val="24"/>
          <w:lang w:val="pt-PT"/>
        </w:rPr>
        <w:t>“</w:t>
      </w:r>
      <w:r w:rsidRPr="00BC605F">
        <w:rPr>
          <w:rFonts w:ascii="Times New Roman" w:eastAsia="宋体" w:hAnsi="Times New Roman" w:cs="Times New Roman" w:hint="eastAsia"/>
          <w:kern w:val="0"/>
          <w:sz w:val="24"/>
          <w:lang w:val="pt-PT"/>
        </w:rPr>
        <w:t>C</w:t>
      </w:r>
      <w:r w:rsidRPr="00BC605F">
        <w:rPr>
          <w:rFonts w:ascii="Times New Roman" w:eastAsia="宋体" w:hAnsi="Times New Roman" w:cs="Times New Roman" w:hint="eastAsia"/>
          <w:kern w:val="0"/>
          <w:sz w:val="24"/>
          <w:lang w:val="pt-PT"/>
        </w:rPr>
        <w:t>ó</w:t>
      </w:r>
      <w:r w:rsidRPr="00BC605F">
        <w:rPr>
          <w:rFonts w:ascii="Times New Roman" w:eastAsia="宋体" w:hAnsi="Times New Roman" w:cs="Times New Roman" w:hint="eastAsia"/>
          <w:kern w:val="0"/>
          <w:sz w:val="24"/>
          <w:lang w:val="pt-PT"/>
        </w:rPr>
        <w:t xml:space="preserve">digo Civil Anotado, vol. </w:t>
      </w:r>
      <w:r>
        <w:rPr>
          <w:rFonts w:ascii="Times New Roman" w:eastAsia="宋体" w:hAnsi="Times New Roman" w:cs="Times New Roman" w:hint="eastAsia"/>
          <w:kern w:val="0"/>
          <w:sz w:val="24"/>
        </w:rPr>
        <w:t>III, 2a edição, p. 132,</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which defines </w:t>
      </w:r>
      <w:r>
        <w:rPr>
          <w:rFonts w:ascii="Times New Roman" w:eastAsia="宋体" w:hAnsi="Times New Roman" w:cs="Times New Roman"/>
          <w:kern w:val="0"/>
          <w:sz w:val="24"/>
        </w:rPr>
        <w:t>“</w:t>
      </w:r>
      <w:r>
        <w:rPr>
          <w:rFonts w:ascii="Times New Roman" w:eastAsia="宋体" w:hAnsi="Times New Roman" w:cs="Times New Roman" w:hint="eastAsia"/>
          <w:kern w:val="0"/>
          <w:sz w:val="24"/>
        </w:rPr>
        <w:t>lost property</w:t>
      </w:r>
      <w:r>
        <w:rPr>
          <w:rFonts w:ascii="Times New Roman" w:eastAsia="宋体" w:hAnsi="Times New Roman" w:cs="Times New Roman"/>
          <w:kern w:val="0"/>
          <w:sz w:val="24"/>
        </w:rPr>
        <w:t>”</w:t>
      </w:r>
      <w:r>
        <w:rPr>
          <w:rFonts w:ascii="Times New Roman" w:eastAsia="宋体" w:hAnsi="Times New Roman" w:cs="Times New Roman" w:hint="eastAsia"/>
          <w:kern w:val="0"/>
          <w:sz w:val="24"/>
        </w:rPr>
        <w:t xml:space="preserve"> as movable property whose owner cannot be found, while, for the finder, movable property that he does not know whether the owner has lost or abandoned is also lost property.</w:t>
      </w:r>
    </w:p>
    <w:p w14:paraId="43801F4A" w14:textId="77777777" w:rsidR="00C23395" w:rsidRDefault="00C23395">
      <w:pPr>
        <w:rPr>
          <w:rFonts w:ascii="Times New Roman" w:eastAsia="Times" w:hAnsi="Times New Roman" w:cs="Times New Roman"/>
          <w:kern w:val="0"/>
          <w:sz w:val="24"/>
          <w:lang w:val="en-GB" w:eastAsia="pt-PT"/>
        </w:rPr>
      </w:pPr>
    </w:p>
    <w:p w14:paraId="1A7BA083" w14:textId="548FE3ED" w:rsidR="00C23395" w:rsidRDefault="00000000">
      <w:pPr>
        <w:rPr>
          <w:rFonts w:ascii="Times New Roman" w:eastAsia="宋体" w:hAnsi="Times New Roman" w:cs="Times New Roman"/>
          <w:kern w:val="0"/>
          <w:sz w:val="24"/>
          <w:lang w:val="en-GB"/>
        </w:rPr>
      </w:pPr>
      <w:r>
        <w:rPr>
          <w:rFonts w:ascii="Times New Roman" w:eastAsia="Times" w:hAnsi="Times New Roman" w:cs="Times New Roman" w:hint="eastAsia"/>
          <w:kern w:val="0"/>
          <w:sz w:val="24"/>
          <w:lang w:val="en-GB" w:eastAsia="pt-PT"/>
        </w:rPr>
        <w:t>- Judge interpretation</w:t>
      </w:r>
      <w:r>
        <w:rPr>
          <w:rFonts w:ascii="Times New Roman" w:eastAsia="宋体" w:hAnsi="Times New Roman" w:cs="Times New Roman" w:hint="eastAsia"/>
          <w:kern w:val="0"/>
          <w:sz w:val="24"/>
        </w:rPr>
        <w:t xml:space="preserve">: </w:t>
      </w:r>
      <w:r>
        <w:rPr>
          <w:rFonts w:ascii="Times New Roman" w:eastAsia="宋体" w:hAnsi="Times New Roman" w:cs="Times New Roman" w:hint="eastAsia"/>
          <w:kern w:val="0"/>
          <w:sz w:val="24"/>
          <w:lang w:val="en-GB"/>
        </w:rPr>
        <w:t xml:space="preserve">Interpretation of law: The judge interpreted the constituent </w:t>
      </w:r>
      <w:r>
        <w:rPr>
          <w:rFonts w:ascii="Times New Roman" w:eastAsia="宋体" w:hAnsi="Times New Roman" w:cs="Times New Roman" w:hint="eastAsia"/>
          <w:kern w:val="0"/>
          <w:sz w:val="24"/>
          <w:lang w:val="en-GB"/>
        </w:rPr>
        <w:lastRenderedPageBreak/>
        <w:t xml:space="preserve">elements of the </w:t>
      </w:r>
      <w:r w:rsidR="00BC605F">
        <w:rPr>
          <w:rFonts w:ascii="Times New Roman" w:eastAsia="宋体" w:hAnsi="Times New Roman" w:cs="Times New Roman"/>
          <w:kern w:val="0"/>
          <w:sz w:val="24"/>
          <w:lang w:val="en-GB"/>
        </w:rPr>
        <w:t>“</w:t>
      </w:r>
      <w:r w:rsidR="00BC605F">
        <w:rPr>
          <w:rFonts w:ascii="Times New Roman" w:eastAsia="宋体" w:hAnsi="Times New Roman" w:cs="Times New Roman" w:hint="eastAsia"/>
          <w:kern w:val="0"/>
          <w:sz w:val="24"/>
          <w:lang w:val="en-GB"/>
        </w:rPr>
        <w:t>illegitimate appropriation in case of accession or found property</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 xml:space="preserve"> under Article 200 of the Criminal Code. The judge pointed out that the conduct punished by this </w:t>
      </w:r>
      <w:r w:rsidR="00BC605F">
        <w:rPr>
          <w:rFonts w:ascii="Times New Roman" w:eastAsia="宋体" w:hAnsi="Times New Roman" w:cs="Times New Roman"/>
          <w:kern w:val="0"/>
          <w:sz w:val="24"/>
          <w:lang w:val="en-GB"/>
        </w:rPr>
        <w:t>offense</w:t>
      </w:r>
      <w:r>
        <w:rPr>
          <w:rFonts w:ascii="Times New Roman" w:eastAsia="宋体" w:hAnsi="Times New Roman" w:cs="Times New Roman" w:hint="eastAsia"/>
          <w:kern w:val="0"/>
          <w:sz w:val="24"/>
          <w:lang w:val="en-GB"/>
        </w:rPr>
        <w:t xml:space="preserve"> requires the perpetrator to </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find</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 xml:space="preserve"> an object belonging to another person due to non-subjective factors (such as natural forces, mistake, or an accidental event), and the object should constitute </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lost property</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 xml:space="preserve"> from the perspective of the perpetrator, that is, movable property whose owner cannot be found. The key point in this case was that Appellant A took the property </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while knowing that the above paper bag and property belonged to the victims,</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 xml:space="preserve"> which showed that he knew who the owners of the property were, and therefore the property did not constitute </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lost property</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 xml:space="preserve"> from his perspective. </w:t>
      </w:r>
      <w:r w:rsidR="00BC605F">
        <w:rPr>
          <w:rFonts w:ascii="Times New Roman" w:eastAsia="宋体" w:hAnsi="Times New Roman" w:cs="Times New Roman"/>
          <w:kern w:val="0"/>
          <w:sz w:val="24"/>
          <w:lang w:val="en-GB"/>
        </w:rPr>
        <w:t xml:space="preserve">Because he knew who owned the movable property, Article 1247 of the Civil Code on finding </w:t>
      </w:r>
      <w:r>
        <w:rPr>
          <w:rFonts w:ascii="Times New Roman" w:eastAsia="宋体" w:hAnsi="Times New Roman" w:cs="Times New Roman" w:hint="eastAsia"/>
          <w:kern w:val="0"/>
          <w:sz w:val="24"/>
          <w:lang w:val="en-GB"/>
        </w:rPr>
        <w:t xml:space="preserve">lost property could not apply. His conduct did not constitute the </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finding</w:t>
      </w:r>
      <w:r w:rsidR="00BC605F">
        <w:rPr>
          <w:rFonts w:ascii="Times New Roman" w:eastAsia="宋体" w:hAnsi="Times New Roman" w:cs="Times New Roman"/>
          <w:kern w:val="0"/>
          <w:sz w:val="24"/>
          <w:lang w:val="en-GB"/>
        </w:rPr>
        <w:t>”</w:t>
      </w:r>
      <w:r>
        <w:rPr>
          <w:rFonts w:ascii="Times New Roman" w:eastAsia="宋体" w:hAnsi="Times New Roman" w:cs="Times New Roman" w:hint="eastAsia"/>
          <w:kern w:val="0"/>
          <w:sz w:val="24"/>
          <w:lang w:val="en-GB"/>
        </w:rPr>
        <w:t xml:space="preserve"> of lost property whose owner was unknown, thereby excluding the possibility of applying Article 200 of the Criminal Code. On the contrary, his conduct satisfied the characteristic of theft whereby movable property belonging to another person is removed from the actual control of the possessor. Declaration of vote: None.</w:t>
      </w:r>
    </w:p>
    <w:p w14:paraId="4BFCFA67" w14:textId="77777777" w:rsidR="00C23395" w:rsidRDefault="00C23395">
      <w:pPr>
        <w:rPr>
          <w:rFonts w:ascii="Times New Roman" w:eastAsia="Times" w:hAnsi="Times New Roman" w:cs="Times New Roman"/>
          <w:kern w:val="0"/>
          <w:sz w:val="24"/>
          <w:lang w:val="en-GB" w:eastAsia="pt-PT"/>
        </w:rPr>
      </w:pPr>
    </w:p>
    <w:p w14:paraId="12E37AE5" w14:textId="4EE7C58B" w:rsidR="00C23395" w:rsidRDefault="00000000">
      <w:pPr>
        <w:rPr>
          <w:rFonts w:ascii="Times New Roman" w:eastAsia="宋体" w:hAnsi="Times New Roman" w:cs="Times New Roman"/>
          <w:kern w:val="0"/>
          <w:sz w:val="24"/>
          <w:lang w:val="en-GB"/>
        </w:rPr>
      </w:pPr>
      <w:r>
        <w:rPr>
          <w:rFonts w:ascii="Times New Roman" w:eastAsia="Times" w:hAnsi="Times New Roman" w:cs="Times New Roman" w:hint="eastAsia"/>
          <w:kern w:val="0"/>
          <w:sz w:val="24"/>
          <w:lang w:val="en-GB" w:eastAsia="pt-PT"/>
        </w:rPr>
        <w:t>- Verdict type</w:t>
      </w:r>
      <w:r w:rsidR="00BC605F">
        <w:rPr>
          <w:rFonts w:ascii="Times New Roman" w:eastAsia="宋体" w:hAnsi="Times New Roman" w:cs="Times New Roman"/>
          <w:kern w:val="0"/>
          <w:sz w:val="24"/>
          <w:lang w:val="en-GB"/>
        </w:rPr>
        <w:t xml:space="preserve">: </w:t>
      </w:r>
      <w:r>
        <w:rPr>
          <w:rFonts w:ascii="Times New Roman" w:eastAsia="宋体" w:hAnsi="Times New Roman" w:cs="Times New Roman" w:hint="eastAsia"/>
          <w:kern w:val="0"/>
          <w:sz w:val="24"/>
        </w:rPr>
        <w:t>N</w:t>
      </w:r>
      <w:r>
        <w:rPr>
          <w:rFonts w:ascii="Times New Roman" w:eastAsia="宋体" w:hAnsi="Times New Roman" w:cs="Times New Roman" w:hint="eastAsia"/>
          <w:kern w:val="0"/>
          <w:sz w:val="24"/>
          <w:lang w:val="en-GB"/>
        </w:rPr>
        <w:t>ot sustained</w:t>
      </w:r>
    </w:p>
    <w:p w14:paraId="0D90EEE5" w14:textId="77777777" w:rsidR="00C23395" w:rsidRDefault="00C23395">
      <w:pPr>
        <w:rPr>
          <w:rFonts w:ascii="Times New Roman" w:eastAsia="Times" w:hAnsi="Times New Roman" w:cs="Times New Roman"/>
          <w:kern w:val="0"/>
          <w:sz w:val="24"/>
          <w:lang w:val="en-GB" w:eastAsia="pt-PT"/>
        </w:rPr>
      </w:pPr>
    </w:p>
    <w:p w14:paraId="226026C6" w14:textId="77777777" w:rsidR="00C23395" w:rsidRDefault="00C23395">
      <w:pPr>
        <w:rPr>
          <w:rFonts w:ascii="Times New Roman" w:eastAsia="宋体" w:hAnsi="Times New Roman" w:cs="Times New Roman"/>
          <w:strike/>
          <w:kern w:val="0"/>
          <w:sz w:val="24"/>
        </w:rPr>
      </w:pPr>
    </w:p>
    <w:sectPr w:rsidR="00C233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395"/>
    <w:rsid w:val="00BC605F"/>
    <w:rsid w:val="00C23395"/>
    <w:rsid w:val="00CA309D"/>
    <w:rsid w:val="03031491"/>
    <w:rsid w:val="08324D6F"/>
    <w:rsid w:val="106A6FF4"/>
    <w:rsid w:val="15AD04C1"/>
    <w:rsid w:val="171D1C21"/>
    <w:rsid w:val="17EE0D93"/>
    <w:rsid w:val="1B9118D8"/>
    <w:rsid w:val="22BE6D2B"/>
    <w:rsid w:val="23A423C5"/>
    <w:rsid w:val="268362C1"/>
    <w:rsid w:val="271C1776"/>
    <w:rsid w:val="2973086F"/>
    <w:rsid w:val="2CC15D95"/>
    <w:rsid w:val="33F407FF"/>
    <w:rsid w:val="341219E9"/>
    <w:rsid w:val="36104984"/>
    <w:rsid w:val="36A23D0F"/>
    <w:rsid w:val="39845FBC"/>
    <w:rsid w:val="3CAA6707"/>
    <w:rsid w:val="3E832EAB"/>
    <w:rsid w:val="4A65785A"/>
    <w:rsid w:val="4D826A23"/>
    <w:rsid w:val="56A2537B"/>
    <w:rsid w:val="5C504C5C"/>
    <w:rsid w:val="5DA327CA"/>
    <w:rsid w:val="5DA930B5"/>
    <w:rsid w:val="5DC77C32"/>
    <w:rsid w:val="5DCA5FA9"/>
    <w:rsid w:val="6C3D27DD"/>
    <w:rsid w:val="6F6D67EF"/>
    <w:rsid w:val="74197E54"/>
    <w:rsid w:val="75010C4F"/>
    <w:rsid w:val="758B56E6"/>
    <w:rsid w:val="76970120"/>
    <w:rsid w:val="784071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E42F7E"/>
  <w15:docId w15:val="{2FA899FA-AE81-4CD5-AF2E-14FD9A6C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Emphasis"/>
    <w:basedOn w:val="a0"/>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1642</Words>
  <Characters>8475</Characters>
  <Application>Microsoft Office Word</Application>
  <DocSecurity>0</DocSecurity>
  <Lines>151</Lines>
  <Paragraphs>21</Paragraphs>
  <ScaleCrop>false</ScaleCrop>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87148</dc:creator>
  <cp:lastModifiedBy>Yuhong Zhang</cp:lastModifiedBy>
  <cp:revision>2</cp:revision>
  <dcterms:created xsi:type="dcterms:W3CDTF">2026-05-14T04:30:00Z</dcterms:created>
  <dcterms:modified xsi:type="dcterms:W3CDTF">2026-09-03T15:20:00Z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eyJoZGlkIjoiZGQwMzYzMjU1Mjc1M2UyNWJkNzc4NWE2MDNmZWE2ZDIiLCJ1c2VySWQiOiI1MjA2OTMzMTAifQ==</vt:lpwstr>
  </property>
  <property fmtid="{D5CDD505-2E9C-101B-9397-08002B2CF9AE}" pid="4" name="ICV">
    <vt:lpwstr>04DE8D9C0218443AB8F4460C8C3A4444_13</vt:lpwstr>
  </property>
  <property fmtid="{D5CDD505-2E9C-101B-9397-08002B2CF9AE}" pid="5" name="GrammarlyDocumentId">
    <vt:lpwstr>1afb82b1-2108-47af-b591-381f1ad09f1c</vt:lpwstr>
  </property>
</Properties>
</file>