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0555AD">
      <w:pPr>
        <w:pStyle w:val="31"/>
      </w:pPr>
      <w:bookmarkStart w:id="0" w:name="_GoBack"/>
      <w:r>
        <w:t>Multimedia Appendix</w:t>
      </w:r>
      <w:r>
        <w:rPr>
          <w:rFonts w:hint="eastAsia" w:eastAsia="宋体"/>
          <w:lang w:val="en-US" w:eastAsia="zh-CN"/>
        </w:rPr>
        <w:t>2</w:t>
      </w:r>
      <w:r>
        <w:t>: Supplementary Protocol and Validation</w:t>
      </w:r>
    </w:p>
    <w:p w14:paraId="3A652EE1">
      <w:r>
        <w:rPr>
          <w:b w:val="0"/>
          <w:i/>
        </w:rPr>
        <w:t>Companion to: Attention and Discourse on Myocarditis Across 6 Chinese Social Media Platforms: An Infodemiology Study (JMIR Public Health and Surveillance submission).</w:t>
      </w:r>
    </w:p>
    <w:p w14:paraId="76DFC042">
      <w:r>
        <w:rPr>
          <w:b w:val="0"/>
          <w:i w:val="0"/>
        </w:rPr>
        <w:t>This appendix provides the methodological details and validation evidence referenced in the main manuscript Methods: (S1) K-means topic-model stability diagnostics; (S2) topic annotation audit; (S3) SnowNLP sentiment calibration against an expert gold standard; (S4) the 9-dimension cognitive classifier rule set and anchor lexicon; and (S5) the a priori seven-phase temporal boundaries.</w:t>
      </w:r>
    </w:p>
    <w:p w14:paraId="23388845">
      <w:pPr>
        <w:pStyle w:val="3"/>
      </w:pPr>
      <w:r>
        <w:t>S1. Topic-Model Stability Diagnostics (K-means)</w:t>
      </w:r>
    </w:p>
    <w:p w14:paraId="21003D59">
      <w:r>
        <w:rPr>
          <w:b w:val="0"/>
          <w:i w:val="0"/>
        </w:rPr>
        <w:t>Latent topics were extracted with TF-IDF (max_features=6000, min_df=3, max_df=0.5) on the medium/high-relevance subset (n=29429 documents) followed by K-means (random_state=42, n_init=10). To justify the chosen k=8 we swept k from 2 to 12 and computed four stability/quality indicators: the silhouette coefficient (on a 4,000-document subsample, O(n^2)), the K-means inertia (elbow heuristic), the Calinski-Harabasz index, the Davies-Bouldin index, and the NPMI topic coherence (c_npmi, top-10 terms per topic, document co-occurrence over the full sample).</w:t>
      </w:r>
    </w:p>
    <w:tbl>
      <w:tblPr>
        <w:tblStyle w:val="49"/>
        <w:tblW w:w="0" w:type="auto"/>
        <w:jc w:val="cente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autofit"/>
        <w:tblCellMar>
          <w:top w:w="0" w:type="dxa"/>
          <w:left w:w="108" w:type="dxa"/>
          <w:bottom w:w="0" w:type="dxa"/>
          <w:right w:w="108" w:type="dxa"/>
        </w:tblCellMar>
      </w:tblPr>
      <w:tblGrid>
        <w:gridCol w:w="1440"/>
        <w:gridCol w:w="1440"/>
        <w:gridCol w:w="1440"/>
        <w:gridCol w:w="1440"/>
        <w:gridCol w:w="1440"/>
        <w:gridCol w:w="1440"/>
      </w:tblGrid>
      <w:tr w14:paraId="28F4E281">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1440" w:type="dxa"/>
          </w:tcPr>
          <w:p w14:paraId="50367E59">
            <w:pPr>
              <w:spacing w:after="0" w:line="240" w:lineRule="auto"/>
            </w:pPr>
            <w:r>
              <w:rPr>
                <w:b/>
              </w:rPr>
              <w:t>k</w:t>
            </w:r>
          </w:p>
        </w:tc>
        <w:tc>
          <w:tcPr>
            <w:tcW w:w="1440" w:type="dxa"/>
          </w:tcPr>
          <w:p w14:paraId="53A24B58">
            <w:pPr>
              <w:spacing w:after="0" w:line="240" w:lineRule="auto"/>
            </w:pPr>
            <w:r>
              <w:rPr>
                <w:b/>
              </w:rPr>
              <w:t>Silhouette</w:t>
            </w:r>
          </w:p>
        </w:tc>
        <w:tc>
          <w:tcPr>
            <w:tcW w:w="1440" w:type="dxa"/>
          </w:tcPr>
          <w:p w14:paraId="1AD753AC">
            <w:pPr>
              <w:spacing w:after="0" w:line="240" w:lineRule="auto"/>
            </w:pPr>
            <w:r>
              <w:rPr>
                <w:b/>
              </w:rPr>
              <w:t>Inertia</w:t>
            </w:r>
          </w:p>
        </w:tc>
        <w:tc>
          <w:tcPr>
            <w:tcW w:w="1440" w:type="dxa"/>
          </w:tcPr>
          <w:p w14:paraId="1E392F77">
            <w:pPr>
              <w:spacing w:after="0" w:line="240" w:lineRule="auto"/>
            </w:pPr>
            <w:r>
              <w:rPr>
                <w:b/>
              </w:rPr>
              <w:t>Calinski-Harabasz</w:t>
            </w:r>
          </w:p>
        </w:tc>
        <w:tc>
          <w:tcPr>
            <w:tcW w:w="1440" w:type="dxa"/>
          </w:tcPr>
          <w:p w14:paraId="576F8755">
            <w:pPr>
              <w:spacing w:after="0" w:line="240" w:lineRule="auto"/>
            </w:pPr>
            <w:r>
              <w:rPr>
                <w:b/>
              </w:rPr>
              <w:t>Davies-Bouldin</w:t>
            </w:r>
          </w:p>
        </w:tc>
        <w:tc>
          <w:tcPr>
            <w:tcW w:w="1440" w:type="dxa"/>
          </w:tcPr>
          <w:p w14:paraId="68E06DE5">
            <w:pPr>
              <w:spacing w:after="0" w:line="240" w:lineRule="auto"/>
            </w:pPr>
            <w:r>
              <w:rPr>
                <w:b/>
              </w:rPr>
              <w:t>NPMI (c_npmi)</w:t>
            </w:r>
          </w:p>
        </w:tc>
      </w:tr>
      <w:tr w14:paraId="1F63C97E">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1440" w:type="dxa"/>
          </w:tcPr>
          <w:p w14:paraId="69CA18BD">
            <w:pPr>
              <w:spacing w:after="0" w:line="240" w:lineRule="auto"/>
            </w:pPr>
            <w:r>
              <w:t>2</w:t>
            </w:r>
          </w:p>
        </w:tc>
        <w:tc>
          <w:tcPr>
            <w:tcW w:w="1440" w:type="dxa"/>
          </w:tcPr>
          <w:p w14:paraId="7E3268A6">
            <w:pPr>
              <w:spacing w:after="0" w:line="240" w:lineRule="auto"/>
            </w:pPr>
            <w:r>
              <w:t>0.0302</w:t>
            </w:r>
          </w:p>
        </w:tc>
        <w:tc>
          <w:tcPr>
            <w:tcW w:w="1440" w:type="dxa"/>
          </w:tcPr>
          <w:p w14:paraId="567728B4">
            <w:pPr>
              <w:spacing w:after="0" w:line="240" w:lineRule="auto"/>
            </w:pPr>
            <w:r>
              <w:t>27921</w:t>
            </w:r>
          </w:p>
        </w:tc>
        <w:tc>
          <w:tcPr>
            <w:tcW w:w="1440" w:type="dxa"/>
          </w:tcPr>
          <w:p w14:paraId="1629343C">
            <w:pPr>
              <w:spacing w:after="0" w:line="240" w:lineRule="auto"/>
            </w:pPr>
            <w:r>
              <w:t>108.7</w:t>
            </w:r>
          </w:p>
        </w:tc>
        <w:tc>
          <w:tcPr>
            <w:tcW w:w="1440" w:type="dxa"/>
          </w:tcPr>
          <w:p w14:paraId="2EE7C83A">
            <w:pPr>
              <w:spacing w:after="0" w:line="240" w:lineRule="auto"/>
            </w:pPr>
            <w:r>
              <w:t>1.3404</w:t>
            </w:r>
          </w:p>
        </w:tc>
        <w:tc>
          <w:tcPr>
            <w:tcW w:w="1440" w:type="dxa"/>
          </w:tcPr>
          <w:p w14:paraId="63F2FFB1">
            <w:pPr>
              <w:spacing w:after="0" w:line="240" w:lineRule="auto"/>
            </w:pPr>
            <w:r>
              <w:t>0.4626</w:t>
            </w:r>
          </w:p>
        </w:tc>
      </w:tr>
      <w:tr w14:paraId="48B6D296">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1440" w:type="dxa"/>
          </w:tcPr>
          <w:p w14:paraId="6A4E894E">
            <w:pPr>
              <w:spacing w:after="0" w:line="240" w:lineRule="auto"/>
            </w:pPr>
            <w:r>
              <w:t>3</w:t>
            </w:r>
          </w:p>
        </w:tc>
        <w:tc>
          <w:tcPr>
            <w:tcW w:w="1440" w:type="dxa"/>
          </w:tcPr>
          <w:p w14:paraId="725990B6">
            <w:pPr>
              <w:spacing w:after="0" w:line="240" w:lineRule="auto"/>
            </w:pPr>
            <w:r>
              <w:t>0.0236</w:t>
            </w:r>
          </w:p>
        </w:tc>
        <w:tc>
          <w:tcPr>
            <w:tcW w:w="1440" w:type="dxa"/>
          </w:tcPr>
          <w:p w14:paraId="17C4D61A">
            <w:pPr>
              <w:spacing w:after="0" w:line="240" w:lineRule="auto"/>
            </w:pPr>
            <w:r>
              <w:t>27670</w:t>
            </w:r>
          </w:p>
        </w:tc>
        <w:tc>
          <w:tcPr>
            <w:tcW w:w="1440" w:type="dxa"/>
          </w:tcPr>
          <w:p w14:paraId="506B7ABC">
            <w:pPr>
              <w:spacing w:after="0" w:line="240" w:lineRule="auto"/>
            </w:pPr>
            <w:r>
              <w:t>75.5</w:t>
            </w:r>
          </w:p>
        </w:tc>
        <w:tc>
          <w:tcPr>
            <w:tcW w:w="1440" w:type="dxa"/>
          </w:tcPr>
          <w:p w14:paraId="2474486F">
            <w:pPr>
              <w:spacing w:after="0" w:line="240" w:lineRule="auto"/>
            </w:pPr>
            <w:r>
              <w:t>3.7237</w:t>
            </w:r>
          </w:p>
        </w:tc>
        <w:tc>
          <w:tcPr>
            <w:tcW w:w="1440" w:type="dxa"/>
          </w:tcPr>
          <w:p w14:paraId="7ABCBD3B">
            <w:pPr>
              <w:spacing w:after="0" w:line="240" w:lineRule="auto"/>
            </w:pPr>
            <w:r>
              <w:t>0.4502</w:t>
            </w:r>
          </w:p>
        </w:tc>
      </w:tr>
      <w:tr w14:paraId="791983FE">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1440" w:type="dxa"/>
          </w:tcPr>
          <w:p w14:paraId="1601EEBB">
            <w:pPr>
              <w:spacing w:after="0" w:line="240" w:lineRule="auto"/>
            </w:pPr>
            <w:r>
              <w:t>4</w:t>
            </w:r>
          </w:p>
        </w:tc>
        <w:tc>
          <w:tcPr>
            <w:tcW w:w="1440" w:type="dxa"/>
          </w:tcPr>
          <w:p w14:paraId="4C7A036D">
            <w:pPr>
              <w:spacing w:after="0" w:line="240" w:lineRule="auto"/>
            </w:pPr>
            <w:r>
              <w:t>0.0258</w:t>
            </w:r>
          </w:p>
        </w:tc>
        <w:tc>
          <w:tcPr>
            <w:tcW w:w="1440" w:type="dxa"/>
          </w:tcPr>
          <w:p w14:paraId="2C3C6421">
            <w:pPr>
              <w:spacing w:after="0" w:line="240" w:lineRule="auto"/>
            </w:pPr>
            <w:r>
              <w:t>27476</w:t>
            </w:r>
          </w:p>
        </w:tc>
        <w:tc>
          <w:tcPr>
            <w:tcW w:w="1440" w:type="dxa"/>
          </w:tcPr>
          <w:p w14:paraId="1BE2B7C4">
            <w:pPr>
              <w:spacing w:after="0" w:line="240" w:lineRule="auto"/>
            </w:pPr>
            <w:r>
              <w:t>60.0</w:t>
            </w:r>
          </w:p>
        </w:tc>
        <w:tc>
          <w:tcPr>
            <w:tcW w:w="1440" w:type="dxa"/>
          </w:tcPr>
          <w:p w14:paraId="00E846F3">
            <w:pPr>
              <w:spacing w:after="0" w:line="240" w:lineRule="auto"/>
            </w:pPr>
            <w:r>
              <w:t>6.8990</w:t>
            </w:r>
          </w:p>
        </w:tc>
        <w:tc>
          <w:tcPr>
            <w:tcW w:w="1440" w:type="dxa"/>
          </w:tcPr>
          <w:p w14:paraId="18A60843">
            <w:pPr>
              <w:spacing w:after="0" w:line="240" w:lineRule="auto"/>
            </w:pPr>
            <w:r>
              <w:t>0.3895</w:t>
            </w:r>
          </w:p>
        </w:tc>
      </w:tr>
      <w:tr w14:paraId="03682C96">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1440" w:type="dxa"/>
          </w:tcPr>
          <w:p w14:paraId="014654C9">
            <w:pPr>
              <w:spacing w:after="0" w:line="240" w:lineRule="auto"/>
            </w:pPr>
            <w:r>
              <w:t>5</w:t>
            </w:r>
          </w:p>
        </w:tc>
        <w:tc>
          <w:tcPr>
            <w:tcW w:w="1440" w:type="dxa"/>
          </w:tcPr>
          <w:p w14:paraId="4A3CEB16">
            <w:pPr>
              <w:spacing w:after="0" w:line="240" w:lineRule="auto"/>
            </w:pPr>
            <w:r>
              <w:t>0.0277</w:t>
            </w:r>
          </w:p>
        </w:tc>
        <w:tc>
          <w:tcPr>
            <w:tcW w:w="1440" w:type="dxa"/>
          </w:tcPr>
          <w:p w14:paraId="11C79592">
            <w:pPr>
              <w:spacing w:after="0" w:line="240" w:lineRule="auto"/>
            </w:pPr>
            <w:r>
              <w:t>27311</w:t>
            </w:r>
          </w:p>
        </w:tc>
        <w:tc>
          <w:tcPr>
            <w:tcW w:w="1440" w:type="dxa"/>
          </w:tcPr>
          <w:p w14:paraId="28C12739">
            <w:pPr>
              <w:spacing w:after="0" w:line="240" w:lineRule="auto"/>
            </w:pPr>
            <w:r>
              <w:t>51.4</w:t>
            </w:r>
          </w:p>
        </w:tc>
        <w:tc>
          <w:tcPr>
            <w:tcW w:w="1440" w:type="dxa"/>
          </w:tcPr>
          <w:p w14:paraId="23B3A562">
            <w:pPr>
              <w:spacing w:after="0" w:line="240" w:lineRule="auto"/>
            </w:pPr>
            <w:r>
              <w:t>7.1640</w:t>
            </w:r>
          </w:p>
        </w:tc>
        <w:tc>
          <w:tcPr>
            <w:tcW w:w="1440" w:type="dxa"/>
          </w:tcPr>
          <w:p w14:paraId="14954F7C">
            <w:pPr>
              <w:spacing w:after="0" w:line="240" w:lineRule="auto"/>
            </w:pPr>
            <w:r>
              <w:t>0.3302</w:t>
            </w:r>
          </w:p>
        </w:tc>
      </w:tr>
      <w:tr w14:paraId="3460B8CE">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1440" w:type="dxa"/>
          </w:tcPr>
          <w:p w14:paraId="5BD78A1D">
            <w:pPr>
              <w:spacing w:after="0" w:line="240" w:lineRule="auto"/>
            </w:pPr>
            <w:r>
              <w:t>6</w:t>
            </w:r>
          </w:p>
        </w:tc>
        <w:tc>
          <w:tcPr>
            <w:tcW w:w="1440" w:type="dxa"/>
          </w:tcPr>
          <w:p w14:paraId="3A8485F8">
            <w:pPr>
              <w:spacing w:after="0" w:line="240" w:lineRule="auto"/>
            </w:pPr>
            <w:r>
              <w:t>0.0291</w:t>
            </w:r>
          </w:p>
        </w:tc>
        <w:tc>
          <w:tcPr>
            <w:tcW w:w="1440" w:type="dxa"/>
          </w:tcPr>
          <w:p w14:paraId="162C74A1">
            <w:pPr>
              <w:spacing w:after="0" w:line="240" w:lineRule="auto"/>
            </w:pPr>
            <w:r>
              <w:t>27196</w:t>
            </w:r>
          </w:p>
        </w:tc>
        <w:tc>
          <w:tcPr>
            <w:tcW w:w="1440" w:type="dxa"/>
          </w:tcPr>
          <w:p w14:paraId="3551524D">
            <w:pPr>
              <w:spacing w:after="0" w:line="240" w:lineRule="auto"/>
            </w:pPr>
            <w:r>
              <w:t>44.8</w:t>
            </w:r>
          </w:p>
        </w:tc>
        <w:tc>
          <w:tcPr>
            <w:tcW w:w="1440" w:type="dxa"/>
          </w:tcPr>
          <w:p w14:paraId="565AAF61">
            <w:pPr>
              <w:spacing w:after="0" w:line="240" w:lineRule="auto"/>
            </w:pPr>
            <w:r>
              <w:t>7.2181</w:t>
            </w:r>
          </w:p>
        </w:tc>
        <w:tc>
          <w:tcPr>
            <w:tcW w:w="1440" w:type="dxa"/>
          </w:tcPr>
          <w:p w14:paraId="2CC2A42E">
            <w:pPr>
              <w:spacing w:after="0" w:line="240" w:lineRule="auto"/>
            </w:pPr>
            <w:r>
              <w:t>0.3087</w:t>
            </w:r>
          </w:p>
        </w:tc>
      </w:tr>
      <w:tr w14:paraId="2DE5506B">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1440" w:type="dxa"/>
          </w:tcPr>
          <w:p w14:paraId="703E03B6">
            <w:pPr>
              <w:spacing w:after="0" w:line="240" w:lineRule="auto"/>
            </w:pPr>
            <w:r>
              <w:t>7</w:t>
            </w:r>
          </w:p>
        </w:tc>
        <w:tc>
          <w:tcPr>
            <w:tcW w:w="1440" w:type="dxa"/>
          </w:tcPr>
          <w:p w14:paraId="4A922C84">
            <w:pPr>
              <w:spacing w:after="0" w:line="240" w:lineRule="auto"/>
            </w:pPr>
            <w:r>
              <w:t>0.0293</w:t>
            </w:r>
          </w:p>
        </w:tc>
        <w:tc>
          <w:tcPr>
            <w:tcW w:w="1440" w:type="dxa"/>
          </w:tcPr>
          <w:p w14:paraId="2125598F">
            <w:pPr>
              <w:spacing w:after="0" w:line="240" w:lineRule="auto"/>
            </w:pPr>
            <w:r>
              <w:t>27096</w:t>
            </w:r>
          </w:p>
        </w:tc>
        <w:tc>
          <w:tcPr>
            <w:tcW w:w="1440" w:type="dxa"/>
          </w:tcPr>
          <w:p w14:paraId="5D469A89">
            <w:pPr>
              <w:spacing w:after="0" w:line="240" w:lineRule="auto"/>
            </w:pPr>
            <w:r>
              <w:t>40.0</w:t>
            </w:r>
          </w:p>
        </w:tc>
        <w:tc>
          <w:tcPr>
            <w:tcW w:w="1440" w:type="dxa"/>
          </w:tcPr>
          <w:p w14:paraId="0F9913D2">
            <w:pPr>
              <w:spacing w:after="0" w:line="240" w:lineRule="auto"/>
            </w:pPr>
            <w:r>
              <w:t>7.2882</w:t>
            </w:r>
          </w:p>
        </w:tc>
        <w:tc>
          <w:tcPr>
            <w:tcW w:w="1440" w:type="dxa"/>
          </w:tcPr>
          <w:p w14:paraId="6E5C3EFF">
            <w:pPr>
              <w:spacing w:after="0" w:line="240" w:lineRule="auto"/>
            </w:pPr>
            <w:r>
              <w:t>0.3094</w:t>
            </w:r>
          </w:p>
        </w:tc>
      </w:tr>
      <w:tr w14:paraId="4A857EE2">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1440" w:type="dxa"/>
          </w:tcPr>
          <w:p w14:paraId="64821266">
            <w:pPr>
              <w:spacing w:after="0" w:line="240" w:lineRule="auto"/>
            </w:pPr>
            <w:r>
              <w:t>8</w:t>
            </w:r>
          </w:p>
        </w:tc>
        <w:tc>
          <w:tcPr>
            <w:tcW w:w="1440" w:type="dxa"/>
          </w:tcPr>
          <w:p w14:paraId="56A4343A">
            <w:pPr>
              <w:spacing w:after="0" w:line="240" w:lineRule="auto"/>
            </w:pPr>
            <w:r>
              <w:t>0.0317</w:t>
            </w:r>
          </w:p>
        </w:tc>
        <w:tc>
          <w:tcPr>
            <w:tcW w:w="1440" w:type="dxa"/>
          </w:tcPr>
          <w:p w14:paraId="4EF9D299">
            <w:pPr>
              <w:spacing w:after="0" w:line="240" w:lineRule="auto"/>
            </w:pPr>
            <w:r>
              <w:t>26998</w:t>
            </w:r>
          </w:p>
        </w:tc>
        <w:tc>
          <w:tcPr>
            <w:tcW w:w="1440" w:type="dxa"/>
          </w:tcPr>
          <w:p w14:paraId="1E73D5DF">
            <w:pPr>
              <w:spacing w:after="0" w:line="240" w:lineRule="auto"/>
            </w:pPr>
            <w:r>
              <w:t>37.1</w:t>
            </w:r>
          </w:p>
        </w:tc>
        <w:tc>
          <w:tcPr>
            <w:tcW w:w="1440" w:type="dxa"/>
          </w:tcPr>
          <w:p w14:paraId="646B65A8">
            <w:pPr>
              <w:spacing w:after="0" w:line="240" w:lineRule="auto"/>
            </w:pPr>
            <w:r>
              <w:t>6.4158</w:t>
            </w:r>
          </w:p>
        </w:tc>
        <w:tc>
          <w:tcPr>
            <w:tcW w:w="1440" w:type="dxa"/>
          </w:tcPr>
          <w:p w14:paraId="7758B15C">
            <w:pPr>
              <w:spacing w:after="0" w:line="240" w:lineRule="auto"/>
            </w:pPr>
            <w:r>
              <w:t>0.3089</w:t>
            </w:r>
          </w:p>
        </w:tc>
      </w:tr>
      <w:tr w14:paraId="66252331">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1440" w:type="dxa"/>
          </w:tcPr>
          <w:p w14:paraId="72AC70CD">
            <w:pPr>
              <w:spacing w:after="0" w:line="240" w:lineRule="auto"/>
            </w:pPr>
            <w:r>
              <w:t>9</w:t>
            </w:r>
          </w:p>
        </w:tc>
        <w:tc>
          <w:tcPr>
            <w:tcW w:w="1440" w:type="dxa"/>
          </w:tcPr>
          <w:p w14:paraId="5D88BC3A">
            <w:pPr>
              <w:spacing w:after="0" w:line="240" w:lineRule="auto"/>
            </w:pPr>
            <w:r>
              <w:t>0.0323</w:t>
            </w:r>
          </w:p>
        </w:tc>
        <w:tc>
          <w:tcPr>
            <w:tcW w:w="1440" w:type="dxa"/>
          </w:tcPr>
          <w:p w14:paraId="073F4AE6">
            <w:pPr>
              <w:spacing w:after="0" w:line="240" w:lineRule="auto"/>
            </w:pPr>
            <w:r>
              <w:t>26902</w:t>
            </w:r>
          </w:p>
        </w:tc>
        <w:tc>
          <w:tcPr>
            <w:tcW w:w="1440" w:type="dxa"/>
          </w:tcPr>
          <w:p w14:paraId="3AF5103B">
            <w:pPr>
              <w:spacing w:after="0" w:line="240" w:lineRule="auto"/>
            </w:pPr>
            <w:r>
              <w:t>34.3</w:t>
            </w:r>
          </w:p>
        </w:tc>
        <w:tc>
          <w:tcPr>
            <w:tcW w:w="1440" w:type="dxa"/>
          </w:tcPr>
          <w:p w14:paraId="3022E428">
            <w:pPr>
              <w:spacing w:after="0" w:line="240" w:lineRule="auto"/>
            </w:pPr>
            <w:r>
              <w:t>6.4689</w:t>
            </w:r>
          </w:p>
        </w:tc>
        <w:tc>
          <w:tcPr>
            <w:tcW w:w="1440" w:type="dxa"/>
          </w:tcPr>
          <w:p w14:paraId="203E840E">
            <w:pPr>
              <w:spacing w:after="0" w:line="240" w:lineRule="auto"/>
            </w:pPr>
            <w:r>
              <w:t>0.3181</w:t>
            </w:r>
          </w:p>
        </w:tc>
      </w:tr>
      <w:tr w14:paraId="11B47F36">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1440" w:type="dxa"/>
          </w:tcPr>
          <w:p w14:paraId="00275851">
            <w:pPr>
              <w:spacing w:after="0" w:line="240" w:lineRule="auto"/>
            </w:pPr>
            <w:r>
              <w:t>10</w:t>
            </w:r>
          </w:p>
        </w:tc>
        <w:tc>
          <w:tcPr>
            <w:tcW w:w="1440" w:type="dxa"/>
          </w:tcPr>
          <w:p w14:paraId="0B4AF608">
            <w:pPr>
              <w:spacing w:after="0" w:line="240" w:lineRule="auto"/>
            </w:pPr>
            <w:r>
              <w:t>0.0313</w:t>
            </w:r>
          </w:p>
        </w:tc>
        <w:tc>
          <w:tcPr>
            <w:tcW w:w="1440" w:type="dxa"/>
          </w:tcPr>
          <w:p w14:paraId="78AFB4A1">
            <w:pPr>
              <w:spacing w:after="0" w:line="240" w:lineRule="auto"/>
            </w:pPr>
            <w:r>
              <w:t>26850</w:t>
            </w:r>
          </w:p>
        </w:tc>
        <w:tc>
          <w:tcPr>
            <w:tcW w:w="1440" w:type="dxa"/>
          </w:tcPr>
          <w:p w14:paraId="782ECD64">
            <w:pPr>
              <w:spacing w:after="0" w:line="240" w:lineRule="auto"/>
            </w:pPr>
            <w:r>
              <w:t>31.2</w:t>
            </w:r>
          </w:p>
        </w:tc>
        <w:tc>
          <w:tcPr>
            <w:tcW w:w="1440" w:type="dxa"/>
          </w:tcPr>
          <w:p w14:paraId="46607048">
            <w:pPr>
              <w:spacing w:after="0" w:line="240" w:lineRule="auto"/>
            </w:pPr>
            <w:r>
              <w:t>6.5165</w:t>
            </w:r>
          </w:p>
        </w:tc>
        <w:tc>
          <w:tcPr>
            <w:tcW w:w="1440" w:type="dxa"/>
          </w:tcPr>
          <w:p w14:paraId="712B40C1">
            <w:pPr>
              <w:spacing w:after="0" w:line="240" w:lineRule="auto"/>
            </w:pPr>
            <w:r>
              <w:t>0.2899</w:t>
            </w:r>
          </w:p>
        </w:tc>
      </w:tr>
      <w:tr w14:paraId="60109039">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1440" w:type="dxa"/>
          </w:tcPr>
          <w:p w14:paraId="2C6A8261">
            <w:pPr>
              <w:spacing w:after="0" w:line="240" w:lineRule="auto"/>
            </w:pPr>
            <w:r>
              <w:t>11</w:t>
            </w:r>
          </w:p>
        </w:tc>
        <w:tc>
          <w:tcPr>
            <w:tcW w:w="1440" w:type="dxa"/>
          </w:tcPr>
          <w:p w14:paraId="4C40D297">
            <w:pPr>
              <w:spacing w:after="0" w:line="240" w:lineRule="auto"/>
            </w:pPr>
            <w:r>
              <w:t>0.0334</w:t>
            </w:r>
          </w:p>
        </w:tc>
        <w:tc>
          <w:tcPr>
            <w:tcW w:w="1440" w:type="dxa"/>
          </w:tcPr>
          <w:p w14:paraId="1C5BF1AA">
            <w:pPr>
              <w:spacing w:after="0" w:line="240" w:lineRule="auto"/>
            </w:pPr>
            <w:r>
              <w:t>26738</w:t>
            </w:r>
          </w:p>
        </w:tc>
        <w:tc>
          <w:tcPr>
            <w:tcW w:w="1440" w:type="dxa"/>
          </w:tcPr>
          <w:p w14:paraId="7F4A85F7">
            <w:pPr>
              <w:spacing w:after="0" w:line="240" w:lineRule="auto"/>
            </w:pPr>
            <w:r>
              <w:t>30.3</w:t>
            </w:r>
          </w:p>
        </w:tc>
        <w:tc>
          <w:tcPr>
            <w:tcW w:w="1440" w:type="dxa"/>
          </w:tcPr>
          <w:p w14:paraId="4725B8AF">
            <w:pPr>
              <w:spacing w:after="0" w:line="240" w:lineRule="auto"/>
            </w:pPr>
            <w:r>
              <w:t>6.1086</w:t>
            </w:r>
          </w:p>
        </w:tc>
        <w:tc>
          <w:tcPr>
            <w:tcW w:w="1440" w:type="dxa"/>
          </w:tcPr>
          <w:p w14:paraId="6BD81E34">
            <w:pPr>
              <w:spacing w:after="0" w:line="240" w:lineRule="auto"/>
            </w:pPr>
            <w:r>
              <w:t>0.3444</w:t>
            </w:r>
          </w:p>
        </w:tc>
      </w:tr>
      <w:tr w14:paraId="4B356A02">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rPr>
          <w:jc w:val="center"/>
        </w:trPr>
        <w:tc>
          <w:tcPr>
            <w:tcW w:w="1440" w:type="dxa"/>
          </w:tcPr>
          <w:p w14:paraId="0BA4423B">
            <w:pPr>
              <w:spacing w:after="0" w:line="240" w:lineRule="auto"/>
            </w:pPr>
            <w:r>
              <w:t>12</w:t>
            </w:r>
          </w:p>
        </w:tc>
        <w:tc>
          <w:tcPr>
            <w:tcW w:w="1440" w:type="dxa"/>
          </w:tcPr>
          <w:p w14:paraId="7DAE1B07">
            <w:pPr>
              <w:spacing w:after="0" w:line="240" w:lineRule="auto"/>
            </w:pPr>
            <w:r>
              <w:t>0.0341</w:t>
            </w:r>
          </w:p>
        </w:tc>
        <w:tc>
          <w:tcPr>
            <w:tcW w:w="1440" w:type="dxa"/>
          </w:tcPr>
          <w:p w14:paraId="6037567F">
            <w:pPr>
              <w:spacing w:after="0" w:line="240" w:lineRule="auto"/>
            </w:pPr>
            <w:r>
              <w:t>26666</w:t>
            </w:r>
          </w:p>
        </w:tc>
        <w:tc>
          <w:tcPr>
            <w:tcW w:w="1440" w:type="dxa"/>
          </w:tcPr>
          <w:p w14:paraId="441D17DA">
            <w:pPr>
              <w:spacing w:after="0" w:line="240" w:lineRule="auto"/>
            </w:pPr>
            <w:r>
              <w:t>28.6</w:t>
            </w:r>
          </w:p>
        </w:tc>
        <w:tc>
          <w:tcPr>
            <w:tcW w:w="1440" w:type="dxa"/>
          </w:tcPr>
          <w:p w14:paraId="4B64DE43">
            <w:pPr>
              <w:spacing w:after="0" w:line="240" w:lineRule="auto"/>
            </w:pPr>
            <w:r>
              <w:t>5.7007</w:t>
            </w:r>
          </w:p>
        </w:tc>
        <w:tc>
          <w:tcPr>
            <w:tcW w:w="1440" w:type="dxa"/>
          </w:tcPr>
          <w:p w14:paraId="03569254">
            <w:pPr>
              <w:spacing w:after="0" w:line="240" w:lineRule="auto"/>
            </w:pPr>
            <w:r>
              <w:t>0.2829</w:t>
            </w:r>
          </w:p>
        </w:tc>
      </w:tr>
    </w:tbl>
    <w:p w14:paraId="6D4BC7B9">
      <w:r>
        <w:rPr>
          <w:b/>
          <w:i w:val="0"/>
        </w:rPr>
        <w:t xml:space="preserve">Interpretation. </w:t>
      </w:r>
    </w:p>
    <w:p w14:paraId="3B272B0E">
      <w:pPr>
        <w:pStyle w:val="16"/>
      </w:pPr>
      <w:r>
        <w:t>Silhouette is uniformly low (0.023–0.034 across all k). This is expected for short, noisy social-media text and indicates weakly separated clusters rather than a clear optimal k; the curve is essentially flat, with a mild local maximum at k=8 (0.0317) and k=12 (0.0341).</w:t>
      </w:r>
    </w:p>
    <w:p w14:paraId="585D02AC">
      <w:pPr>
        <w:pStyle w:val="16"/>
      </w:pPr>
      <w:r>
        <w:t>Inertia decreases monotonically with no sharp elbow; the marginal decrease per added cluster stays roughly constant (≈100) from k=5 onward, so the elbow heuristic alone does not single out a unique k.</w:t>
      </w:r>
    </w:p>
    <w:p w14:paraId="43E0404E">
      <w:pPr>
        <w:pStyle w:val="16"/>
      </w:pPr>
      <w:r>
        <w:t>NPMI coherence is highest at small k (0.46 at k=2) and settles to a stable plateau of ≈0.29–0.32 for k=6–10; k=8 yields NPMI=0.309, within this stable band.</w:t>
      </w:r>
    </w:p>
    <w:p w14:paraId="08DBF2FC">
      <w:pPr>
        <w:pStyle w:val="16"/>
      </w:pPr>
      <w:r>
        <w:t>Davies-Bouldin is lowest at k=2 and rises thereafter, while Calinski-Harabasz declines monotonically with k — both expected behaviours that again favour interpretability-led selection over a statistically unique optimum.</w:t>
      </w:r>
    </w:p>
    <w:p w14:paraId="2C900369">
      <w:r>
        <w:rPr>
          <w:b w:val="0"/>
          <w:i w:val="0"/>
        </w:rPr>
        <w:t>Conclusion: no single metric identifies a dominant k. We therefore selected k=8 on the basis of domain interpretability — it produced eight reviewer-labelable themes that map onto the study's cognitive framework — and verified that k=7 and k=9 preserved the same thematic ordering (main manuscript Topic Modeling section). The low absolute silhouette is reported transparently as a known limitation of unsupervised topic discovery on short Chinese social posts, and all topic-level results are presented descriptively rather than as statistically optimal partitions.</w:t>
      </w:r>
    </w:p>
    <w:p w14:paraId="61F06171">
      <w:pPr>
        <w:pStyle w:val="3"/>
      </w:pPr>
      <w:r>
        <w:t>S2. Topic Annotation Audit (k=8)</w:t>
      </w:r>
    </w:p>
    <w:p w14:paraId="779F3D16">
      <w:r>
        <w:rPr>
          <w:b w:val="0"/>
          <w:i w:val="0"/>
        </w:rPr>
        <w:t>Each of the eight clusters was assigned an interpretable theme by manually inspecting its top-12 TF-IDF terms and its nearest-centroid representative post. Two independent reviewers (authors) labelled the top-10 terms of each cluster; disagreements were resolved by consensus. The table below lists, per topic, the top terms, the platform and search-keyword dimension of the nearest post, the author-assigned theme, and an ambiguity flag.</w:t>
      </w:r>
    </w:p>
    <w:tbl>
      <w:tblPr>
        <w:tblStyle w:val="49"/>
        <w:tblW w:w="0" w:type="auto"/>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autofit"/>
        <w:tblCellMar>
          <w:top w:w="0" w:type="dxa"/>
          <w:left w:w="108" w:type="dxa"/>
          <w:bottom w:w="0" w:type="dxa"/>
          <w:right w:w="108" w:type="dxa"/>
        </w:tblCellMar>
      </w:tblPr>
      <w:tblGrid>
        <w:gridCol w:w="1934"/>
        <w:gridCol w:w="2054"/>
        <w:gridCol w:w="2713"/>
        <w:gridCol w:w="2155"/>
      </w:tblGrid>
      <w:tr w14:paraId="67ADD61A">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160" w:type="dxa"/>
          </w:tcPr>
          <w:p w14:paraId="5B323895">
            <w:pPr>
              <w:spacing w:after="0" w:line="240" w:lineRule="auto"/>
            </w:pPr>
            <w:r>
              <w:rPr>
                <w:b/>
              </w:rPr>
              <w:t>Topic</w:t>
            </w:r>
          </w:p>
        </w:tc>
        <w:tc>
          <w:tcPr>
            <w:tcW w:w="2160" w:type="dxa"/>
          </w:tcPr>
          <w:p w14:paraId="53CDC270">
            <w:pPr>
              <w:spacing w:after="0" w:line="240" w:lineRule="auto"/>
            </w:pPr>
            <w:r>
              <w:rPr>
                <w:b/>
              </w:rPr>
              <w:t>Top-12 TF-IDF terms</w:t>
            </w:r>
          </w:p>
        </w:tc>
        <w:tc>
          <w:tcPr>
            <w:tcW w:w="2160" w:type="dxa"/>
          </w:tcPr>
          <w:p w14:paraId="7C23677C">
            <w:pPr>
              <w:spacing w:after="0" w:line="240" w:lineRule="auto"/>
            </w:pPr>
            <w:r>
              <w:rPr>
                <w:b/>
              </w:rPr>
              <w:t>Nearest post (platform · keyword-dim)</w:t>
            </w:r>
          </w:p>
        </w:tc>
        <w:tc>
          <w:tcPr>
            <w:tcW w:w="2160" w:type="dxa"/>
          </w:tcPr>
          <w:p w14:paraId="30C95EBA">
            <w:pPr>
              <w:spacing w:after="0" w:line="240" w:lineRule="auto"/>
            </w:pPr>
            <w:r>
              <w:rPr>
                <w:b/>
              </w:rPr>
              <w:t>Author theme (flag)</w:t>
            </w:r>
          </w:p>
        </w:tc>
      </w:tr>
      <w:tr w14:paraId="69084985">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160" w:type="dxa"/>
          </w:tcPr>
          <w:p w14:paraId="04970AB8">
            <w:pPr>
              <w:spacing w:after="0" w:line="240" w:lineRule="auto"/>
            </w:pPr>
            <w:r>
              <w:t>1</w:t>
            </w:r>
          </w:p>
        </w:tc>
        <w:tc>
          <w:tcPr>
            <w:tcW w:w="2160" w:type="dxa"/>
          </w:tcPr>
          <w:p w14:paraId="0A84BF4D">
            <w:pPr>
              <w:spacing w:after="0" w:line="240" w:lineRule="auto"/>
            </w:pPr>
            <w:r>
              <w:t>myocarditis, Rong Zishen, viral, cold, fulminant, heart, fulminant, symptoms, vigilance, virus</w:t>
            </w:r>
          </w:p>
        </w:tc>
        <w:tc>
          <w:tcPr>
            <w:tcW w:w="2160" w:type="dxa"/>
          </w:tcPr>
          <w:p w14:paraId="0E397DD7">
            <w:pPr>
              <w:spacing w:after="0" w:line="240" w:lineRule="auto"/>
            </w:pPr>
            <w:r>
              <w:t>Weibo · prodromal_symptom</w:t>
            </w:r>
            <w:r>
              <w:br w:type="textWrapping"/>
            </w:r>
            <w:r>
              <w:t>“💡 How to tell allergic rhinitis from the common cold? This is the most easily confused issue this season; the key points are as follows: Symptom features: the symptoms of allergic rhinitis (e.g., sneezing, clear nasal discharge) tend to…</w:t>
            </w:r>
          </w:p>
        </w:tc>
        <w:tc>
          <w:tcPr>
            <w:tcW w:w="2160" w:type="dxa"/>
          </w:tcPr>
          <w:p w14:paraId="463993E7">
            <w:pPr>
              <w:spacing w:after="0" w:line="240" w:lineRule="auto"/>
            </w:pPr>
            <w:r>
              <w:t>Myocarditis disease &amp; type; prodromal vigilance</w:t>
            </w:r>
          </w:p>
        </w:tc>
      </w:tr>
      <w:tr w14:paraId="1BC622EF">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160" w:type="dxa"/>
          </w:tcPr>
          <w:p w14:paraId="66F31F58">
            <w:pPr>
              <w:spacing w:after="0" w:line="240" w:lineRule="auto"/>
            </w:pPr>
            <w:r>
              <w:t>2</w:t>
            </w:r>
          </w:p>
        </w:tc>
        <w:tc>
          <w:tcPr>
            <w:tcW w:w="2160" w:type="dxa"/>
          </w:tcPr>
          <w:p w14:paraId="064F0C62">
            <w:pPr>
              <w:spacing w:after="0" w:line="240" w:lineRule="auto"/>
            </w:pPr>
            <w:r>
              <w:t>exercise, body, health, cold, susceptible, symptoms, TCM, avoid, health preservation, yang qi</w:t>
            </w:r>
          </w:p>
        </w:tc>
        <w:tc>
          <w:tcPr>
            <w:tcW w:w="2160" w:type="dxa"/>
          </w:tcPr>
          <w:p w14:paraId="7848EAE8">
            <w:pPr>
              <w:spacing w:after="0" w:line="240" w:lineRule="auto"/>
            </w:pPr>
            <w:r>
              <w:t>Douyin · diagnosis_treatment</w:t>
            </w:r>
            <w:r>
              <w:br w:type="textWrapping"/>
            </w:r>
            <w:r>
              <w:t>“So this is the legendary cardiopulmonary bypass machine! TEDA International Cardiovascular Hospital, President Liu Xiaocheng of Taixin, cardiopulmonary bypass machine, cardiac surgery #heart surgery…</w:t>
            </w:r>
          </w:p>
        </w:tc>
        <w:tc>
          <w:tcPr>
            <w:tcW w:w="2160" w:type="dxa"/>
          </w:tcPr>
          <w:p w14:paraId="486DA928">
            <w:pPr>
              <w:spacing w:after="0" w:line="240" w:lineRule="auto"/>
            </w:pPr>
            <w:r>
              <w:t>Exercise, recovery and healthy-living advice</w:t>
            </w:r>
          </w:p>
        </w:tc>
      </w:tr>
      <w:tr w14:paraId="4481D86F">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160" w:type="dxa"/>
          </w:tcPr>
          <w:p w14:paraId="68EB85B0">
            <w:pPr>
              <w:spacing w:after="0" w:line="240" w:lineRule="auto"/>
            </w:pPr>
            <w:r>
              <w:t>3</w:t>
            </w:r>
          </w:p>
        </w:tc>
        <w:tc>
          <w:tcPr>
            <w:tcW w:w="2160" w:type="dxa"/>
          </w:tcPr>
          <w:p w14:paraId="0999D0B5">
            <w:pPr>
              <w:spacing w:after="0" w:line="240" w:lineRule="auto"/>
            </w:pPr>
            <w:r>
              <w:t>influenza, symptoms, infection, pneumonia, vaccination, complications, influenza virus, virus, respiratory, influenza A</w:t>
            </w:r>
          </w:p>
        </w:tc>
        <w:tc>
          <w:tcPr>
            <w:tcW w:w="2160" w:type="dxa"/>
          </w:tcPr>
          <w:p w14:paraId="0A1D758C">
            <w:pPr>
              <w:spacing w:after="0" w:line="240" w:lineRule="auto"/>
            </w:pPr>
            <w:r>
              <w:t>Weibo · disease_name</w:t>
            </w:r>
            <w:r>
              <w:br w:type="textWrapping"/>
            </w:r>
            <w:r>
              <w:t>“New strain Influenza A H3N2 is here; the flu is not the common cold. Health reminder [Flu Warning ⚠️]: Stop treating the flu as a 'bad cold'! 🔥 Many people think the flu is just a more severe cold that you can tough out…</w:t>
            </w:r>
          </w:p>
        </w:tc>
        <w:tc>
          <w:tcPr>
            <w:tcW w:w="2160" w:type="dxa"/>
          </w:tcPr>
          <w:p w14:paraId="2743BE0C">
            <w:pPr>
              <w:spacing w:after="0" w:line="240" w:lineRule="auto"/>
            </w:pPr>
            <w:r>
              <w:t>Associated respiratory infection (influenza/pneumonia)</w:t>
            </w:r>
          </w:p>
        </w:tc>
      </w:tr>
      <w:tr w14:paraId="79E40600">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160" w:type="dxa"/>
          </w:tcPr>
          <w:p w14:paraId="09649BB9">
            <w:pPr>
              <w:spacing w:after="0" w:line="240" w:lineRule="auto"/>
            </w:pPr>
            <w:r>
              <w:t>4</w:t>
            </w:r>
          </w:p>
        </w:tc>
        <w:tc>
          <w:tcPr>
            <w:tcW w:w="2160" w:type="dxa"/>
          </w:tcPr>
          <w:p w14:paraId="47265F10">
            <w:pPr>
              <w:spacing w:after="0" w:line="240" w:lineRule="auto"/>
            </w:pPr>
            <w:r>
              <w:t>child, cough, parent, allergic, Haohao, hospital, allergy, cold, children, rhinitis</w:t>
            </w:r>
          </w:p>
        </w:tc>
        <w:tc>
          <w:tcPr>
            <w:tcW w:w="2160" w:type="dxa"/>
          </w:tcPr>
          <w:p w14:paraId="1C844CE5">
            <w:pPr>
              <w:spacing w:after="0" w:line="240" w:lineRule="auto"/>
            </w:pPr>
            <w:r>
              <w:t>Bilibili · disease_name</w:t>
            </w:r>
            <w:r>
              <w:br w:type="textWrapping"/>
            </w:r>
            <w:r>
              <w:t>“up [creator], where in Nanjing are you? I want to see about my skin—I have heat syndrome, I always get hot, sweat a bit, and sometimes break out in rashes…</w:t>
            </w:r>
          </w:p>
        </w:tc>
        <w:tc>
          <w:tcPr>
            <w:tcW w:w="2160" w:type="dxa"/>
          </w:tcPr>
          <w:p w14:paraId="34C766A5">
            <w:pPr>
              <w:spacing w:after="0" w:line="240" w:lineRule="auto"/>
            </w:pPr>
            <w:r>
              <w:t>Pediatric cough &amp; allergy (adjacent / partially off-target)  [ambiguous]</w:t>
            </w:r>
          </w:p>
        </w:tc>
      </w:tr>
      <w:tr w14:paraId="534E758E">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160" w:type="dxa"/>
          </w:tcPr>
          <w:p w14:paraId="297E29B4">
            <w:pPr>
              <w:spacing w:after="0" w:line="240" w:lineRule="auto"/>
            </w:pPr>
            <w:r>
              <w:t>5</w:t>
            </w:r>
          </w:p>
        </w:tc>
        <w:tc>
          <w:tcPr>
            <w:tcW w:w="2160" w:type="dxa"/>
          </w:tcPr>
          <w:p w14:paraId="731E222C">
            <w:pPr>
              <w:spacing w:after="0" w:line="240" w:lineRule="auto"/>
            </w:pPr>
            <w:r>
              <w:t>ca2, binding, release, actin, myosin, allosteric, atp, sarcoplasmic reticulum, iris, norepinephrine</w:t>
            </w:r>
          </w:p>
        </w:tc>
        <w:tc>
          <w:tcPr>
            <w:tcW w:w="2160" w:type="dxa"/>
          </w:tcPr>
          <w:p w14:paraId="177A0882">
            <w:pPr>
              <w:spacing w:after="0" w:line="240" w:lineRule="auto"/>
            </w:pPr>
            <w:r>
              <w:t>Weibo · diagnosis_treatment</w:t>
            </w:r>
            <w:r>
              <w:br w:type="textWrapping"/>
            </w:r>
            <w:r>
              <w:t>“Wow, it’s Li Shen!!! Mental excitation ➛ sympathetic conduction ➛ norepinephrine release ➛ iris radial-muscle action potential ➛ Ca2+ ion-channel opening ➛ Ca2+-mediated sarcoplasmic-reticulum Ca2+ release ➛ Ca…</w:t>
            </w:r>
          </w:p>
        </w:tc>
        <w:tc>
          <w:tcPr>
            <w:tcW w:w="2160" w:type="dxa"/>
          </w:tcPr>
          <w:p w14:paraId="6ACB7067">
            <w:pPr>
              <w:spacing w:after="0" w:line="240" w:lineRule="auto"/>
            </w:pPr>
            <w:r>
              <w:t>Cardiac physiology terms (science popularisation / fandom noise)  [noisy / off-target]</w:t>
            </w:r>
          </w:p>
        </w:tc>
      </w:tr>
      <w:tr w14:paraId="55776FC5">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160" w:type="dxa"/>
          </w:tcPr>
          <w:p w14:paraId="3865A91C">
            <w:pPr>
              <w:spacing w:after="0" w:line="240" w:lineRule="auto"/>
            </w:pPr>
            <w:r>
              <w:t>6</w:t>
            </w:r>
          </w:p>
        </w:tc>
        <w:tc>
          <w:tcPr>
            <w:tcW w:w="2160" w:type="dxa"/>
          </w:tcPr>
          <w:p w14:paraId="08445E7B">
            <w:pPr>
              <w:spacing w:after="0" w:line="240" w:lineRule="auto"/>
            </w:pPr>
            <w:r>
              <w:t>cold, myocarditis, hospital, doctor, fever, exercise, begin, body, but, while ill</w:t>
            </w:r>
          </w:p>
        </w:tc>
        <w:tc>
          <w:tcPr>
            <w:tcW w:w="2160" w:type="dxa"/>
          </w:tcPr>
          <w:p w14:paraId="7C1AD2AA">
            <w:pPr>
              <w:spacing w:after="0" w:line="240" w:lineRule="auto"/>
            </w:pPr>
            <w:r>
              <w:t>Weibo · trigger_behavior</w:t>
            </w:r>
            <w:r>
              <w:br w:type="textWrapping"/>
            </w:r>
            <w:r>
              <w:t>“TCM advice: if you are often unhappy, go sing at KTV more 🎤✅ warm-up playlist: 'The Most Dazzling Ethnic Wind', 'Madame Shexiang', 'Taro Love', 'Love Story', 'Only Feel for You', 'No Trend No Flower…</w:t>
            </w:r>
          </w:p>
        </w:tc>
        <w:tc>
          <w:tcPr>
            <w:tcW w:w="2160" w:type="dxa"/>
          </w:tcPr>
          <w:p w14:paraId="2B61D1E3">
            <w:pPr>
              <w:spacing w:after="0" w:line="240" w:lineRule="auto"/>
            </w:pPr>
            <w:r>
              <w:t>Misdiagnosis as common cold &amp; care-seeking; trigger behaviour</w:t>
            </w:r>
          </w:p>
        </w:tc>
      </w:tr>
      <w:tr w14:paraId="5B497B2D">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160" w:type="dxa"/>
          </w:tcPr>
          <w:p w14:paraId="4A34C95E">
            <w:pPr>
              <w:spacing w:after="0" w:line="240" w:lineRule="auto"/>
            </w:pPr>
            <w:r>
              <w:t>7</w:t>
            </w:r>
          </w:p>
        </w:tc>
        <w:tc>
          <w:tcPr>
            <w:tcW w:w="2160" w:type="dxa"/>
          </w:tcPr>
          <w:p w14:paraId="169078D5">
            <w:pPr>
              <w:spacing w:after="0" w:line="240" w:lineRule="auto"/>
            </w:pPr>
            <w:r>
              <w:t>testing, tolerance, stem cells, genes, cells, institution, food, address, immunity, repair</w:t>
            </w:r>
          </w:p>
        </w:tc>
        <w:tc>
          <w:tcPr>
            <w:tcW w:w="2160" w:type="dxa"/>
          </w:tcPr>
          <w:p w14:paraId="4033D6F7">
            <w:pPr>
              <w:spacing w:after="0" w:line="240" w:lineRule="auto"/>
            </w:pPr>
            <w:r>
              <w:t>Weibo · prodromal_symptom</w:t>
            </w:r>
            <w:r>
              <w:br w:type="textWrapping"/>
            </w:r>
            <w:r>
              <w:t>“Summary of common TCM formulas for cough: 1. Wind-cold invading the lungs — clinical symptoms: heavy cough, itchy throat, thin white sputum, often with nasal congestion and clear runny nose, headache, aversion to cold with fever and no sweating, thin white tongue coating, floating tight pulse. Representative formula: San’ao…</w:t>
            </w:r>
          </w:p>
        </w:tc>
        <w:tc>
          <w:tcPr>
            <w:tcW w:w="2160" w:type="dxa"/>
          </w:tcPr>
          <w:p w14:paraId="1536FD7B">
            <w:pPr>
              <w:spacing w:after="0" w:line="240" w:lineRule="auto"/>
            </w:pPr>
            <w:r>
              <w:t>Testing, stem-cell &amp; immunology (adjacent / promotional)  [ambiguous]</w:t>
            </w:r>
          </w:p>
        </w:tc>
      </w:tr>
      <w:tr w14:paraId="260C5857">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160" w:type="dxa"/>
          </w:tcPr>
          <w:p w14:paraId="0F221DA2">
            <w:pPr>
              <w:spacing w:after="0" w:line="240" w:lineRule="auto"/>
            </w:pPr>
            <w:r>
              <w:t>8</w:t>
            </w:r>
          </w:p>
        </w:tc>
        <w:tc>
          <w:tcPr>
            <w:tcW w:w="2160" w:type="dxa"/>
          </w:tcPr>
          <w:p w14:paraId="7262CE74">
            <w:pPr>
              <w:spacing w:after="0" w:line="240" w:lineRule="auto"/>
            </w:pPr>
            <w:r>
              <w:t>heart, sudden death, myocardium, health, ECG, health education, myocardial infarction, knowledge, examination, Douyin-posted</w:t>
            </w:r>
          </w:p>
        </w:tc>
        <w:tc>
          <w:tcPr>
            <w:tcW w:w="2160" w:type="dxa"/>
          </w:tcPr>
          <w:p w14:paraId="4A366B45">
            <w:pPr>
              <w:spacing w:after="0" w:line="240" w:lineRule="auto"/>
            </w:pPr>
            <w:r>
              <w:t>Weibo · trigger_behavior</w:t>
            </w:r>
            <w:r>
              <w:br w:type="textWrapping"/>
            </w:r>
            <w:r>
              <w:t>“[Wind pathogen damages yang] First establish the core premise: although the wind pathogen is a 'yang pathogen' (light, ascending, mobile), it most easily 'opens and disperses the striae' (opens the skin pores) and 'combines with other pathogens' (especially yin pathogens such as cold and dampness), ultimately…</w:t>
            </w:r>
          </w:p>
        </w:tc>
        <w:tc>
          <w:tcPr>
            <w:tcW w:w="2160" w:type="dxa"/>
          </w:tcPr>
          <w:p w14:paraId="4B818A88">
            <w:pPr>
              <w:spacing w:after="0" w:line="240" w:lineRule="auto"/>
            </w:pPr>
            <w:r>
              <w:t>Cardiac risk, sudden death &amp; health-literacy</w:t>
            </w:r>
          </w:p>
        </w:tc>
      </w:tr>
    </w:tbl>
    <w:p w14:paraId="71A24FB8">
      <w:r>
        <w:rPr>
          <w:b/>
          <w:i w:val="0"/>
        </w:rPr>
        <w:t xml:space="preserve">Ambiguity cases. </w:t>
      </w:r>
    </w:p>
    <w:p w14:paraId="101BA05C">
      <w:pPr>
        <w:pStyle w:val="16"/>
      </w:pPr>
      <w:r>
        <w:t>Topic 4 (pediatric cough/allergy) and Topic 7 (stem-cell/immunology) are semantically adjacent to, but not specific to, myocarditis — consistent with the low silhouette and with the descriptive (non-claims) presentation of topic results in the main text.</w:t>
      </w:r>
    </w:p>
    <w:p w14:paraId="0BF6BD24">
      <w:pPr>
        <w:pStyle w:val="16"/>
      </w:pPr>
      <w:r>
        <w:t>Topic 5 is dominated by cardiac-electrophysiology tokens (Ca2+, actin, myosin, ATP) and originates largely from science-popularisation or fandom posts; it is reported as a low-priority/partially off-target cluster rather than a core theme.</w:t>
      </w:r>
    </w:p>
    <w:p w14:paraId="41AB0E0E">
      <w:r>
        <w:rPr>
          <w:b w:val="0"/>
          <w:i w:val="0"/>
        </w:rPr>
        <w:t>Agreement. The two-reviewer labelling of the eight clusters reached consensus after one round of discussion; the only contested assignments were Topics 4, 5 and 7 above, all resolved by majority/context and explicitly flagged. This audit is reported qualitatively because cluster-theme labelling is a single-label-per-cluster task (not a per-post 9-class scheme); the per-post reliability for the cognitive dimensions is quantified separately in S4.</w:t>
      </w:r>
    </w:p>
    <w:p w14:paraId="55C929F5">
      <w:pPr>
        <w:pStyle w:val="3"/>
      </w:pPr>
      <w:r>
        <w:t>S3. SnowNLP Sentiment Calibration Against an Expert Gold Standard</w:t>
      </w:r>
    </w:p>
    <w:p w14:paraId="674C634A">
      <w:r>
        <w:t>A stratified sample of 327 posts (balanced across the six platforms) was labelled independently by a cardiologist (expert gold standard: positive/negative/neutral = 75/79/173) and by two automated judges: SnowNLP (the manuscript's polarity classifier) and Qwen2.5-7B used as an LLM judge. The tables below report class distributions, agreement, the human×machine confusion matrices, and per-class precision/recall/F1.</w:t>
      </w:r>
    </w:p>
    <w:p w14:paraId="04552B2C">
      <w:r>
        <w:rPr>
          <w:b/>
          <w:i w:val="0"/>
        </w:rPr>
        <w:t>Class distributions.</w:t>
      </w:r>
    </w:p>
    <w:tbl>
      <w:tblPr>
        <w:tblStyle w:val="49"/>
        <w:tblW w:w="0" w:type="auto"/>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autofit"/>
        <w:tblCellMar>
          <w:top w:w="0" w:type="dxa"/>
          <w:left w:w="108" w:type="dxa"/>
          <w:bottom w:w="0" w:type="dxa"/>
          <w:right w:w="108" w:type="dxa"/>
        </w:tblCellMar>
      </w:tblPr>
      <w:tblGrid>
        <w:gridCol w:w="2160"/>
        <w:gridCol w:w="2160"/>
        <w:gridCol w:w="2160"/>
        <w:gridCol w:w="2160"/>
      </w:tblGrid>
      <w:tr w14:paraId="2B1CCF6C">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160" w:type="dxa"/>
          </w:tcPr>
          <w:p w14:paraId="46047538">
            <w:pPr>
              <w:spacing w:after="0" w:line="240" w:lineRule="auto"/>
            </w:pPr>
            <w:r>
              <w:rPr>
                <w:b/>
              </w:rPr>
              <w:t>Polarity</w:t>
            </w:r>
          </w:p>
        </w:tc>
        <w:tc>
          <w:tcPr>
            <w:tcW w:w="2160" w:type="dxa"/>
          </w:tcPr>
          <w:p w14:paraId="79DE1FD6">
            <w:pPr>
              <w:spacing w:after="0" w:line="240" w:lineRule="auto"/>
            </w:pPr>
            <w:r>
              <w:rPr>
                <w:b/>
              </w:rPr>
              <w:t>Expert (gold)</w:t>
            </w:r>
          </w:p>
        </w:tc>
        <w:tc>
          <w:tcPr>
            <w:tcW w:w="2160" w:type="dxa"/>
          </w:tcPr>
          <w:p w14:paraId="7FD2792E">
            <w:pPr>
              <w:spacing w:after="0" w:line="240" w:lineRule="auto"/>
            </w:pPr>
            <w:r>
              <w:rPr>
                <w:b/>
              </w:rPr>
              <w:t>SnowNLP</w:t>
            </w:r>
          </w:p>
        </w:tc>
        <w:tc>
          <w:tcPr>
            <w:tcW w:w="2160" w:type="dxa"/>
          </w:tcPr>
          <w:p w14:paraId="1CC44AA4">
            <w:pPr>
              <w:spacing w:after="0" w:line="240" w:lineRule="auto"/>
            </w:pPr>
            <w:r>
              <w:rPr>
                <w:b/>
              </w:rPr>
              <w:t>Qwen2.5-7B</w:t>
            </w:r>
          </w:p>
        </w:tc>
      </w:tr>
      <w:tr w14:paraId="5062F95C">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160" w:type="dxa"/>
          </w:tcPr>
          <w:p w14:paraId="742A988E">
            <w:pPr>
              <w:spacing w:after="0" w:line="240" w:lineRule="auto"/>
            </w:pPr>
            <w:r>
              <w:t>positive</w:t>
            </w:r>
          </w:p>
        </w:tc>
        <w:tc>
          <w:tcPr>
            <w:tcW w:w="2160" w:type="dxa"/>
          </w:tcPr>
          <w:p w14:paraId="23B4DC87">
            <w:pPr>
              <w:spacing w:after="0" w:line="240" w:lineRule="auto"/>
            </w:pPr>
            <w:r>
              <w:t>75</w:t>
            </w:r>
          </w:p>
        </w:tc>
        <w:tc>
          <w:tcPr>
            <w:tcW w:w="2160" w:type="dxa"/>
          </w:tcPr>
          <w:p w14:paraId="4A8B832D">
            <w:pPr>
              <w:spacing w:after="0" w:line="240" w:lineRule="auto"/>
            </w:pPr>
            <w:r>
              <w:t>221</w:t>
            </w:r>
          </w:p>
        </w:tc>
        <w:tc>
          <w:tcPr>
            <w:tcW w:w="2160" w:type="dxa"/>
          </w:tcPr>
          <w:p w14:paraId="4E184804">
            <w:pPr>
              <w:spacing w:after="0" w:line="240" w:lineRule="auto"/>
            </w:pPr>
            <w:r>
              <w:t>54</w:t>
            </w:r>
          </w:p>
        </w:tc>
      </w:tr>
      <w:tr w14:paraId="0FA9A966">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160" w:type="dxa"/>
          </w:tcPr>
          <w:p w14:paraId="0EDE70D2">
            <w:pPr>
              <w:spacing w:after="0" w:line="240" w:lineRule="auto"/>
            </w:pPr>
            <w:r>
              <w:t>negative</w:t>
            </w:r>
          </w:p>
        </w:tc>
        <w:tc>
          <w:tcPr>
            <w:tcW w:w="2160" w:type="dxa"/>
          </w:tcPr>
          <w:p w14:paraId="7887C9AF">
            <w:pPr>
              <w:spacing w:after="0" w:line="240" w:lineRule="auto"/>
            </w:pPr>
            <w:r>
              <w:t>79</w:t>
            </w:r>
          </w:p>
        </w:tc>
        <w:tc>
          <w:tcPr>
            <w:tcW w:w="2160" w:type="dxa"/>
          </w:tcPr>
          <w:p w14:paraId="52F42081">
            <w:pPr>
              <w:spacing w:after="0" w:line="240" w:lineRule="auto"/>
            </w:pPr>
            <w:r>
              <w:t>93</w:t>
            </w:r>
          </w:p>
        </w:tc>
        <w:tc>
          <w:tcPr>
            <w:tcW w:w="2160" w:type="dxa"/>
          </w:tcPr>
          <w:p w14:paraId="51E14396">
            <w:pPr>
              <w:spacing w:after="0" w:line="240" w:lineRule="auto"/>
            </w:pPr>
            <w:r>
              <w:t>116</w:t>
            </w:r>
          </w:p>
        </w:tc>
      </w:tr>
      <w:tr w14:paraId="4C2D4522">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160" w:type="dxa"/>
          </w:tcPr>
          <w:p w14:paraId="02E2E551">
            <w:pPr>
              <w:spacing w:after="0" w:line="240" w:lineRule="auto"/>
            </w:pPr>
            <w:r>
              <w:t>neutral</w:t>
            </w:r>
          </w:p>
        </w:tc>
        <w:tc>
          <w:tcPr>
            <w:tcW w:w="2160" w:type="dxa"/>
          </w:tcPr>
          <w:p w14:paraId="591A9836">
            <w:pPr>
              <w:spacing w:after="0" w:line="240" w:lineRule="auto"/>
            </w:pPr>
            <w:r>
              <w:t>173</w:t>
            </w:r>
          </w:p>
        </w:tc>
        <w:tc>
          <w:tcPr>
            <w:tcW w:w="2160" w:type="dxa"/>
          </w:tcPr>
          <w:p w14:paraId="58184381">
            <w:pPr>
              <w:spacing w:after="0" w:line="240" w:lineRule="auto"/>
            </w:pPr>
            <w:r>
              <w:t>13</w:t>
            </w:r>
          </w:p>
        </w:tc>
        <w:tc>
          <w:tcPr>
            <w:tcW w:w="2160" w:type="dxa"/>
          </w:tcPr>
          <w:p w14:paraId="547F41F2">
            <w:pPr>
              <w:spacing w:after="0" w:line="240" w:lineRule="auto"/>
            </w:pPr>
            <w:r>
              <w:t>157</w:t>
            </w:r>
          </w:p>
        </w:tc>
      </w:tr>
    </w:tbl>
    <w:p w14:paraId="4ACA661D">
      <w:pPr>
        <w:pStyle w:val="4"/>
      </w:pPr>
      <w:r>
        <w:t>SnowNLP vs Expert</w:t>
      </w:r>
    </w:p>
    <w:p w14:paraId="0CD91A85">
      <w:r>
        <w:rPr>
          <w:b w:val="0"/>
          <w:i w:val="0"/>
        </w:rPr>
        <w:t>Accuracy = 0.281; macro-F1 = 0.270; Cohen's κ = 0.049 (n=327).</w:t>
      </w:r>
    </w:p>
    <w:tbl>
      <w:tblPr>
        <w:tblStyle w:val="49"/>
        <w:tblW w:w="0" w:type="auto"/>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autofit"/>
        <w:tblCellMar>
          <w:top w:w="0" w:type="dxa"/>
          <w:left w:w="108" w:type="dxa"/>
          <w:bottom w:w="0" w:type="dxa"/>
          <w:right w:w="108" w:type="dxa"/>
        </w:tblCellMar>
      </w:tblPr>
      <w:tblGrid>
        <w:gridCol w:w="1728"/>
        <w:gridCol w:w="432"/>
        <w:gridCol w:w="1296"/>
        <w:gridCol w:w="864"/>
        <w:gridCol w:w="864"/>
        <w:gridCol w:w="1296"/>
        <w:gridCol w:w="432"/>
        <w:gridCol w:w="1728"/>
      </w:tblGrid>
      <w:tr w14:paraId="0F2E40A0">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160" w:type="dxa"/>
            <w:gridSpan w:val="2"/>
          </w:tcPr>
          <w:p w14:paraId="5A958B25">
            <w:pPr>
              <w:spacing w:after="0" w:line="240" w:lineRule="auto"/>
            </w:pPr>
            <w:r>
              <w:rPr>
                <w:b/>
              </w:rPr>
              <w:t>Expert \ Judge</w:t>
            </w:r>
          </w:p>
        </w:tc>
        <w:tc>
          <w:tcPr>
            <w:tcW w:w="2160" w:type="dxa"/>
            <w:gridSpan w:val="2"/>
          </w:tcPr>
          <w:p w14:paraId="32EC9972">
            <w:pPr>
              <w:spacing w:after="0" w:line="240" w:lineRule="auto"/>
            </w:pPr>
            <w:r>
              <w:t>positive</w:t>
            </w:r>
          </w:p>
        </w:tc>
        <w:tc>
          <w:tcPr>
            <w:tcW w:w="2160" w:type="dxa"/>
            <w:gridSpan w:val="2"/>
          </w:tcPr>
          <w:p w14:paraId="3415CABE">
            <w:pPr>
              <w:spacing w:after="0" w:line="240" w:lineRule="auto"/>
            </w:pPr>
            <w:r>
              <w:t>negative</w:t>
            </w:r>
          </w:p>
        </w:tc>
        <w:tc>
          <w:tcPr>
            <w:tcW w:w="2160" w:type="dxa"/>
            <w:gridSpan w:val="2"/>
          </w:tcPr>
          <w:p w14:paraId="491F7D89">
            <w:pPr>
              <w:spacing w:after="0" w:line="240" w:lineRule="auto"/>
            </w:pPr>
            <w:r>
              <w:t>neutral</w:t>
            </w:r>
          </w:p>
        </w:tc>
      </w:tr>
      <w:tr w14:paraId="4E647E5A">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160" w:type="dxa"/>
            <w:gridSpan w:val="2"/>
          </w:tcPr>
          <w:p w14:paraId="67DEF738">
            <w:pPr>
              <w:spacing w:after="0" w:line="240" w:lineRule="auto"/>
            </w:pPr>
            <w:r>
              <w:t>positive</w:t>
            </w:r>
          </w:p>
        </w:tc>
        <w:tc>
          <w:tcPr>
            <w:tcW w:w="2160" w:type="dxa"/>
            <w:gridSpan w:val="2"/>
          </w:tcPr>
          <w:p w14:paraId="66DB6BD7">
            <w:pPr>
              <w:spacing w:after="0" w:line="240" w:lineRule="auto"/>
            </w:pPr>
            <w:r>
              <w:t>52</w:t>
            </w:r>
          </w:p>
        </w:tc>
        <w:tc>
          <w:tcPr>
            <w:tcW w:w="2160" w:type="dxa"/>
            <w:gridSpan w:val="2"/>
          </w:tcPr>
          <w:p w14:paraId="24828DBE">
            <w:pPr>
              <w:spacing w:after="0" w:line="240" w:lineRule="auto"/>
            </w:pPr>
            <w:r>
              <w:t>21</w:t>
            </w:r>
          </w:p>
        </w:tc>
        <w:tc>
          <w:tcPr>
            <w:tcW w:w="2160" w:type="dxa"/>
            <w:gridSpan w:val="2"/>
          </w:tcPr>
          <w:p w14:paraId="46D96A98">
            <w:pPr>
              <w:spacing w:after="0" w:line="240" w:lineRule="auto"/>
            </w:pPr>
            <w:r>
              <w:t>2</w:t>
            </w:r>
          </w:p>
        </w:tc>
      </w:tr>
      <w:tr w14:paraId="73C6F65B">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160" w:type="dxa"/>
            <w:gridSpan w:val="2"/>
          </w:tcPr>
          <w:p w14:paraId="50E6D289">
            <w:pPr>
              <w:spacing w:after="0" w:line="240" w:lineRule="auto"/>
            </w:pPr>
            <w:r>
              <w:t>negative</w:t>
            </w:r>
          </w:p>
        </w:tc>
        <w:tc>
          <w:tcPr>
            <w:tcW w:w="2160" w:type="dxa"/>
            <w:gridSpan w:val="2"/>
          </w:tcPr>
          <w:p w14:paraId="4E60CDDB">
            <w:pPr>
              <w:spacing w:after="0" w:line="240" w:lineRule="auto"/>
            </w:pPr>
            <w:r>
              <w:t>40</w:t>
            </w:r>
          </w:p>
        </w:tc>
        <w:tc>
          <w:tcPr>
            <w:tcW w:w="2160" w:type="dxa"/>
            <w:gridSpan w:val="2"/>
          </w:tcPr>
          <w:p w14:paraId="2496EE77">
            <w:pPr>
              <w:spacing w:after="0" w:line="240" w:lineRule="auto"/>
            </w:pPr>
            <w:r>
              <w:t>34</w:t>
            </w:r>
          </w:p>
        </w:tc>
        <w:tc>
          <w:tcPr>
            <w:tcW w:w="2160" w:type="dxa"/>
            <w:gridSpan w:val="2"/>
          </w:tcPr>
          <w:p w14:paraId="7DB6ED9C">
            <w:pPr>
              <w:spacing w:after="0" w:line="240" w:lineRule="auto"/>
            </w:pPr>
            <w:r>
              <w:t>5</w:t>
            </w:r>
          </w:p>
        </w:tc>
      </w:tr>
      <w:tr w14:paraId="57F53207">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160" w:type="dxa"/>
            <w:gridSpan w:val="2"/>
          </w:tcPr>
          <w:p w14:paraId="5A759B5B">
            <w:pPr>
              <w:spacing w:after="0" w:line="240" w:lineRule="auto"/>
            </w:pPr>
            <w:r>
              <w:t>neutral</w:t>
            </w:r>
          </w:p>
        </w:tc>
        <w:tc>
          <w:tcPr>
            <w:tcW w:w="2160" w:type="dxa"/>
            <w:gridSpan w:val="2"/>
          </w:tcPr>
          <w:p w14:paraId="79F9C9E2">
            <w:pPr>
              <w:spacing w:after="0" w:line="240" w:lineRule="auto"/>
            </w:pPr>
            <w:r>
              <w:t>129</w:t>
            </w:r>
          </w:p>
        </w:tc>
        <w:tc>
          <w:tcPr>
            <w:tcW w:w="2160" w:type="dxa"/>
            <w:gridSpan w:val="2"/>
          </w:tcPr>
          <w:p w14:paraId="47F933E7">
            <w:pPr>
              <w:spacing w:after="0" w:line="240" w:lineRule="auto"/>
            </w:pPr>
            <w:r>
              <w:t>38</w:t>
            </w:r>
          </w:p>
        </w:tc>
        <w:tc>
          <w:tcPr>
            <w:tcW w:w="2160" w:type="dxa"/>
            <w:gridSpan w:val="2"/>
          </w:tcPr>
          <w:p w14:paraId="31D06DA1">
            <w:pPr>
              <w:spacing w:after="0" w:line="240" w:lineRule="auto"/>
            </w:pPr>
            <w:r>
              <w:t>6</w:t>
            </w:r>
          </w:p>
        </w:tc>
      </w:tr>
      <w:tr w14:paraId="78BDCF01">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1728" w:type="dxa"/>
          </w:tcPr>
          <w:p w14:paraId="7345049E">
            <w:pPr>
              <w:spacing w:after="0" w:line="240" w:lineRule="auto"/>
            </w:pPr>
            <w:r>
              <w:rPr>
                <w:b/>
              </w:rPr>
              <w:t>Class</w:t>
            </w:r>
          </w:p>
        </w:tc>
        <w:tc>
          <w:tcPr>
            <w:tcW w:w="1728" w:type="dxa"/>
            <w:gridSpan w:val="2"/>
          </w:tcPr>
          <w:p w14:paraId="343E7886">
            <w:pPr>
              <w:spacing w:after="0" w:line="240" w:lineRule="auto"/>
            </w:pPr>
            <w:r>
              <w:rPr>
                <w:b/>
              </w:rPr>
              <w:t>Precision</w:t>
            </w:r>
          </w:p>
        </w:tc>
        <w:tc>
          <w:tcPr>
            <w:tcW w:w="1728" w:type="dxa"/>
            <w:gridSpan w:val="2"/>
          </w:tcPr>
          <w:p w14:paraId="5C1B3265">
            <w:pPr>
              <w:spacing w:after="0" w:line="240" w:lineRule="auto"/>
            </w:pPr>
            <w:r>
              <w:rPr>
                <w:b/>
              </w:rPr>
              <w:t>Recall</w:t>
            </w:r>
          </w:p>
        </w:tc>
        <w:tc>
          <w:tcPr>
            <w:tcW w:w="1728" w:type="dxa"/>
            <w:gridSpan w:val="2"/>
          </w:tcPr>
          <w:p w14:paraId="77C6229D">
            <w:pPr>
              <w:spacing w:after="0" w:line="240" w:lineRule="auto"/>
            </w:pPr>
            <w:r>
              <w:rPr>
                <w:b/>
              </w:rPr>
              <w:t>F1</w:t>
            </w:r>
          </w:p>
        </w:tc>
        <w:tc>
          <w:tcPr>
            <w:tcW w:w="1728" w:type="dxa"/>
          </w:tcPr>
          <w:p w14:paraId="3811EAA8">
            <w:pPr>
              <w:spacing w:after="0" w:line="240" w:lineRule="auto"/>
            </w:pPr>
            <w:r>
              <w:rPr>
                <w:b/>
              </w:rPr>
              <w:t>Support</w:t>
            </w:r>
          </w:p>
        </w:tc>
      </w:tr>
      <w:tr w14:paraId="53B53997">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1728" w:type="dxa"/>
          </w:tcPr>
          <w:p w14:paraId="61A25BC8">
            <w:pPr>
              <w:spacing w:after="0" w:line="240" w:lineRule="auto"/>
            </w:pPr>
            <w:r>
              <w:t>positive</w:t>
            </w:r>
          </w:p>
        </w:tc>
        <w:tc>
          <w:tcPr>
            <w:tcW w:w="1728" w:type="dxa"/>
            <w:gridSpan w:val="2"/>
          </w:tcPr>
          <w:p w14:paraId="22F5DF39">
            <w:pPr>
              <w:spacing w:after="0" w:line="240" w:lineRule="auto"/>
            </w:pPr>
            <w:r>
              <w:t>0.235</w:t>
            </w:r>
          </w:p>
        </w:tc>
        <w:tc>
          <w:tcPr>
            <w:tcW w:w="1728" w:type="dxa"/>
            <w:gridSpan w:val="2"/>
          </w:tcPr>
          <w:p w14:paraId="56291AB6">
            <w:pPr>
              <w:spacing w:after="0" w:line="240" w:lineRule="auto"/>
            </w:pPr>
            <w:r>
              <w:t>0.693</w:t>
            </w:r>
          </w:p>
        </w:tc>
        <w:tc>
          <w:tcPr>
            <w:tcW w:w="1728" w:type="dxa"/>
            <w:gridSpan w:val="2"/>
          </w:tcPr>
          <w:p w14:paraId="7B5437DC">
            <w:pPr>
              <w:spacing w:after="0" w:line="240" w:lineRule="auto"/>
            </w:pPr>
            <w:r>
              <w:t>0.351</w:t>
            </w:r>
          </w:p>
        </w:tc>
        <w:tc>
          <w:tcPr>
            <w:tcW w:w="1728" w:type="dxa"/>
          </w:tcPr>
          <w:p w14:paraId="6A08E145">
            <w:pPr>
              <w:spacing w:after="0" w:line="240" w:lineRule="auto"/>
            </w:pPr>
            <w:r>
              <w:t>75</w:t>
            </w:r>
          </w:p>
        </w:tc>
      </w:tr>
      <w:tr w14:paraId="172040D2">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1728" w:type="dxa"/>
          </w:tcPr>
          <w:p w14:paraId="535421BB">
            <w:pPr>
              <w:spacing w:after="0" w:line="240" w:lineRule="auto"/>
            </w:pPr>
            <w:r>
              <w:t>negative</w:t>
            </w:r>
          </w:p>
        </w:tc>
        <w:tc>
          <w:tcPr>
            <w:tcW w:w="1728" w:type="dxa"/>
            <w:gridSpan w:val="2"/>
          </w:tcPr>
          <w:p w14:paraId="5802B53D">
            <w:pPr>
              <w:spacing w:after="0" w:line="240" w:lineRule="auto"/>
            </w:pPr>
            <w:r>
              <w:t>0.366</w:t>
            </w:r>
          </w:p>
        </w:tc>
        <w:tc>
          <w:tcPr>
            <w:tcW w:w="1728" w:type="dxa"/>
            <w:gridSpan w:val="2"/>
          </w:tcPr>
          <w:p w14:paraId="41BE57EB">
            <w:pPr>
              <w:spacing w:after="0" w:line="240" w:lineRule="auto"/>
            </w:pPr>
            <w:r>
              <w:t>0.430</w:t>
            </w:r>
          </w:p>
        </w:tc>
        <w:tc>
          <w:tcPr>
            <w:tcW w:w="1728" w:type="dxa"/>
            <w:gridSpan w:val="2"/>
          </w:tcPr>
          <w:p w14:paraId="67CFDAD4">
            <w:pPr>
              <w:spacing w:after="0" w:line="240" w:lineRule="auto"/>
            </w:pPr>
            <w:r>
              <w:t>0.395</w:t>
            </w:r>
          </w:p>
        </w:tc>
        <w:tc>
          <w:tcPr>
            <w:tcW w:w="1728" w:type="dxa"/>
          </w:tcPr>
          <w:p w14:paraId="5CF1AC35">
            <w:pPr>
              <w:spacing w:after="0" w:line="240" w:lineRule="auto"/>
            </w:pPr>
            <w:r>
              <w:t>79</w:t>
            </w:r>
          </w:p>
        </w:tc>
      </w:tr>
      <w:tr w14:paraId="325FE597">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1728" w:type="dxa"/>
          </w:tcPr>
          <w:p w14:paraId="68E831A6">
            <w:pPr>
              <w:spacing w:after="0" w:line="240" w:lineRule="auto"/>
            </w:pPr>
            <w:r>
              <w:t>neutral</w:t>
            </w:r>
          </w:p>
        </w:tc>
        <w:tc>
          <w:tcPr>
            <w:tcW w:w="1728" w:type="dxa"/>
            <w:gridSpan w:val="2"/>
          </w:tcPr>
          <w:p w14:paraId="784175C3">
            <w:pPr>
              <w:spacing w:after="0" w:line="240" w:lineRule="auto"/>
            </w:pPr>
            <w:r>
              <w:t>0.462</w:t>
            </w:r>
          </w:p>
        </w:tc>
        <w:tc>
          <w:tcPr>
            <w:tcW w:w="1728" w:type="dxa"/>
            <w:gridSpan w:val="2"/>
          </w:tcPr>
          <w:p w14:paraId="03D411E5">
            <w:pPr>
              <w:spacing w:after="0" w:line="240" w:lineRule="auto"/>
            </w:pPr>
            <w:r>
              <w:t>0.035</w:t>
            </w:r>
          </w:p>
        </w:tc>
        <w:tc>
          <w:tcPr>
            <w:tcW w:w="1728" w:type="dxa"/>
            <w:gridSpan w:val="2"/>
          </w:tcPr>
          <w:p w14:paraId="0B7A077E">
            <w:pPr>
              <w:spacing w:after="0" w:line="240" w:lineRule="auto"/>
            </w:pPr>
            <w:r>
              <w:t>0.065</w:t>
            </w:r>
          </w:p>
        </w:tc>
        <w:tc>
          <w:tcPr>
            <w:tcW w:w="1728" w:type="dxa"/>
          </w:tcPr>
          <w:p w14:paraId="00919F5A">
            <w:pPr>
              <w:spacing w:after="0" w:line="240" w:lineRule="auto"/>
            </w:pPr>
            <w:r>
              <w:t>173</w:t>
            </w:r>
          </w:p>
        </w:tc>
      </w:tr>
    </w:tbl>
    <w:p w14:paraId="2833B3B0">
      <w:pPr>
        <w:pStyle w:val="4"/>
      </w:pPr>
      <w:r>
        <w:t>Qwen2.5-7B vs Expert</w:t>
      </w:r>
    </w:p>
    <w:p w14:paraId="7EB1BAF5">
      <w:r>
        <w:rPr>
          <w:b w:val="0"/>
          <w:i w:val="0"/>
        </w:rPr>
        <w:t>Accuracy = 0.746; macro-F1 = 0.726; Cohen's κ = 0.592 (n=327).</w:t>
      </w:r>
    </w:p>
    <w:tbl>
      <w:tblPr>
        <w:tblStyle w:val="49"/>
        <w:tblW w:w="0" w:type="auto"/>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autofit"/>
        <w:tblCellMar>
          <w:top w:w="0" w:type="dxa"/>
          <w:left w:w="108" w:type="dxa"/>
          <w:bottom w:w="0" w:type="dxa"/>
          <w:right w:w="108" w:type="dxa"/>
        </w:tblCellMar>
      </w:tblPr>
      <w:tblGrid>
        <w:gridCol w:w="1728"/>
        <w:gridCol w:w="432"/>
        <w:gridCol w:w="1296"/>
        <w:gridCol w:w="864"/>
        <w:gridCol w:w="864"/>
        <w:gridCol w:w="1296"/>
        <w:gridCol w:w="432"/>
        <w:gridCol w:w="1728"/>
      </w:tblGrid>
      <w:tr w14:paraId="0B63F714">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160" w:type="dxa"/>
            <w:gridSpan w:val="2"/>
          </w:tcPr>
          <w:p w14:paraId="6BB6AC36">
            <w:pPr>
              <w:spacing w:after="0" w:line="240" w:lineRule="auto"/>
            </w:pPr>
            <w:r>
              <w:rPr>
                <w:b/>
              </w:rPr>
              <w:t>Expert \ Judge</w:t>
            </w:r>
          </w:p>
        </w:tc>
        <w:tc>
          <w:tcPr>
            <w:tcW w:w="2160" w:type="dxa"/>
            <w:gridSpan w:val="2"/>
          </w:tcPr>
          <w:p w14:paraId="30307A10">
            <w:pPr>
              <w:spacing w:after="0" w:line="240" w:lineRule="auto"/>
            </w:pPr>
            <w:r>
              <w:t>positive</w:t>
            </w:r>
          </w:p>
        </w:tc>
        <w:tc>
          <w:tcPr>
            <w:tcW w:w="2160" w:type="dxa"/>
            <w:gridSpan w:val="2"/>
          </w:tcPr>
          <w:p w14:paraId="33773BD0">
            <w:pPr>
              <w:spacing w:after="0" w:line="240" w:lineRule="auto"/>
            </w:pPr>
            <w:r>
              <w:t>negative</w:t>
            </w:r>
          </w:p>
        </w:tc>
        <w:tc>
          <w:tcPr>
            <w:tcW w:w="2160" w:type="dxa"/>
            <w:gridSpan w:val="2"/>
          </w:tcPr>
          <w:p w14:paraId="0DD83273">
            <w:pPr>
              <w:spacing w:after="0" w:line="240" w:lineRule="auto"/>
            </w:pPr>
            <w:r>
              <w:t>neutral</w:t>
            </w:r>
          </w:p>
        </w:tc>
      </w:tr>
      <w:tr w14:paraId="2AE33EAC">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160" w:type="dxa"/>
            <w:gridSpan w:val="2"/>
          </w:tcPr>
          <w:p w14:paraId="00CE49BA">
            <w:pPr>
              <w:spacing w:after="0" w:line="240" w:lineRule="auto"/>
            </w:pPr>
            <w:r>
              <w:t>positive</w:t>
            </w:r>
          </w:p>
        </w:tc>
        <w:tc>
          <w:tcPr>
            <w:tcW w:w="2160" w:type="dxa"/>
            <w:gridSpan w:val="2"/>
          </w:tcPr>
          <w:p w14:paraId="16B9324A">
            <w:pPr>
              <w:spacing w:after="0" w:line="240" w:lineRule="auto"/>
            </w:pPr>
            <w:r>
              <w:t>43</w:t>
            </w:r>
          </w:p>
        </w:tc>
        <w:tc>
          <w:tcPr>
            <w:tcW w:w="2160" w:type="dxa"/>
            <w:gridSpan w:val="2"/>
          </w:tcPr>
          <w:p w14:paraId="48C95F6C">
            <w:pPr>
              <w:spacing w:after="0" w:line="240" w:lineRule="auto"/>
            </w:pPr>
            <w:r>
              <w:t>15</w:t>
            </w:r>
          </w:p>
        </w:tc>
        <w:tc>
          <w:tcPr>
            <w:tcW w:w="2160" w:type="dxa"/>
            <w:gridSpan w:val="2"/>
          </w:tcPr>
          <w:p w14:paraId="6220BFBA">
            <w:pPr>
              <w:spacing w:after="0" w:line="240" w:lineRule="auto"/>
            </w:pPr>
            <w:r>
              <w:t>17</w:t>
            </w:r>
          </w:p>
        </w:tc>
      </w:tr>
      <w:tr w14:paraId="5A495C8C">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160" w:type="dxa"/>
            <w:gridSpan w:val="2"/>
          </w:tcPr>
          <w:p w14:paraId="1CBFDEAC">
            <w:pPr>
              <w:spacing w:after="0" w:line="240" w:lineRule="auto"/>
            </w:pPr>
            <w:r>
              <w:t>negative</w:t>
            </w:r>
          </w:p>
        </w:tc>
        <w:tc>
          <w:tcPr>
            <w:tcW w:w="2160" w:type="dxa"/>
            <w:gridSpan w:val="2"/>
          </w:tcPr>
          <w:p w14:paraId="267B6C78">
            <w:pPr>
              <w:spacing w:after="0" w:line="240" w:lineRule="auto"/>
            </w:pPr>
            <w:r>
              <w:t>0</w:t>
            </w:r>
          </w:p>
        </w:tc>
        <w:tc>
          <w:tcPr>
            <w:tcW w:w="2160" w:type="dxa"/>
            <w:gridSpan w:val="2"/>
          </w:tcPr>
          <w:p w14:paraId="2C3B0346">
            <w:pPr>
              <w:spacing w:after="0" w:line="240" w:lineRule="auto"/>
            </w:pPr>
            <w:r>
              <w:t>70</w:t>
            </w:r>
          </w:p>
        </w:tc>
        <w:tc>
          <w:tcPr>
            <w:tcW w:w="2160" w:type="dxa"/>
            <w:gridSpan w:val="2"/>
          </w:tcPr>
          <w:p w14:paraId="4EE92784">
            <w:pPr>
              <w:spacing w:after="0" w:line="240" w:lineRule="auto"/>
            </w:pPr>
            <w:r>
              <w:t>9</w:t>
            </w:r>
          </w:p>
        </w:tc>
      </w:tr>
      <w:tr w14:paraId="2C38A7B1">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160" w:type="dxa"/>
            <w:gridSpan w:val="2"/>
          </w:tcPr>
          <w:p w14:paraId="4E0ABB5A">
            <w:pPr>
              <w:spacing w:after="0" w:line="240" w:lineRule="auto"/>
            </w:pPr>
            <w:r>
              <w:t>neutral</w:t>
            </w:r>
          </w:p>
        </w:tc>
        <w:tc>
          <w:tcPr>
            <w:tcW w:w="2160" w:type="dxa"/>
            <w:gridSpan w:val="2"/>
          </w:tcPr>
          <w:p w14:paraId="0603594F">
            <w:pPr>
              <w:spacing w:after="0" w:line="240" w:lineRule="auto"/>
            </w:pPr>
            <w:r>
              <w:t>11</w:t>
            </w:r>
          </w:p>
        </w:tc>
        <w:tc>
          <w:tcPr>
            <w:tcW w:w="2160" w:type="dxa"/>
            <w:gridSpan w:val="2"/>
          </w:tcPr>
          <w:p w14:paraId="774B537A">
            <w:pPr>
              <w:spacing w:after="0" w:line="240" w:lineRule="auto"/>
            </w:pPr>
            <w:r>
              <w:t>31</w:t>
            </w:r>
          </w:p>
        </w:tc>
        <w:tc>
          <w:tcPr>
            <w:tcW w:w="2160" w:type="dxa"/>
            <w:gridSpan w:val="2"/>
          </w:tcPr>
          <w:p w14:paraId="138996CB">
            <w:pPr>
              <w:spacing w:after="0" w:line="240" w:lineRule="auto"/>
            </w:pPr>
            <w:r>
              <w:t>131</w:t>
            </w:r>
          </w:p>
        </w:tc>
      </w:tr>
      <w:tr w14:paraId="72D9B47F">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1728" w:type="dxa"/>
          </w:tcPr>
          <w:p w14:paraId="7568CBC9">
            <w:pPr>
              <w:spacing w:after="0" w:line="240" w:lineRule="auto"/>
            </w:pPr>
            <w:r>
              <w:rPr>
                <w:b/>
              </w:rPr>
              <w:t>Class</w:t>
            </w:r>
          </w:p>
        </w:tc>
        <w:tc>
          <w:tcPr>
            <w:tcW w:w="1728" w:type="dxa"/>
            <w:gridSpan w:val="2"/>
          </w:tcPr>
          <w:p w14:paraId="613B22E9">
            <w:pPr>
              <w:spacing w:after="0" w:line="240" w:lineRule="auto"/>
            </w:pPr>
            <w:r>
              <w:rPr>
                <w:b/>
              </w:rPr>
              <w:t>Precision</w:t>
            </w:r>
          </w:p>
        </w:tc>
        <w:tc>
          <w:tcPr>
            <w:tcW w:w="1728" w:type="dxa"/>
            <w:gridSpan w:val="2"/>
          </w:tcPr>
          <w:p w14:paraId="5C81539A">
            <w:pPr>
              <w:spacing w:after="0" w:line="240" w:lineRule="auto"/>
            </w:pPr>
            <w:r>
              <w:rPr>
                <w:b/>
              </w:rPr>
              <w:t>Recall</w:t>
            </w:r>
          </w:p>
        </w:tc>
        <w:tc>
          <w:tcPr>
            <w:tcW w:w="1728" w:type="dxa"/>
            <w:gridSpan w:val="2"/>
          </w:tcPr>
          <w:p w14:paraId="4F1B4A19">
            <w:pPr>
              <w:spacing w:after="0" w:line="240" w:lineRule="auto"/>
            </w:pPr>
            <w:r>
              <w:rPr>
                <w:b/>
              </w:rPr>
              <w:t>F1</w:t>
            </w:r>
          </w:p>
        </w:tc>
        <w:tc>
          <w:tcPr>
            <w:tcW w:w="1728" w:type="dxa"/>
          </w:tcPr>
          <w:p w14:paraId="771A2B6A">
            <w:pPr>
              <w:spacing w:after="0" w:line="240" w:lineRule="auto"/>
            </w:pPr>
            <w:r>
              <w:rPr>
                <w:b/>
              </w:rPr>
              <w:t>Support</w:t>
            </w:r>
          </w:p>
        </w:tc>
      </w:tr>
      <w:tr w14:paraId="342D5683">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1728" w:type="dxa"/>
          </w:tcPr>
          <w:p w14:paraId="0FAF4814">
            <w:pPr>
              <w:spacing w:after="0" w:line="240" w:lineRule="auto"/>
            </w:pPr>
            <w:r>
              <w:t>positive</w:t>
            </w:r>
          </w:p>
        </w:tc>
        <w:tc>
          <w:tcPr>
            <w:tcW w:w="1728" w:type="dxa"/>
            <w:gridSpan w:val="2"/>
          </w:tcPr>
          <w:p w14:paraId="2AD39725">
            <w:pPr>
              <w:spacing w:after="0" w:line="240" w:lineRule="auto"/>
            </w:pPr>
            <w:r>
              <w:t>0.796</w:t>
            </w:r>
          </w:p>
        </w:tc>
        <w:tc>
          <w:tcPr>
            <w:tcW w:w="1728" w:type="dxa"/>
            <w:gridSpan w:val="2"/>
          </w:tcPr>
          <w:p w14:paraId="29B8F64C">
            <w:pPr>
              <w:spacing w:after="0" w:line="240" w:lineRule="auto"/>
            </w:pPr>
            <w:r>
              <w:t>0.573</w:t>
            </w:r>
          </w:p>
        </w:tc>
        <w:tc>
          <w:tcPr>
            <w:tcW w:w="1728" w:type="dxa"/>
            <w:gridSpan w:val="2"/>
          </w:tcPr>
          <w:p w14:paraId="39D141C8">
            <w:pPr>
              <w:spacing w:after="0" w:line="240" w:lineRule="auto"/>
            </w:pPr>
            <w:r>
              <w:t>0.667</w:t>
            </w:r>
          </w:p>
        </w:tc>
        <w:tc>
          <w:tcPr>
            <w:tcW w:w="1728" w:type="dxa"/>
          </w:tcPr>
          <w:p w14:paraId="28C47470">
            <w:pPr>
              <w:spacing w:after="0" w:line="240" w:lineRule="auto"/>
            </w:pPr>
            <w:r>
              <w:t>75</w:t>
            </w:r>
          </w:p>
        </w:tc>
      </w:tr>
      <w:tr w14:paraId="45BFFE46">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1728" w:type="dxa"/>
          </w:tcPr>
          <w:p w14:paraId="485E95DF">
            <w:pPr>
              <w:spacing w:after="0" w:line="240" w:lineRule="auto"/>
            </w:pPr>
            <w:r>
              <w:t>negative</w:t>
            </w:r>
          </w:p>
        </w:tc>
        <w:tc>
          <w:tcPr>
            <w:tcW w:w="1728" w:type="dxa"/>
            <w:gridSpan w:val="2"/>
          </w:tcPr>
          <w:p w14:paraId="14F11757">
            <w:pPr>
              <w:spacing w:after="0" w:line="240" w:lineRule="auto"/>
            </w:pPr>
            <w:r>
              <w:t>0.603</w:t>
            </w:r>
          </w:p>
        </w:tc>
        <w:tc>
          <w:tcPr>
            <w:tcW w:w="1728" w:type="dxa"/>
            <w:gridSpan w:val="2"/>
          </w:tcPr>
          <w:p w14:paraId="134CF076">
            <w:pPr>
              <w:spacing w:after="0" w:line="240" w:lineRule="auto"/>
            </w:pPr>
            <w:r>
              <w:t>0.886</w:t>
            </w:r>
          </w:p>
        </w:tc>
        <w:tc>
          <w:tcPr>
            <w:tcW w:w="1728" w:type="dxa"/>
            <w:gridSpan w:val="2"/>
          </w:tcPr>
          <w:p w14:paraId="5700D1B6">
            <w:pPr>
              <w:spacing w:after="0" w:line="240" w:lineRule="auto"/>
            </w:pPr>
            <w:r>
              <w:t>0.718</w:t>
            </w:r>
          </w:p>
        </w:tc>
        <w:tc>
          <w:tcPr>
            <w:tcW w:w="1728" w:type="dxa"/>
          </w:tcPr>
          <w:p w14:paraId="526F6494">
            <w:pPr>
              <w:spacing w:after="0" w:line="240" w:lineRule="auto"/>
            </w:pPr>
            <w:r>
              <w:t>79</w:t>
            </w:r>
          </w:p>
        </w:tc>
      </w:tr>
      <w:tr w14:paraId="21C9D7AF">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1728" w:type="dxa"/>
          </w:tcPr>
          <w:p w14:paraId="085B09F8">
            <w:pPr>
              <w:spacing w:after="0" w:line="240" w:lineRule="auto"/>
            </w:pPr>
            <w:r>
              <w:t>neutral</w:t>
            </w:r>
          </w:p>
        </w:tc>
        <w:tc>
          <w:tcPr>
            <w:tcW w:w="1728" w:type="dxa"/>
            <w:gridSpan w:val="2"/>
          </w:tcPr>
          <w:p w14:paraId="740C54BE">
            <w:pPr>
              <w:spacing w:after="0" w:line="240" w:lineRule="auto"/>
            </w:pPr>
            <w:r>
              <w:t>0.834</w:t>
            </w:r>
          </w:p>
        </w:tc>
        <w:tc>
          <w:tcPr>
            <w:tcW w:w="1728" w:type="dxa"/>
            <w:gridSpan w:val="2"/>
          </w:tcPr>
          <w:p w14:paraId="3C0B3397">
            <w:pPr>
              <w:spacing w:after="0" w:line="240" w:lineRule="auto"/>
            </w:pPr>
            <w:r>
              <w:t>0.757</w:t>
            </w:r>
          </w:p>
        </w:tc>
        <w:tc>
          <w:tcPr>
            <w:tcW w:w="1728" w:type="dxa"/>
            <w:gridSpan w:val="2"/>
          </w:tcPr>
          <w:p w14:paraId="7C556A45">
            <w:pPr>
              <w:spacing w:after="0" w:line="240" w:lineRule="auto"/>
            </w:pPr>
            <w:r>
              <w:t>0.794</w:t>
            </w:r>
          </w:p>
        </w:tc>
        <w:tc>
          <w:tcPr>
            <w:tcW w:w="1728" w:type="dxa"/>
          </w:tcPr>
          <w:p w14:paraId="7AF92C72">
            <w:pPr>
              <w:spacing w:after="0" w:line="240" w:lineRule="auto"/>
            </w:pPr>
            <w:r>
              <w:t>173</w:t>
            </w:r>
          </w:p>
        </w:tc>
      </w:tr>
    </w:tbl>
    <w:p w14:paraId="1B91FB1E">
      <w:r>
        <w:rPr>
          <w:b/>
          <w:i w:val="0"/>
        </w:rPr>
        <w:t xml:space="preserve">Interpretation. </w:t>
      </w:r>
    </w:p>
    <w:p w14:paraId="0A524E66">
      <w:pPr>
        <w:pStyle w:val="16"/>
      </w:pPr>
      <w:r>
        <w:t>SnowNLP shows near-random agreement with the expert (κ=0.049). Its decisive failure mode is the neutral class: of 173 expert-neutral posts, SnowNLP labelled 129 (75%) as positive, and its neutral recall is 0.035. It therefore systematically over-states positive sentiment on medical Chinese social text.</w:t>
      </w:r>
    </w:p>
    <w:p w14:paraId="64C447BE">
      <w:pPr>
        <w:pStyle w:val="16"/>
      </w:pPr>
      <w:r>
        <w:t>Qwen2.5-7B agrees substantially with the expert (κ=0.592; macro-F1=0.726) and is used in the main manuscript as the reliable automated judge / calibration reference. The expert gold standard (neutral-dominant: 53%) is taken as the validated sentiment distribution.</w:t>
      </w:r>
    </w:p>
    <w:p w14:paraId="32AF852E">
      <w:pPr>
        <w:pStyle w:val="16"/>
      </w:pPr>
      <w:r>
        <w:t>All manuscript sentiment statements are reported as descriptive statistics calibrated against this expert standard; the unvalidated SnowNLP 'positive-dominant' raw output is explicitly flagged as a limitation.</w:t>
      </w:r>
    </w:p>
    <w:p w14:paraId="4AC6361A">
      <w:pPr>
        <w:pStyle w:val="3"/>
      </w:pPr>
      <w:r>
        <w:t>S4. Cognitive-Dimension Classifier: Rules and Anchor Lexicon</w:t>
      </w:r>
    </w:p>
    <w:p w14:paraId="5ACBF917">
      <w:r>
        <w:rPr>
          <w:b w:val="0"/>
          <w:i w:val="0"/>
        </w:rPr>
        <w:t>Each post is assigned a single best-fit dimension from nine cognitive facets. Assignment is deterministic and anchor-driven: the dimension is mapped from the study search keyword that retrieved the post (68 keywords, each pre-mapped to one of the nine dimensions in the project keyword registry), with ties resolved by a fixed priority order. The registry below lists the anchor lexicon per dimension (tier1 = core, tier2 = extended, tier3 = probe). Rule reliability was tuned against a 500-post stratified subsample independently labelled by two reviewers: inter-rater Cohen's κ = 0.83 (substantial-to-almost-perfect) for the 9-class scheme; rare classes (prognosis–rehabilitation, custom) showed unstable κ and are reported per-class or via macro-F1.</w:t>
      </w:r>
    </w:p>
    <w:p w14:paraId="246A333B">
      <w:pPr>
        <w:pStyle w:val="4"/>
      </w:pPr>
      <w:r>
        <w:t>disease_name — Disease and type</w:t>
      </w:r>
    </w:p>
    <w:p w14:paraId="47FC6FDB">
      <w:r>
        <w:t>tier1: myocarditis, viral myocarditis, fulminant myocarditis; tier2: fulminant myocarditis, acute myocarditis, myocardial injury, myocarditis with pericarditis, pericarditis; tier3: severe myocarditis, chronic myocarditis, immune-mediated myocarditis, myocarditis with heart failure, dilated cardiomyopathy</w:t>
      </w:r>
    </w:p>
    <w:p w14:paraId="5FC32A8E">
      <w:pPr>
        <w:pStyle w:val="4"/>
      </w:pPr>
      <w:r>
        <w:t>prodromal_symptom — Prodromal-symptom narrative</w:t>
      </w:r>
    </w:p>
    <w:p w14:paraId="19FF8D3A">
      <w:r>
        <w:t>tier1: chest tightness after a cold, palpitations after a cold, fatigue after fever; tier2: fatigue after a cold, rapid heartbeat after a cold, shortness of breath after a cold, chest pain after a cold, fatigue with low-grade fever, palpitations and chest tightness, general weakness and loss of appetite, palpitations after fever; tier3: chest tightness after a sore throat, fatigue after diarrhea, dizziness after a cold, fainting after a cold, elevated resting heart rate, heart rate over 100 bpm, rapid heartbeat while lying down</w:t>
      </w:r>
    </w:p>
    <w:p w14:paraId="48539012">
      <w:pPr>
        <w:pStyle w:val="4"/>
      </w:pPr>
      <w:r>
        <w:t>trigger_behavior — Triggers and risky behaviours</w:t>
      </w:r>
    </w:p>
    <w:p w14:paraId="1FDB5DBE">
      <w:r>
        <w:t>tier1: exercising after a cold, exercising while sick; tier2: toughing out a cold without rest, going to work with a fever, running with a fever, working out with a cold, strenuous exercise after a cold, myocarditis from staying up late, accidents from exercising with fever; tier3: not resting with a cold, exercising after testing positive, exercising after influenza A, running a marathon with a cold, attending class while sick</w:t>
      </w:r>
    </w:p>
    <w:p w14:paraId="1C126088">
      <w:pPr>
        <w:pStyle w:val="4"/>
      </w:pPr>
      <w:r>
        <w:t>infection_trigger — Associated infections</w:t>
      </w:r>
    </w:p>
    <w:p w14:paraId="7F8B9ED9">
      <w:r>
        <w:t>tier1: influenza A myocarditis; tier2: COVID-19 myocarditis, influenza myocarditis, myocarditis caused by a cold, viral infection of the myocardium, mycoplasma myocarditis; tier3: vaccine-associated myocarditis, enterovirus myocarditis, EBV myocarditis, norovirus myocarditis, myocarditis after fever</w:t>
      </w:r>
    </w:p>
    <w:p w14:paraId="710C1F5C">
      <w:pPr>
        <w:pStyle w:val="4"/>
      </w:pPr>
      <w:r>
        <w:t>diagnosis_treatment — Examination and treatment</w:t>
      </w:r>
    </w:p>
    <w:p w14:paraId="0B699FFD">
      <w:r>
        <w:t>tier1: cardiac enzymes, troponin; tier2: elevated cardiac enzymes, elevated troponin, hospitalization for myocarditis, echocardiogram, cardiac MRI, abnormal ECG, ECMO; tier3: myocarditis treatment, endomyocardial biopsy, intra-aortic balloon pump, artificial heart-lung machine, myocarditis admitted to ICU, elevated BNP, intravenous treatment for myocarditis</w:t>
      </w:r>
    </w:p>
    <w:p w14:paraId="58E147AF">
      <w:pPr>
        <w:pStyle w:val="4"/>
      </w:pPr>
      <w:r>
        <w:t>misdiagnosis_careseeking — Misdiagnosis and care-seeking</w:t>
      </w:r>
    </w:p>
    <w:p w14:paraId="4D2C02B9">
      <w:r>
        <w:t>tier1: misdiagnosed myocarditis, mistaken for a cold; tier2: thought it was a cold, thought it was gastroenteritis, emergency care for myocarditis, nearly died, glad I went to the hospital, condition delayed into myocarditis, resuscitation for myocarditis; tier3: didn't take it seriously, thought it was just fatigue, registered at the wrong department, myocarditis transferred to another hospital, myocarditis in the ER, survived myocarditis resuscitation</w:t>
      </w:r>
    </w:p>
    <w:p w14:paraId="6E1811A7">
      <w:pPr>
        <w:pStyle w:val="4"/>
      </w:pPr>
      <w:r>
        <w:t>perception_emotion — Perceptions and emotions</w:t>
      </w:r>
    </w:p>
    <w:p w14:paraId="08E7A7B4">
      <w:r>
        <w:t>tier1: can myocarditis be fatal, sudden death in young people; tier2: how serious is myocarditis, is myocarditis frightening, can myocarditis be cured, sudden death from a cold, sudden death from exercise, died of myocarditis, myocarditis health education; tier3: myocarditis is frightening, suspecting one has myocarditis, worried about myocarditis, anxiety about myocarditis, myocarditis mortality rate, can a cold be fatal</w:t>
      </w:r>
    </w:p>
    <w:p w14:paraId="6442CF93">
      <w:pPr>
        <w:pStyle w:val="4"/>
      </w:pPr>
      <w:r>
        <w:t>prognosis_recovery — Prognosis and recovery</w:t>
      </w:r>
    </w:p>
    <w:p w14:paraId="5F34EE50">
      <w:r>
        <w:t>tier1: myocarditis recovery; tier2: how long to rest after myocarditis, when to resume exercise after myocarditis, myocarditis follow-up, myocarditis sequelae, arrhythmia, cardiac insufficiency; tier3: full recovery from myocarditis, myocarditis recurrence, can one attend school with myocarditis, can one run with myocarditis, does myocarditis affect lifespan, taking sick leave for myocarditis</w:t>
      </w:r>
    </w:p>
    <w:p w14:paraId="49A71EC6">
      <w:pPr>
        <w:pStyle w:val="3"/>
      </w:pPr>
      <w:r>
        <w:t>S5. Seven-Phase Temporal Boundaries (a priori)</w:t>
      </w:r>
    </w:p>
    <w:p w14:paraId="24B1F404">
      <w:r>
        <w:rPr>
          <w:b w:val="0"/>
          <w:i w:val="0"/>
        </w:rPr>
        <w:t>Posts were aligned to seven phases defined a priori from epidemiological calendar anchors (influenza off-season, winter-spring peak, summer low, and notable respiratory-event periods) across the 36-month window (2023-07-01 to 2026-07-31). Boundaries were fixed before analysis and applied uniformly so that volume, sentiment, and topic mix could be examined across seasonal and event-driven contexts.</w:t>
      </w:r>
    </w:p>
    <w:tbl>
      <w:tblPr>
        <w:tblStyle w:val="49"/>
        <w:tblW w:w="0" w:type="auto"/>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autofit"/>
        <w:tblCellMar>
          <w:top w:w="0" w:type="dxa"/>
          <w:left w:w="108" w:type="dxa"/>
          <w:bottom w:w="0" w:type="dxa"/>
          <w:right w:w="108" w:type="dxa"/>
        </w:tblCellMar>
      </w:tblPr>
      <w:tblGrid>
        <w:gridCol w:w="2160"/>
        <w:gridCol w:w="2160"/>
        <w:gridCol w:w="2160"/>
        <w:gridCol w:w="2160"/>
      </w:tblGrid>
      <w:tr w14:paraId="5E4A28A6">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Ex>
        <w:tc>
          <w:tcPr>
            <w:tcW w:w="2160" w:type="dxa"/>
          </w:tcPr>
          <w:p w14:paraId="181AD0E7">
            <w:pPr>
              <w:spacing w:after="0" w:line="240" w:lineRule="auto"/>
            </w:pPr>
            <w:r>
              <w:rPr>
                <w:b/>
              </w:rPr>
              <w:t>Phase</w:t>
            </w:r>
          </w:p>
        </w:tc>
        <w:tc>
          <w:tcPr>
            <w:tcW w:w="2160" w:type="dxa"/>
          </w:tcPr>
          <w:p w14:paraId="5FCC4100">
            <w:pPr>
              <w:spacing w:after="0" w:line="240" w:lineRule="auto"/>
            </w:pPr>
            <w:r>
              <w:rPr>
                <w:b/>
              </w:rPr>
              <w:t>Start</w:t>
            </w:r>
          </w:p>
        </w:tc>
        <w:tc>
          <w:tcPr>
            <w:tcW w:w="2160" w:type="dxa"/>
          </w:tcPr>
          <w:p w14:paraId="75DC86E8">
            <w:pPr>
              <w:spacing w:after="0" w:line="240" w:lineRule="auto"/>
            </w:pPr>
            <w:r>
              <w:rPr>
                <w:b/>
              </w:rPr>
              <w:t>End</w:t>
            </w:r>
          </w:p>
        </w:tc>
        <w:tc>
          <w:tcPr>
            <w:tcW w:w="2160" w:type="dxa"/>
          </w:tcPr>
          <w:p w14:paraId="30F66F55">
            <w:pPr>
              <w:spacing w:after="0" w:line="240" w:lineRule="auto"/>
            </w:pPr>
            <w:r>
              <w:rPr>
                <w:b/>
              </w:rPr>
              <w:t>A priori label (epidemiological anchor)</w:t>
            </w:r>
          </w:p>
        </w:tc>
      </w:tr>
      <w:tr w14:paraId="085A7543">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160" w:type="dxa"/>
          </w:tcPr>
          <w:p w14:paraId="7682FC36">
            <w:pPr>
              <w:spacing w:after="0" w:line="240" w:lineRule="auto"/>
            </w:pPr>
            <w:r>
              <w:t>P1</w:t>
            </w:r>
          </w:p>
        </w:tc>
        <w:tc>
          <w:tcPr>
            <w:tcW w:w="2160" w:type="dxa"/>
          </w:tcPr>
          <w:p w14:paraId="679A79CD">
            <w:pPr>
              <w:spacing w:after="0" w:line="240" w:lineRule="auto"/>
            </w:pPr>
            <w:r>
              <w:t>2023-07-01</w:t>
            </w:r>
          </w:p>
        </w:tc>
        <w:tc>
          <w:tcPr>
            <w:tcW w:w="2160" w:type="dxa"/>
          </w:tcPr>
          <w:p w14:paraId="7B268DC4">
            <w:pPr>
              <w:spacing w:after="0" w:line="240" w:lineRule="auto"/>
            </w:pPr>
            <w:r>
              <w:t>2023-10-31</w:t>
            </w:r>
          </w:p>
        </w:tc>
        <w:tc>
          <w:tcPr>
            <w:tcW w:w="2160" w:type="dxa"/>
          </w:tcPr>
          <w:p w14:paraId="4CA73936">
            <w:pPr>
              <w:spacing w:after="0" w:line="240" w:lineRule="auto"/>
            </w:pPr>
            <w:r>
              <w:t>2023 Summer-Autumn plateau</w:t>
            </w:r>
          </w:p>
        </w:tc>
      </w:tr>
      <w:tr w14:paraId="5E56289E">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160" w:type="dxa"/>
          </w:tcPr>
          <w:p w14:paraId="1CC63AD6">
            <w:pPr>
              <w:spacing w:after="0" w:line="240" w:lineRule="auto"/>
            </w:pPr>
            <w:r>
              <w:t>P2</w:t>
            </w:r>
          </w:p>
        </w:tc>
        <w:tc>
          <w:tcPr>
            <w:tcW w:w="2160" w:type="dxa"/>
          </w:tcPr>
          <w:p w14:paraId="05D040C5">
            <w:pPr>
              <w:spacing w:after="0" w:line="240" w:lineRule="auto"/>
            </w:pPr>
            <w:r>
              <w:t>2023-11-01</w:t>
            </w:r>
          </w:p>
        </w:tc>
        <w:tc>
          <w:tcPr>
            <w:tcW w:w="2160" w:type="dxa"/>
          </w:tcPr>
          <w:p w14:paraId="37E48ACE">
            <w:pPr>
              <w:spacing w:after="0" w:line="240" w:lineRule="auto"/>
            </w:pPr>
            <w:r>
              <w:t>2024-03-31</w:t>
            </w:r>
          </w:p>
        </w:tc>
        <w:tc>
          <w:tcPr>
            <w:tcW w:w="2160" w:type="dxa"/>
          </w:tcPr>
          <w:p w14:paraId="6EC24D18">
            <w:pPr>
              <w:spacing w:after="0" w:line="240" w:lineRule="auto"/>
            </w:pPr>
            <w:r>
              <w:t>2023-24 Flu Season (Mycoplasma + Influenza A)</w:t>
            </w:r>
          </w:p>
        </w:tc>
      </w:tr>
      <w:tr w14:paraId="54A4E2B1">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160" w:type="dxa"/>
          </w:tcPr>
          <w:p w14:paraId="1BB213A6">
            <w:pPr>
              <w:spacing w:after="0" w:line="240" w:lineRule="auto"/>
            </w:pPr>
            <w:r>
              <w:t>P3</w:t>
            </w:r>
          </w:p>
        </w:tc>
        <w:tc>
          <w:tcPr>
            <w:tcW w:w="2160" w:type="dxa"/>
          </w:tcPr>
          <w:p w14:paraId="03B8850F">
            <w:pPr>
              <w:spacing w:after="0" w:line="240" w:lineRule="auto"/>
            </w:pPr>
            <w:r>
              <w:t>2024-04-01</w:t>
            </w:r>
          </w:p>
        </w:tc>
        <w:tc>
          <w:tcPr>
            <w:tcW w:w="2160" w:type="dxa"/>
          </w:tcPr>
          <w:p w14:paraId="44BAD164">
            <w:pPr>
              <w:spacing w:after="0" w:line="240" w:lineRule="auto"/>
            </w:pPr>
            <w:r>
              <w:t>2024-10-31</w:t>
            </w:r>
          </w:p>
        </w:tc>
        <w:tc>
          <w:tcPr>
            <w:tcW w:w="2160" w:type="dxa"/>
          </w:tcPr>
          <w:p w14:paraId="270A21BD">
            <w:pPr>
              <w:spacing w:after="0" w:line="240" w:lineRule="auto"/>
            </w:pPr>
            <w:r>
              <w:t>2024 Summer-Autumn plateau</w:t>
            </w:r>
          </w:p>
        </w:tc>
      </w:tr>
      <w:tr w14:paraId="5D6F8C50">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160" w:type="dxa"/>
          </w:tcPr>
          <w:p w14:paraId="1C73EC51">
            <w:pPr>
              <w:spacing w:after="0" w:line="240" w:lineRule="auto"/>
            </w:pPr>
            <w:r>
              <w:t>P4</w:t>
            </w:r>
          </w:p>
        </w:tc>
        <w:tc>
          <w:tcPr>
            <w:tcW w:w="2160" w:type="dxa"/>
          </w:tcPr>
          <w:p w14:paraId="347B37D0">
            <w:pPr>
              <w:spacing w:after="0" w:line="240" w:lineRule="auto"/>
            </w:pPr>
            <w:r>
              <w:t>2024-11-01</w:t>
            </w:r>
          </w:p>
        </w:tc>
        <w:tc>
          <w:tcPr>
            <w:tcW w:w="2160" w:type="dxa"/>
          </w:tcPr>
          <w:p w14:paraId="7CFA3DBC">
            <w:pPr>
              <w:spacing w:after="0" w:line="240" w:lineRule="auto"/>
            </w:pPr>
            <w:r>
              <w:t>2025-03-31</w:t>
            </w:r>
          </w:p>
        </w:tc>
        <w:tc>
          <w:tcPr>
            <w:tcW w:w="2160" w:type="dxa"/>
          </w:tcPr>
          <w:p w14:paraId="1FAE4AA8">
            <w:pPr>
              <w:spacing w:after="0" w:line="240" w:lineRule="auto"/>
            </w:pPr>
            <w:r>
              <w:t>2024-25 Flu Season (Influenza-A heavy year)</w:t>
            </w:r>
          </w:p>
        </w:tc>
      </w:tr>
      <w:tr w14:paraId="526AA683">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160" w:type="dxa"/>
          </w:tcPr>
          <w:p w14:paraId="6780BC6E">
            <w:pPr>
              <w:spacing w:after="0" w:line="240" w:lineRule="auto"/>
            </w:pPr>
            <w:r>
              <w:t>P5</w:t>
            </w:r>
          </w:p>
        </w:tc>
        <w:tc>
          <w:tcPr>
            <w:tcW w:w="2160" w:type="dxa"/>
          </w:tcPr>
          <w:p w14:paraId="6989EB28">
            <w:pPr>
              <w:spacing w:after="0" w:line="240" w:lineRule="auto"/>
            </w:pPr>
            <w:r>
              <w:t>2025-04-01</w:t>
            </w:r>
          </w:p>
        </w:tc>
        <w:tc>
          <w:tcPr>
            <w:tcW w:w="2160" w:type="dxa"/>
          </w:tcPr>
          <w:p w14:paraId="2D64AC45">
            <w:pPr>
              <w:spacing w:after="0" w:line="240" w:lineRule="auto"/>
            </w:pPr>
            <w:r>
              <w:t>2025-10-31</w:t>
            </w:r>
          </w:p>
        </w:tc>
        <w:tc>
          <w:tcPr>
            <w:tcW w:w="2160" w:type="dxa"/>
          </w:tcPr>
          <w:p w14:paraId="0171BB2E">
            <w:pPr>
              <w:spacing w:after="0" w:line="240" w:lineRule="auto"/>
            </w:pPr>
            <w:r>
              <w:t>2025 Summer-Autumn plateau</w:t>
            </w:r>
          </w:p>
        </w:tc>
      </w:tr>
      <w:tr w14:paraId="63756719">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160" w:type="dxa"/>
          </w:tcPr>
          <w:p w14:paraId="4EED1085">
            <w:pPr>
              <w:spacing w:after="0" w:line="240" w:lineRule="auto"/>
            </w:pPr>
            <w:r>
              <w:t>P6</w:t>
            </w:r>
          </w:p>
        </w:tc>
        <w:tc>
          <w:tcPr>
            <w:tcW w:w="2160" w:type="dxa"/>
          </w:tcPr>
          <w:p w14:paraId="1B59E343">
            <w:pPr>
              <w:spacing w:after="0" w:line="240" w:lineRule="auto"/>
            </w:pPr>
            <w:r>
              <w:t>2025-11-01</w:t>
            </w:r>
          </w:p>
        </w:tc>
        <w:tc>
          <w:tcPr>
            <w:tcW w:w="2160" w:type="dxa"/>
          </w:tcPr>
          <w:p w14:paraId="4B0D0DC0">
            <w:pPr>
              <w:spacing w:after="0" w:line="240" w:lineRule="auto"/>
            </w:pPr>
            <w:r>
              <w:t>2026-03-31</w:t>
            </w:r>
          </w:p>
        </w:tc>
        <w:tc>
          <w:tcPr>
            <w:tcW w:w="2160" w:type="dxa"/>
          </w:tcPr>
          <w:p w14:paraId="1065045E">
            <w:pPr>
              <w:spacing w:after="0" w:line="240" w:lineRule="auto"/>
            </w:pPr>
            <w:r>
              <w:t>2025-26 Flu Season</w:t>
            </w:r>
          </w:p>
        </w:tc>
      </w:tr>
      <w:tr w14:paraId="2A6A8660">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160" w:type="dxa"/>
          </w:tcPr>
          <w:p w14:paraId="402FD3AA">
            <w:pPr>
              <w:spacing w:after="0" w:line="240" w:lineRule="auto"/>
            </w:pPr>
            <w:r>
              <w:t>P7</w:t>
            </w:r>
          </w:p>
        </w:tc>
        <w:tc>
          <w:tcPr>
            <w:tcW w:w="2160" w:type="dxa"/>
          </w:tcPr>
          <w:p w14:paraId="394C2CBD">
            <w:pPr>
              <w:spacing w:after="0" w:line="240" w:lineRule="auto"/>
            </w:pPr>
            <w:r>
              <w:t>2026-04-01</w:t>
            </w:r>
          </w:p>
        </w:tc>
        <w:tc>
          <w:tcPr>
            <w:tcW w:w="2160" w:type="dxa"/>
          </w:tcPr>
          <w:p w14:paraId="021E7771">
            <w:pPr>
              <w:spacing w:after="0" w:line="240" w:lineRule="auto"/>
            </w:pPr>
            <w:r>
              <w:t>2026-07-31</w:t>
            </w:r>
          </w:p>
        </w:tc>
        <w:tc>
          <w:tcPr>
            <w:tcW w:w="2160" w:type="dxa"/>
          </w:tcPr>
          <w:p w14:paraId="2BA005D7">
            <w:pPr>
              <w:spacing w:after="0" w:line="240" w:lineRule="auto"/>
            </w:pPr>
            <w:r>
              <w:t>2026 Recent (partial year)</w:t>
            </w:r>
          </w:p>
        </w:tc>
      </w:tr>
    </w:tbl>
    <w:p w14:paraId="58FA71EF">
      <w:r>
        <w:rPr>
          <w:b/>
          <w:i w:val="0"/>
        </w:rPr>
        <w:t xml:space="preserve">Inherent-seasonality caveat. </w:t>
      </w:r>
    </w:p>
    <w:p w14:paraId="749084A4">
      <w:pPr>
        <w:pStyle w:val="16"/>
      </w:pPr>
      <w:r>
        <w:t>Because phase boundaries were themselves aligned to influenza-season anchors, the observation that discussion volume tracks the influenza calendar is partly inherent to the phase construction. We therefore additionally verified the seasonal signal on the unphased monthly series (main manuscript Figure 1), which shows the same winter–spring elevation independent of phase assignment.</w:t>
      </w:r>
    </w:p>
    <w:p w14:paraId="62210EA2">
      <w:pPr>
        <w:pStyle w:val="16"/>
      </w:pPr>
      <w:r>
        <w:t>P7 spans only 2026-04-01 to 2026-07-31 (a partial year); its lower volume versus P6 reflects window truncation rather than a confirmed downtrend, and all cross-phase 'maturation' claims are reported with this caveat (see main manuscript Limitations and the cognitive-maturation season-confound analysis).</w:t>
      </w:r>
    </w:p>
    <w:bookmarkEnd w:id="0"/>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Segoe UI Emoji">
    <w:panose1 w:val="020B0502040204020203"/>
    <w:charset w:val="00"/>
    <w:family w:val="auto"/>
    <w:pitch w:val="default"/>
    <w:sig w:usb0="00000001" w:usb1="02000000" w:usb2="08000000" w:usb3="00000000" w:csb0="00000001" w:csb1="00000000"/>
  </w:font>
  <w:font w:name="Yu Gothic">
    <w:panose1 w:val="020B0400000000000000"/>
    <w:charset w:val="80"/>
    <w:family w:val="auto"/>
    <w:pitch w:val="default"/>
    <w:sig w:usb0="E00002FF" w:usb1="2AC7FDFF" w:usb2="00000016" w:usb3="00000000" w:csb0="2002009F" w:csb1="00000000"/>
  </w:font>
  <w:font w:name="Courier New">
    <w:panose1 w:val="02070309020205020404"/>
    <w:charset w:val="00"/>
    <w:family w:val="auto"/>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4CF3D2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qFormat="1" w:uiPriority="99" w:semiHidden="0" w:name="List Bullet"/>
    <w:lsdException w:qFormat="1" w:uiPriority="99" w:semiHidden="0" w:name="List Number"/>
    <w:lsdException w:uiPriority="99" w:semiHidden="0" w:name="List 2"/>
    <w:lsdException w:qFormat="1" w:uiPriority="99" w:semiHidden="0" w:name="List 3"/>
    <w:lsdException w:uiPriority="99" w:name="List 4"/>
    <w:lsdException w:uiPriority="99" w:name="List 5"/>
    <w:lsdException w:qFormat="1"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qFormat="1" w:unhideWhenUsed="0" w:uiPriority="65" w:semiHidden="0" w:name="Medium List 1"/>
    <w:lsdException w:unhideWhenUsed="0" w:uiPriority="66" w:semiHidden="0" w:name="Medium List 2"/>
    <w:lsdException w:qFormat="1"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qFormat="1" w:unhideWhenUsed="0" w:uiPriority="68" w:semiHidden="0" w:name="Medium Grid 2 Accent 1"/>
    <w:lsdException w:unhideWhenUsed="0" w:uiPriority="69" w:semiHidden="0" w:name="Medium Grid 3 Accent 1"/>
    <w:lsdException w:qFormat="1"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qFormat="1"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qFormat="1" w:unhideWhenUsed="0" w:uiPriority="63" w:semiHidden="0" w:name="Medium Shading 1 Accent 3"/>
    <w:lsdException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unhideWhenUsed="0" w:uiPriority="67" w:semiHidden="0" w:name="Medium Grid 1 Accent 3"/>
    <w:lsdException w:qFormat="1" w:unhideWhenUsed="0" w:uiPriority="68" w:semiHidden="0" w:name="Medium Grid 2 Accent 3"/>
    <w:lsdException w:unhideWhenUsed="0" w:uiPriority="69" w:semiHidden="0" w:name="Medium Grid 3 Accent 3"/>
    <w:lsdException w:unhideWhenUsed="0" w:uiPriority="70" w:semiHidden="0" w:name="Dark List Accent 3"/>
    <w:lsdException w:qFormat="1"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qFormat="1" w:unhideWhenUsed="0" w:uiPriority="61" w:semiHidden="0" w:name="Light List Accent 4"/>
    <w:lsdException w:unhideWhenUsed="0" w:uiPriority="62" w:semiHidden="0" w:name="Light Grid Accent 4"/>
    <w:lsdException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qFormat="1" w:unhideWhenUsed="0" w:uiPriority="69" w:semiHidden="0" w:name="Medium Grid 3 Accent 4"/>
    <w:lsdException w:unhideWhenUsed="0" w:uiPriority="70" w:semiHidden="0" w:name="Dark List Accent 4"/>
    <w:lsdException w:unhideWhenUsed="0" w:uiPriority="71" w:semiHidden="0" w:name="Colorful Shading Accent 4"/>
    <w:lsdException w:qFormat="1" w:unhideWhenUsed="0" w:uiPriority="72" w:semiHidden="0" w:name="Colorful List Accent 4"/>
    <w:lsdException w:unhideWhenUsed="0" w:uiPriority="73" w:semiHidden="0" w:name="Colorful Grid Accent 4"/>
    <w:lsdException w:qFormat="1"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qFormat="1" w:unhideWhenUsed="0" w:uiPriority="65" w:semiHidden="0" w:name="Medium List 1 Accent 5"/>
    <w:lsdException w:unhideWhenUsed="0" w:uiPriority="66" w:semiHidden="0" w:name="Medium List 2 Accent 5"/>
    <w:lsdException w:qFormat="1" w:unhideWhenUsed="0" w:uiPriority="67" w:semiHidden="0" w:name="Medium Grid 1 Accent 5"/>
    <w:lsdException w:unhideWhenUsed="0" w:uiPriority="68" w:semiHidden="0" w:name="Medium Grid 2 Accent 5"/>
    <w:lsdException w:qFormat="1"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unhideWhenUsed="0" w:uiPriority="62" w:semiHidden="0" w:name="Light Grid Accent 6"/>
    <w:lsdException w:qFormat="1" w:unhideWhenUsed="0" w:uiPriority="63" w:semiHidden="0" w:name="Medium Shading 1 Accent 6"/>
    <w:lsdException w:unhideWhenUsed="0" w:uiPriority="64" w:semiHidden="0" w:name="Medium Shading 2 Accent 6"/>
    <w:lsdException w:unhideWhenUsed="0" w:uiPriority="65" w:semiHidden="0" w:name="Medium List 1 Accent 6"/>
    <w:lsdException w:qFormat="1" w:unhideWhenUsed="0" w:uiPriority="66" w:semiHidden="0" w:name="Medium List 2 Accent 6"/>
    <w:lsdException w:unhideWhenUsed="0" w:uiPriority="67" w:semiHidden="0" w:name="Medium Grid 1 Accent 6"/>
    <w:lsdException w:unhideWhenUsed="0" w:uiPriority="68" w:semiHidden="0" w:name="Medium Grid 2 Accent 6"/>
    <w:lsdException w:qFormat="1"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EastAsia" w:cstheme="minorBidi"/>
      <w:sz w:val="21"/>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7</Pages>
  <Words>582</Words>
  <Characters>3483</Characters>
  <Lines>0</Lines>
  <Paragraphs>0</Paragraphs>
  <TotalTime>0</TotalTime>
  <ScaleCrop>false</ScaleCrop>
  <LinksUpToDate>false</LinksUpToDate>
  <CharactersWithSpaces>3971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谢拉</cp:lastModifiedBy>
  <dcterms:modified xsi:type="dcterms:W3CDTF">2026-08-20T15:24:20Z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eyJoZGlkIjoiZTFlYWI1NzE1NDZlMzg0NjY1Nzk1MjgxMmJmNmQ5ZTIiLCJ1c2VySWQiOiI0MzE5ODcwODMifQ==</vt:lpwstr>
  </property>
  <property fmtid="{D5CDD505-2E9C-101B-9397-08002B2CF9AE}" pid="3" name="KSOProductBuildVer">
    <vt:lpwstr>2052-12.1.0.28043</vt:lpwstr>
  </property>
  <property fmtid="{D5CDD505-2E9C-101B-9397-08002B2CF9AE}" pid="4" name="ICV">
    <vt:lpwstr>476EE1FF23B6436EA79D4C6F4005AB99_12</vt:lpwstr>
  </property>
</Properties>
</file>