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STARD 2015 checklist</w:t>
      </w:r>
    </w:p>
    <w:p>
      <w:r>
        <w:rPr>
          <w:i/>
          <w:sz w:val="20"/>
        </w:rPr>
        <w:t>Postoperative C-reactive protein for anastomotic leakage after elective laparoscopic colorectal resection: a diagnostic accuracy study</w:t>
      </w:r>
    </w:p>
    <w:p>
      <w:r>
        <w:rPr>
          <w:i/>
          <w:sz w:val="17"/>
        </w:rPr>
        <w:t>Page numbers refer to the submitted manuscript. All 30 items are reported.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576"/>
          </w:tcPr>
          <w:p>
            <w:r/>
            <w:r>
              <w:rPr>
                <w:b/>
                <w:sz w:val="18"/>
              </w:rPr>
              <w:t>No.</w:t>
            </w:r>
          </w:p>
        </w:tc>
        <w:tc>
          <w:tcPr>
            <w:tcW w:type="dxa" w:w="3888"/>
          </w:tcPr>
          <w:p>
            <w:r/>
            <w:r>
              <w:rPr>
                <w:b/>
                <w:sz w:val="18"/>
              </w:rPr>
              <w:t>STARD 2015 item</w:t>
            </w:r>
          </w:p>
        </w:tc>
        <w:tc>
          <w:tcPr>
            <w:tcW w:type="dxa" w:w="5400"/>
          </w:tcPr>
          <w:p>
            <w:r/>
            <w:r>
              <w:rPr>
                <w:b/>
                <w:sz w:val="18"/>
              </w:rPr>
              <w:t>Reported in</w:t>
            </w:r>
          </w:p>
        </w:tc>
        <w:tc>
          <w:tcPr>
            <w:tcW w:type="dxa" w:w="792"/>
          </w:tcPr>
          <w:p>
            <w:r/>
            <w:r>
              <w:rPr>
                <w:b/>
                <w:sz w:val="18"/>
              </w:rPr>
              <w:t>Page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TITLE OR ABSTRACT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Identification as a study of diagnostic accuracy using at least one measure of accuracy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Title; Abstract (Results)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1, 4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ABSTRACT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Structured summary of study design, methods, results and conclusions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Abstract (Aim / Method / Results / Conclusion)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INTRODUCTION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Scientific and clinical background, including the intended use and clinical role of the index test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Introduction, paragraphs 1-3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5-6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Study objectives and hypotheses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 xml:space="preserve">Introduction, final paragraph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METHODS - Study design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Whether data collection was planned before the index test and reference standard were performed (prospective) or after (retrospective)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Study design and population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METHODS - Participants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Eligibility criteria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Study design and population; Fig. 1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6, 25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On what basis potentially eligible participants were identified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Study design and population: institutional departmental database of consecutive laparoscopic colorectal resections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Where and when potentially eligible participants were identified (setting, location, dates)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Methods: single centre, January 2017 to December 2025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9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Whether participants formed a consecutive, random or convenience series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Methods: consecutive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METHODS - Test methods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10a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Index test, in sufficient detail to allow replication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Outcomes and follow-up: serum CRP on POD2 and POD4; Diagnosis of anastomotic leakage: automated laboratory assay, 24 +/- 6 h window relative to the calendar day, maximum value retained when more than one measurement was available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7-8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10b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Reference standard, in sufficient detail to allow replication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Diagnosis of anastomotic leakage: four confirmation criteria plus complete 30-day follow-up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11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Rationale for choosing the reference standard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Diagnosis of anastomotic leakage: composite standard justified by the target condition and by the absence of systematic imaging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12a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Definition of and rationale for test positivity cut-offs of the index test, distinguishing pre-specified from exploratory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Statistical analysis; Results: Youden-derived, declared cohort-derived; POD3 declared exploratory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8, 11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12b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Definition of and rationale for cut-offs or result categories of the reference standard, distinguishing pre-specified from exploratory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Outcomes and follow-up: ISREC definition and modified grading A/B/C; original ISREC as sensitivity analysis (Table 3, panel C)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7, 23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13a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Whether clinical information and reference standard results were available to the performers/readers of the index test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Diagnosis of anastomotic leakage: automated laboratory assay, independent of clinical assessment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13b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Whether clinical information and index test results were available to the assessors of the reference standard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Diagnosis of anastomotic leakage: explicitly declared NOT blinded, since CRP formed part of the assessment prompting CT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METHODS - Analysis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14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Methods for estimating or comparing measures of diagnostic accuracy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Statistical analysis: ROC, DeLong with logit transformation, Wilson score, Harrell enhanced bootstrap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8-9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15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How indeterminate index test or reference standard results were handled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Diagnosis of anastomotic leakage: unimaged patients classified on their complete 30-day clinical course; Methods, Statistical analysis: complete-case analysis without imputation; Results: no indeterminate index test results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8, 10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16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How missing data on the index test and reference standard were handled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Statistical analysis: complete-case analysis without imputation; POD3 available in a subset only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17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Any analyses of variability in diagnostic accuracy, distinguishing pre-specified from exploratory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 xml:space="preserve">Methods, Outcomes and follow-up: diverting stoma and empirical antibiotic analyses declared post hoc; POD3 analyses declared exploratory. Results, corresponding subsections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7, 11-12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18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Intended sample size and how it was determined</w:t>
            </w:r>
          </w:p>
        </w:tc>
        <w:tc>
          <w:tcPr>
            <w:tcW w:type="dxa" w:w="5400"/>
          </w:tcPr>
          <w:p>
            <w:r/>
            <w:r>
              <w:rPr>
                <w:color w:val="B00020"/>
                <w:sz w:val="16"/>
              </w:rPr>
              <w:t>Methods, Statistical analysis: a priori calculation of 47 events for an absolute precision of +/-0.10, assuming an expected sensitivity of 0.86. 28 events available in the predictive cohort; achieved precision reported as confidence interval width (Discussion, limitations)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9, 14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RESULTS - Participants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19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Flow of participants, using a diagram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Fig. 1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9, 25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20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Baseline demographic and clinical characteristics of participants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Table 1; Results, Cohort characteristics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9, 20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21a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Distribution of severity of disease in those with the target condition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Table 2; Results: modified ISREC grades A / B / C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10, 22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21b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Distribution of alternative diagnoses in those without the target condition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Results: alternative postoperative diagnoses among the 27 false positives (infection, ileus, gastroparesis, respiratory or septic event, bleeding); 10 without documented complication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11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22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Time interval and any clinical interventions between index test and reference standard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Methods, Diagnosis of anastomotic leakage: reference standard ascertained at a median of POD4 (IQR 3-5, range 2-13), within the same window as the index test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RESULTS - Test results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23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Cross tabulation of the index test results by the results of the reference standard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Table 3, footnote: cross-tabulation at the POD4 threshold of 137.3 mg/L (26 TP, 2 FN, 27 FP, 185 TN)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23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24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Estimates of diagnostic accuracy and their precision (95% confidence intervals)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Table 3; Results, Postoperative CRP levels and diagnostic performance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10-11, 23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25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Any adverse events from performing the index test or the reference standard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Results: none attributable to CRP measurement or to CT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10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DISCUSSION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26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Study limitations, including sources of potential bias, statistical uncertainty and generalisability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Discussion: dedicated verification-bias paragraph and limitations paragraph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14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27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Implications for practice, including the intended use and clinical role of the index test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Discussion (rule-out versus rule-in) and Conclusion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12, 15</w:t>
            </w:r>
          </w:p>
        </w:tc>
      </w:tr>
      <w:tr>
        <w:tc>
          <w:tcPr>
            <w:tcW w:type="dxa" w:w="10656"/>
            <w:gridSpan w:val="4"/>
          </w:tcPr>
          <w:p>
            <w:r/>
            <w:r>
              <w:rPr>
                <w:b/>
                <w:sz w:val="18"/>
              </w:rPr>
              <w:t>OTHER INFORMATION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28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Registration number and name of registry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Title page, Statements: Clinical trial registration - not applicable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29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Where the full study protocol can be accessed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Title page, Statements: Data availability statement - the approved study protocol is available from the corresponding author on request; release of the dataset would require prior authorisation from the Scientific Ethics Committee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576"/>
          </w:tcPr>
          <w:p>
            <w:r/>
            <w:r>
              <w:rPr>
                <w:sz w:val="16"/>
              </w:rPr>
              <w:t>30</w:t>
            </w:r>
          </w:p>
        </w:tc>
        <w:tc>
          <w:tcPr>
            <w:tcW w:type="dxa" w:w="3888"/>
          </w:tcPr>
          <w:p>
            <w:r/>
            <w:r>
              <w:rPr>
                <w:sz w:val="16"/>
              </w:rPr>
              <w:t>Sources of funding and other support; role of funders</w:t>
            </w:r>
          </w:p>
        </w:tc>
        <w:tc>
          <w:tcPr>
            <w:tcW w:type="dxa" w:w="5400"/>
          </w:tcPr>
          <w:p>
            <w:r/>
            <w:r>
              <w:rPr>
                <w:sz w:val="16"/>
              </w:rPr>
              <w:t>Title page, Statements: Funding statement</w:t>
            </w:r>
          </w:p>
        </w:tc>
        <w:tc>
          <w:tcPr>
            <w:tcW w:type="dxa" w:w="792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</w:tr>
    </w:tbl>
    <w:p/>
    <w:p>
      <w:r>
        <w:rPr>
          <w:i/>
          <w:sz w:val="16"/>
        </w:rPr>
        <w:t>Bossuyt PM, Reitsma JB, Bruns DE, et al. STARD 2015: an updated list of essential items for reporting diagnostic accuracy studies. BMJ. 2015;351:h5527.</w:t>
      </w:r>
    </w:p>
    <w:sectPr w:rsidR="00FC693F" w:rsidRPr="0006063C" w:rsidSect="00034616">
      <w:pgSz w:w="12240" w:h="15840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