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FC166" w14:textId="77777777" w:rsidR="000A2F76" w:rsidRPr="00286731" w:rsidRDefault="000A2F76" w:rsidP="000A2F76">
      <w:pPr>
        <w:spacing w:line="360" w:lineRule="auto"/>
        <w:jc w:val="both"/>
        <w:rPr>
          <w:rFonts w:ascii="Abadi" w:hAnsi="Abadi" w:cs="Times New Roman"/>
          <w:sz w:val="24"/>
          <w:szCs w:val="24"/>
        </w:rPr>
      </w:pPr>
      <w:r w:rsidRPr="00286731">
        <w:rPr>
          <w:rFonts w:ascii="Abadi" w:hAnsi="Abadi" w:cs="Times New Roman"/>
          <w:sz w:val="24"/>
          <w:szCs w:val="24"/>
        </w:rPr>
        <w:t>Table 1. Case definition for CSN infections</w:t>
      </w:r>
    </w:p>
    <w:tbl>
      <w:tblPr>
        <w:tblStyle w:val="TableGrid"/>
        <w:tblW w:w="0" w:type="auto"/>
        <w:tblLook w:val="04A0" w:firstRow="1" w:lastRow="0" w:firstColumn="1" w:lastColumn="0" w:noHBand="0" w:noVBand="1"/>
      </w:tblPr>
      <w:tblGrid>
        <w:gridCol w:w="2417"/>
        <w:gridCol w:w="1828"/>
        <w:gridCol w:w="4249"/>
      </w:tblGrid>
      <w:tr w:rsidR="000A2F76" w:rsidRPr="00286731" w14:paraId="67B9ADB2" w14:textId="77777777" w:rsidTr="00247B62">
        <w:tc>
          <w:tcPr>
            <w:tcW w:w="9016" w:type="dxa"/>
            <w:gridSpan w:val="3"/>
          </w:tcPr>
          <w:p w14:paraId="79DB28D0" w14:textId="77777777" w:rsidR="000A2F76" w:rsidRPr="00286731" w:rsidRDefault="000A2F76" w:rsidP="00247B62">
            <w:pPr>
              <w:spacing w:before="100" w:beforeAutospacing="1" w:after="100" w:afterAutospacing="1" w:line="360" w:lineRule="auto"/>
              <w:outlineLvl w:val="0"/>
              <w:rPr>
                <w:rFonts w:ascii="Abadi" w:eastAsia="Times New Roman" w:hAnsi="Abadi" w:cs="Times New Roman"/>
                <w:b/>
                <w:bCs/>
                <w:kern w:val="36"/>
                <w:sz w:val="24"/>
                <w:szCs w:val="24"/>
                <w:lang w:eastAsia="en-GB"/>
              </w:rPr>
            </w:pPr>
            <w:r w:rsidRPr="00286731">
              <w:rPr>
                <w:rFonts w:ascii="Abadi" w:eastAsia="Times New Roman" w:hAnsi="Abadi" w:cs="Times New Roman"/>
                <w:b/>
                <w:bCs/>
                <w:kern w:val="36"/>
                <w:sz w:val="24"/>
                <w:szCs w:val="24"/>
                <w:lang w:eastAsia="en-GB"/>
              </w:rPr>
              <w:t>Table 1. Diagnostic criteria for CNS infections</w:t>
            </w:r>
          </w:p>
        </w:tc>
      </w:tr>
      <w:tr w:rsidR="000A2F76" w:rsidRPr="00286731" w14:paraId="2E78694F" w14:textId="77777777" w:rsidTr="00247B62">
        <w:tc>
          <w:tcPr>
            <w:tcW w:w="2135" w:type="dxa"/>
          </w:tcPr>
          <w:p w14:paraId="59496280" w14:textId="77777777" w:rsidR="000A2F76" w:rsidRPr="00286731" w:rsidRDefault="000A2F76" w:rsidP="00247B62">
            <w:pPr>
              <w:spacing w:before="100" w:beforeAutospacing="1" w:after="100" w:afterAutospacing="1" w:line="360" w:lineRule="auto"/>
              <w:rPr>
                <w:rFonts w:ascii="Abadi" w:eastAsia="Times New Roman" w:hAnsi="Abadi" w:cs="Times New Roman"/>
                <w:b/>
                <w:bCs/>
                <w:sz w:val="24"/>
                <w:szCs w:val="24"/>
                <w:lang w:eastAsia="en-GB"/>
              </w:rPr>
            </w:pPr>
            <w:r w:rsidRPr="00286731">
              <w:rPr>
                <w:rFonts w:ascii="Abadi" w:eastAsia="Times New Roman" w:hAnsi="Abadi" w:cs="Times New Roman"/>
                <w:b/>
                <w:bCs/>
                <w:sz w:val="24"/>
                <w:szCs w:val="24"/>
                <w:lang w:eastAsia="en-GB"/>
              </w:rPr>
              <w:t xml:space="preserve">Final diagnosis </w:t>
            </w:r>
          </w:p>
        </w:tc>
        <w:tc>
          <w:tcPr>
            <w:tcW w:w="1940" w:type="dxa"/>
          </w:tcPr>
          <w:p w14:paraId="6F54A45C" w14:textId="77777777" w:rsidR="000A2F76" w:rsidRPr="00286731" w:rsidRDefault="000A2F76" w:rsidP="00247B62">
            <w:pPr>
              <w:spacing w:before="100" w:beforeAutospacing="1" w:after="100" w:afterAutospacing="1" w:line="360" w:lineRule="auto"/>
              <w:rPr>
                <w:rFonts w:ascii="Abadi" w:eastAsia="Times New Roman" w:hAnsi="Abadi" w:cs="Times New Roman"/>
                <w:b/>
                <w:bCs/>
                <w:sz w:val="24"/>
                <w:szCs w:val="24"/>
                <w:lang w:eastAsia="en-GB"/>
              </w:rPr>
            </w:pPr>
            <w:r w:rsidRPr="00286731">
              <w:rPr>
                <w:rFonts w:ascii="Abadi" w:eastAsia="Times New Roman" w:hAnsi="Abadi" w:cs="Times New Roman"/>
                <w:b/>
                <w:bCs/>
                <w:sz w:val="24"/>
                <w:szCs w:val="24"/>
                <w:lang w:eastAsia="en-GB"/>
              </w:rPr>
              <w:t xml:space="preserve"> Classification </w:t>
            </w:r>
          </w:p>
        </w:tc>
        <w:tc>
          <w:tcPr>
            <w:tcW w:w="4941" w:type="dxa"/>
          </w:tcPr>
          <w:p w14:paraId="1D3251CA"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b/>
                <w:bCs/>
                <w:sz w:val="24"/>
                <w:szCs w:val="24"/>
                <w:lang w:eastAsia="en-GB"/>
              </w:rPr>
              <w:t xml:space="preserve"> Key diagnostic criteria</w:t>
            </w:r>
          </w:p>
        </w:tc>
      </w:tr>
      <w:tr w:rsidR="000A2F76" w:rsidRPr="00286731" w14:paraId="515AF994" w14:textId="77777777" w:rsidTr="00247B62">
        <w:tc>
          <w:tcPr>
            <w:tcW w:w="9016" w:type="dxa"/>
            <w:gridSpan w:val="3"/>
          </w:tcPr>
          <w:p w14:paraId="5C6CB4A5" w14:textId="77777777" w:rsidR="000A2F76" w:rsidRPr="00286731" w:rsidRDefault="000A2F76" w:rsidP="00247B62">
            <w:pPr>
              <w:spacing w:before="100" w:beforeAutospacing="1" w:after="100" w:afterAutospacing="1" w:line="360" w:lineRule="auto"/>
              <w:outlineLvl w:val="1"/>
              <w:rPr>
                <w:rFonts w:ascii="Abadi" w:eastAsia="Times New Roman" w:hAnsi="Abadi" w:cs="Times New Roman"/>
                <w:b/>
                <w:bCs/>
                <w:sz w:val="24"/>
                <w:szCs w:val="24"/>
                <w:lang w:eastAsia="en-GB"/>
              </w:rPr>
            </w:pPr>
            <w:r w:rsidRPr="00286731">
              <w:rPr>
                <w:rFonts w:ascii="Abadi" w:eastAsia="Times New Roman" w:hAnsi="Abadi" w:cs="Times New Roman"/>
                <w:b/>
                <w:bCs/>
                <w:sz w:val="24"/>
                <w:szCs w:val="24"/>
                <w:lang w:eastAsia="en-GB"/>
              </w:rPr>
              <w:t>ACUTE CNS INFECTIONS</w:t>
            </w:r>
          </w:p>
        </w:tc>
      </w:tr>
      <w:tr w:rsidR="000A2F76" w:rsidRPr="00286731" w14:paraId="615E41D5" w14:textId="77777777" w:rsidTr="00247B62">
        <w:tc>
          <w:tcPr>
            <w:tcW w:w="2135" w:type="dxa"/>
            <w:vMerge w:val="restart"/>
          </w:tcPr>
          <w:p w14:paraId="2A25823A"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Bacterial meningitis </w:t>
            </w:r>
          </w:p>
        </w:tc>
        <w:tc>
          <w:tcPr>
            <w:tcW w:w="1940" w:type="dxa"/>
          </w:tcPr>
          <w:p w14:paraId="7C01AE47"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Definite </w:t>
            </w:r>
          </w:p>
        </w:tc>
        <w:tc>
          <w:tcPr>
            <w:tcW w:w="4941" w:type="dxa"/>
          </w:tcPr>
          <w:p w14:paraId="6787D75F" w14:textId="0307E578" w:rsidR="000A2F76" w:rsidRPr="00286731" w:rsidRDefault="000A2F76" w:rsidP="00247B62">
            <w:pPr>
              <w:spacing w:before="100" w:beforeAutospacing="1" w:after="100" w:afterAutospacing="1" w:line="360" w:lineRule="auto"/>
              <w:rPr>
                <w:rFonts w:ascii="Abadi" w:eastAsia="Times New Roman" w:hAnsi="Abadi" w:cs="Times New Roman"/>
                <w:sz w:val="24"/>
                <w:szCs w:val="24"/>
                <w:lang w:val="nl-NL" w:eastAsia="en-GB"/>
              </w:rPr>
            </w:pPr>
            <w:r w:rsidRPr="00286731">
              <w:rPr>
                <w:rFonts w:ascii="Abadi" w:eastAsia="Times New Roman" w:hAnsi="Abadi" w:cs="Times New Roman"/>
                <w:sz w:val="24"/>
                <w:szCs w:val="24"/>
                <w:lang w:eastAsia="en-GB"/>
              </w:rPr>
              <w:t xml:space="preserve"> CSF culture, Gram stain, PCR, or antigen detection positive for bacterial pathogen</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{"citationID":"T5uSAdz7","properties":{"unsorted":false,"formattedCitation":"[1], [2], [3]","plainCitation":"[1], [2], [3]","noteIndex":0},"citationItems":[{"id":278,"uris":["http://zotero.org/users/local/bYSFHtFY/items/K4RUB9XY"],"itemData":{"id":278,"type":"article-journal","abstract":"Community-acquired meningitis can be classified into acute and subacute presentations by the duration of illness of ≤ or &gt;5 days, respectively. There are currently no studies comparing the clinical features, management decisions, etiologies, and outcomes between acute and subacute presentations.It is a retrospective study of adults with community-acquired meningitis hospitalized in Houston, TX between January 2005 and January 2010. An adverse clinical outcome was defined as a Glasgow Outcome Scale score of ≤4.A total of 611 patients were identified, of which 458 (75%) were acute and 153 subacute (25%). The most common etiologies were unknown in 418 (68.4%), viral in 94 (15.4%), bacterial in 47 (7.7%), fungal in 42 patients (6.9%), and other noninfectious etiologies in 6 (1%). Patients with subacute meningitis were more likely to be immunosuppressed or have comorbidities, had fungal etiologies, and had higher rates of hypoglycorrachia and abnormal neurological findings (P</w:instrText>
            </w:r>
            <w:r w:rsidR="0041074C">
              <w:rPr>
                <w:rFonts w:ascii="Arial" w:eastAsia="Times New Roman" w:hAnsi="Arial" w:cs="Arial"/>
                <w:sz w:val="24"/>
                <w:szCs w:val="24"/>
                <w:lang w:eastAsia="en-GB"/>
              </w:rPr>
              <w:instrText> </w:instrText>
            </w:r>
            <w:r w:rsidR="0041074C">
              <w:rPr>
                <w:rFonts w:ascii="Abadi" w:eastAsia="Times New Roman" w:hAnsi="Abadi" w:cs="Times New Roman"/>
                <w:sz w:val="24"/>
                <w:szCs w:val="24"/>
                <w:lang w:eastAsia="en-GB"/>
              </w:rPr>
              <w:instrText>&lt;.05). Patients with an acute presentation were more likely to be treated empirically with intravenous antibiotics and had higher cerebrospinal fluid pleocytosis and serum white blood cell counts (P</w:instrText>
            </w:r>
            <w:r w:rsidR="0041074C">
              <w:rPr>
                <w:rFonts w:ascii="Arial" w:eastAsia="Times New Roman" w:hAnsi="Arial" w:cs="Arial"/>
                <w:sz w:val="24"/>
                <w:szCs w:val="24"/>
                <w:lang w:eastAsia="en-GB"/>
              </w:rPr>
              <w:instrText> </w:instrText>
            </w:r>
            <w:r w:rsidR="0041074C">
              <w:rPr>
                <w:rFonts w:ascii="Abadi" w:eastAsia="Times New Roman" w:hAnsi="Abadi" w:cs="Times New Roman"/>
                <w:sz w:val="24"/>
                <w:szCs w:val="24"/>
                <w:lang w:eastAsia="en-GB"/>
              </w:rPr>
              <w:instrText>&lt;.05). On logistic regression, age &gt;65 years and abnormal neurological findings were predictive of an adverse clinical outcome in both acute and subacute meningitis, whereas fever was also a significant prognostic factor in acute meningitis. (P</w:instrText>
            </w:r>
            <w:r w:rsidR="0041074C">
              <w:rPr>
                <w:rFonts w:ascii="Arial" w:eastAsia="Times New Roman" w:hAnsi="Arial" w:cs="Arial"/>
                <w:sz w:val="24"/>
                <w:szCs w:val="24"/>
                <w:lang w:eastAsia="en-GB"/>
              </w:rPr>
              <w:instrText> </w:instrText>
            </w:r>
            <w:r w:rsidR="0041074C">
              <w:rPr>
                <w:rFonts w:ascii="Abadi" w:eastAsia="Times New Roman" w:hAnsi="Abadi" w:cs="Times New Roman"/>
                <w:sz w:val="24"/>
                <w:szCs w:val="24"/>
                <w:lang w:eastAsia="en-GB"/>
              </w:rPr>
              <w:instrText xml:space="preserve">&lt;.05).Acute and subacute meningitis differ in regards to clinical presentations, etiologies, laboratory findings, and management decisions, but did not differ in rates of adverse clinical outcomes. Future studies including thoroughly investigated patients with new diagnostic molecular methods may show different results and outcomes.","container-title":"Medicine","DOI":"10.1097/MD.0000000000007984","ISSN":"1536-5964","issue":"36","journalAbbreviation":"Medicine (Baltimore)","language":"eng","page":"e7984","PMID":"28885354","PMCID":"PMC6392806","source":"PubMed","title":"Acute versus subacute community-acquired meningitis: Analysis of 611 patients","title-short":"Acute versus subacute community-acquired meningitis","volume":"96","author":[{"family":"Sulaiman","given":"Tarek"},{"family":"Salazar","given":"Lucrecia"},{"family":"Hasbun","given":"Rodrigo"}],"issued":{"date-parts":[["2017",9]]}}},{"id":84,"uris":["http://zotero.org/users/local/bYSFHtFY/items/ZQFGXCPM"],"itemData":{"id":84,"type":"article-journal","container-title":"The Lancet","DOI":"10.1016/S0140-6736(21)00883-7","ISSN":"01406736","issue":"10306","journalAbbreviation":"The Lancet","language":"en","page":"1171-1183","source":"DOI.org (Crossref)","title":"Community-acquired bacterial meningitis","URL":"https://linkinghub.elsevier.com/retrieve/pii/S0140673621008837","volume":"398","author":[{"family":"Van De Beek","given":"Diederik"},{"family":"Brouwer","given":"Matthijs C"},{"family":"Koedel","given":"Uwe"},{"family":"Wall","given":"Emma C"}],"accessed":{"date-parts":[["2026",4,3]]},"issued":{"date-parts":[["2021",9]]}}},{"id":285,"uris":["http://zotero.org/users/local/bYSFHtFY/items/BYVQXTFB"],"itemData":{"id":285,"type":"webpage","abstract":"In line with the Defeating meningitis by 2030: a global road map, the WHO guidelines on meningitis diagnosis, treatment and care provide evidence-based recommendations for the clinical management of children and adults with community-acquired meningitis, including acute and long-term care.","language":"en","title":"WHO guidelines on Meningitis diagnosis and care","URL":"https://www.who.int/publications/i/item/9789240108042","author":[{"family":"WHO","given":""}],"accessed":{"date-parts":[["2026",4,22]]},"issued":{"date-parts":[["2025"]]}}}],"schema":"https://github.com/citation-style-language/schema/raw/master/csl-citation.json"}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 [2], [3]</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val="nl-NL" w:eastAsia="en-GB"/>
              </w:rPr>
              <w:t>.</w:t>
            </w:r>
          </w:p>
        </w:tc>
      </w:tr>
      <w:tr w:rsidR="000A2F76" w:rsidRPr="00286731" w14:paraId="7E91C438" w14:textId="77777777" w:rsidTr="00247B62">
        <w:tc>
          <w:tcPr>
            <w:tcW w:w="2135" w:type="dxa"/>
            <w:vMerge/>
          </w:tcPr>
          <w:p w14:paraId="78107EEA"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val="nl-NL" w:eastAsia="en-GB"/>
              </w:rPr>
            </w:pPr>
          </w:p>
        </w:tc>
        <w:tc>
          <w:tcPr>
            <w:tcW w:w="1940" w:type="dxa"/>
          </w:tcPr>
          <w:p w14:paraId="2BE1BE7C"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val="nl-NL" w:eastAsia="en-GB"/>
              </w:rPr>
              <w:t xml:space="preserve"> </w:t>
            </w:r>
            <w:r w:rsidRPr="00286731">
              <w:rPr>
                <w:rFonts w:ascii="Abadi" w:eastAsia="Times New Roman" w:hAnsi="Abadi" w:cs="Times New Roman"/>
                <w:sz w:val="24"/>
                <w:szCs w:val="24"/>
                <w:lang w:eastAsia="en-GB"/>
              </w:rPr>
              <w:t xml:space="preserve">Probable </w:t>
            </w:r>
          </w:p>
        </w:tc>
        <w:tc>
          <w:tcPr>
            <w:tcW w:w="4941" w:type="dxa"/>
          </w:tcPr>
          <w:p w14:paraId="0E556F0B" w14:textId="140D6A8F" w:rsidR="000A2F76" w:rsidRPr="00286731" w:rsidRDefault="000A2F76" w:rsidP="00247B62">
            <w:pPr>
              <w:spacing w:before="100" w:beforeAutospacing="1" w:after="100" w:afterAutospacing="1" w:line="360" w:lineRule="auto"/>
              <w:rPr>
                <w:rFonts w:ascii="Abadi" w:eastAsia="Times New Roman" w:hAnsi="Abadi" w:cs="Times New Roman"/>
                <w:sz w:val="24"/>
                <w:szCs w:val="24"/>
                <w:lang w:val="nl-NL" w:eastAsia="en-GB"/>
              </w:rPr>
            </w:pPr>
            <w:r w:rsidRPr="00286731">
              <w:rPr>
                <w:rFonts w:ascii="Abadi" w:eastAsia="Times New Roman" w:hAnsi="Abadi" w:cs="Times New Roman"/>
                <w:sz w:val="24"/>
                <w:szCs w:val="24"/>
                <w:lang w:eastAsia="en-GB"/>
              </w:rPr>
              <w:t xml:space="preserve"> Acute meningitis syndrome + CSF neutrophilic pleocytosis, high protein, low glucose, no alternative diagnosis </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{"citationID":"ilIXASzQ","properties":{"unsorted":false,"formattedCitation":"[1], [2], [3]","plainCitation":"[1], [2], [3]","noteIndex":0},"citationItems":[{"id":278,"uris":["http://zotero.org/users/local/bYSFHtFY/items/K4RUB9XY"],"itemData":{"id":278,"type":"article-journal","abstract":"Community-acquired meningitis can be classified into acute and subacute presentations by the duration of illness of ≤ or &gt;5 days, respectively. There are currently no studies comparing the clinical features, management decisions, etiologies, and outcomes between acute and subacute presentations.It is a retrospective study of adults with community-acquired meningitis hospitalized in Houston, TX between January 2005 and January 2010. An adverse clinical outcome was defined as a Glasgow Outcome Scale score of ≤4.A total of 611 patients were identified, of which 458 (75%) were acute and 153 subacute (25%). The most common etiologies were unknown in 418 (68.4%), viral in 94 (15.4%), bacterial in 47 (7.7%), fungal in 42 patients (6.9%), and other noninfectious etiologies in 6 (1%). Patients with subacute meningitis were more likely to be immunosuppressed or have comorbidities, had fungal etiologies, and had higher rates of hypoglycorrachia and abnormal neurological findings (P</w:instrText>
            </w:r>
            <w:r w:rsidR="0041074C">
              <w:rPr>
                <w:rFonts w:ascii="Arial" w:eastAsia="Times New Roman" w:hAnsi="Arial" w:cs="Arial"/>
                <w:sz w:val="24"/>
                <w:szCs w:val="24"/>
                <w:lang w:eastAsia="en-GB"/>
              </w:rPr>
              <w:instrText> </w:instrText>
            </w:r>
            <w:r w:rsidR="0041074C">
              <w:rPr>
                <w:rFonts w:ascii="Abadi" w:eastAsia="Times New Roman" w:hAnsi="Abadi" w:cs="Times New Roman"/>
                <w:sz w:val="24"/>
                <w:szCs w:val="24"/>
                <w:lang w:eastAsia="en-GB"/>
              </w:rPr>
              <w:instrText>&lt;.05). Patients with an acute presentation were more likely to be treated empirically with intravenous antibiotics and had higher cerebrospinal fluid pleocytosis and serum white blood cell counts (P</w:instrText>
            </w:r>
            <w:r w:rsidR="0041074C">
              <w:rPr>
                <w:rFonts w:ascii="Arial" w:eastAsia="Times New Roman" w:hAnsi="Arial" w:cs="Arial"/>
                <w:sz w:val="24"/>
                <w:szCs w:val="24"/>
                <w:lang w:eastAsia="en-GB"/>
              </w:rPr>
              <w:instrText> </w:instrText>
            </w:r>
            <w:r w:rsidR="0041074C">
              <w:rPr>
                <w:rFonts w:ascii="Abadi" w:eastAsia="Times New Roman" w:hAnsi="Abadi" w:cs="Times New Roman"/>
                <w:sz w:val="24"/>
                <w:szCs w:val="24"/>
                <w:lang w:eastAsia="en-GB"/>
              </w:rPr>
              <w:instrText>&lt;.05). On logistic regression, age &gt;65 years and abnormal neurological findings were predictive of an adverse clinical outcome in both acute and subacute meningitis, whereas fever was also a significant prognostic factor in acute meningitis. (P</w:instrText>
            </w:r>
            <w:r w:rsidR="0041074C">
              <w:rPr>
                <w:rFonts w:ascii="Arial" w:eastAsia="Times New Roman" w:hAnsi="Arial" w:cs="Arial"/>
                <w:sz w:val="24"/>
                <w:szCs w:val="24"/>
                <w:lang w:eastAsia="en-GB"/>
              </w:rPr>
              <w:instrText> </w:instrText>
            </w:r>
            <w:r w:rsidR="0041074C">
              <w:rPr>
                <w:rFonts w:ascii="Abadi" w:eastAsia="Times New Roman" w:hAnsi="Abadi" w:cs="Times New Roman"/>
                <w:sz w:val="24"/>
                <w:szCs w:val="24"/>
                <w:lang w:eastAsia="en-GB"/>
              </w:rPr>
              <w:instrText xml:space="preserve">&lt;.05).Acute and subacute meningitis differ in regards to clinical presentations, etiologies, laboratory findings, and management decisions, but did not differ in rates of adverse clinical outcomes. Future studies including thoroughly investigated patients with new diagnostic molecular methods may show different results and outcomes.","container-title":"Medicine","DOI":"10.1097/MD.0000000000007984","ISSN":"1536-5964","issue":"36","journalAbbreviation":"Medicine (Baltimore)","language":"eng","page":"e7984","PMID":"28885354","PMCID":"PMC6392806","source":"PubMed","title":"Acute versus subacute community-acquired meningitis: Analysis of 611 patients","title-short":"Acute versus subacute community-acquired meningitis","volume":"96","author":[{"family":"Sulaiman","given":"Tarek"},{"family":"Salazar","given":"Lucrecia"},{"family":"Hasbun","given":"Rodrigo"}],"issued":{"date-parts":[["2017",9]]}}},{"id":84,"uris":["http://zotero.org/users/local/bYSFHtFY/items/ZQFGXCPM"],"itemData":{"id":84,"type":"article-journal","container-title":"The Lancet","DOI":"10.1016/S0140-6736(21)00883-7","ISSN":"01406736","issue":"10306","journalAbbreviation":"The Lancet","language":"en","page":"1171-1183","source":"DOI.org (Crossref)","title":"Community-acquired bacterial meningitis","URL":"https://linkinghub.elsevier.com/retrieve/pii/S0140673621008837","volume":"398","author":[{"family":"Van De Beek","given":"Diederik"},{"family":"Brouwer","given":"Matthijs C"},{"family":"Koedel","given":"Uwe"},{"family":"Wall","given":"Emma C"}],"accessed":{"date-parts":[["2026",4,3]]},"issued":{"date-parts":[["2021",9]]}}},{"id":285,"uris":["http://zotero.org/users/local/bYSFHtFY/items/BYVQXTFB"],"itemData":{"id":285,"type":"webpage","abstract":"In line with the Defeating meningitis by 2030: a global road map, the WHO guidelines on meningitis diagnosis, treatment and care provide evidence-based recommendations for the clinical management of children and adults with community-acquired meningitis, including acute and long-term care.","language":"en","title":"WHO guidelines on Meningitis diagnosis and care","URL":"https://www.who.int/publications/i/item/9789240108042","author":[{"family":"WHO","given":""}],"accessed":{"date-parts":[["2026",4,22]]},"issued":{"date-parts":[["2025"]]}}}],"schema":"https://github.com/citation-style-language/schema/raw/master/csl-citation.json"}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 [2], [3]</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val="nl-NL" w:eastAsia="en-GB"/>
              </w:rPr>
              <w:t>.</w:t>
            </w:r>
          </w:p>
        </w:tc>
      </w:tr>
      <w:tr w:rsidR="000A2F76" w:rsidRPr="00286731" w14:paraId="58B7E658" w14:textId="77777777" w:rsidTr="00247B62">
        <w:tc>
          <w:tcPr>
            <w:tcW w:w="2135" w:type="dxa"/>
            <w:vMerge w:val="restart"/>
          </w:tcPr>
          <w:p w14:paraId="3921A6A2"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Viral meningitis </w:t>
            </w:r>
          </w:p>
        </w:tc>
        <w:tc>
          <w:tcPr>
            <w:tcW w:w="1940" w:type="dxa"/>
          </w:tcPr>
          <w:p w14:paraId="5B026C4B"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Definite </w:t>
            </w:r>
          </w:p>
        </w:tc>
        <w:tc>
          <w:tcPr>
            <w:tcW w:w="4941" w:type="dxa"/>
          </w:tcPr>
          <w:p w14:paraId="0701521D" w14:textId="5DD6AEA2"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CSF PCR positive or intrathecal antibody production</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{"citationID":"IAhDLXIM","properties":{"unsorted":false,"formattedCitation":"[3]","plainCitation":"[3]","noteIndex":0},"citationItems":[{"id":285,"uris":["http://zotero.org/users/local/bYSFHtFY/items/BYVQXTFB"],"itemData":{"id":285,"type":"webpage","abstract":"In line with the Defeating meningitis by 2030: a global road map, the WHO guidelines on meningitis diagnosis, treatment and care provide evidence-based recommendations for the clinical management of children and adults with community-acquired meningitis, including acute and long-term care.","language":"en","title":"WHO guidelines on Meningitis diagnosis and care","URL":"https://www.who.int/publications/i/item/9789240108042","author":[{"family":"WHO","given":""}],"accessed":{"date-parts":[["2026",4,22]]},"issued":{"date-parts":[["2025"]]}}}],"schema":"https://github.com/citation-style-language/schema/raw/master/csl-citation.json"}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[3]</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345CA297" w14:textId="77777777" w:rsidTr="00247B62">
        <w:tc>
          <w:tcPr>
            <w:tcW w:w="2135" w:type="dxa"/>
            <w:vMerge/>
          </w:tcPr>
          <w:p w14:paraId="220CA692"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p>
        </w:tc>
        <w:tc>
          <w:tcPr>
            <w:tcW w:w="1940" w:type="dxa"/>
          </w:tcPr>
          <w:p w14:paraId="5A5EF865"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Probable </w:t>
            </w:r>
          </w:p>
        </w:tc>
        <w:tc>
          <w:tcPr>
            <w:tcW w:w="4941" w:type="dxa"/>
          </w:tcPr>
          <w:p w14:paraId="086C0DDE" w14:textId="75F35880"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Lymphocytic CSF, normal glucose, mild protein elevation, negative bacterial studies</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{"citationID":"wQT0MVzw","properties":{"unsorted":false,"formattedCitation":"[3]","plainCitation":"[3]","noteIndex":0},"citationItems":[{"id":285,"uris":["http://zotero.org/users/local/bYSFHtFY/items/BYVQXTFB"],"itemData":{"id":285,"type":"webpage","abstract":"In line with the Defeating meningitis by 2030: a global road map, the WHO guidelines on meningitis diagnosis, treatment and care provide evidence-based recommendations for the clinical management of children and adults with community-acquired meningitis, including acute and long-term care.","language":"en","title":"WHO guidelines on Meningitis diagnosis and care","URL":"https://www.who.int/publications/i/item/9789240108042","author":[{"family":"WHO","given":""}],"accessed":{"date-parts":[["2026",4,22]]},"issued":{"date-parts":[["2025"]]}}}],"schema":"https://github.com/citation-style-language/schema/raw/master/csl-citation.json"}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[3]</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5961943D" w14:textId="77777777" w:rsidTr="00247B62">
        <w:tc>
          <w:tcPr>
            <w:tcW w:w="2135" w:type="dxa"/>
            <w:vMerge w:val="restart"/>
          </w:tcPr>
          <w:p w14:paraId="60D64362"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Viral encephalitis </w:t>
            </w:r>
          </w:p>
        </w:tc>
        <w:tc>
          <w:tcPr>
            <w:tcW w:w="1940" w:type="dxa"/>
          </w:tcPr>
          <w:p w14:paraId="16E40037"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Definite </w:t>
            </w:r>
          </w:p>
        </w:tc>
        <w:tc>
          <w:tcPr>
            <w:tcW w:w="4941" w:type="dxa"/>
          </w:tcPr>
          <w:p w14:paraId="43E8E9E3" w14:textId="553FC143"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CSF PCR positive for neurotropic virus + encephalitis syndrome (≥24h altered mental status).</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O9b7SsSj","properties":{"unsorted":false,"formattedCitation":"[4]","plainCitation":"[4]","noteIndex":0},"citationItems":[{"id":71,"uris":["http://zotero.org/users/local/bYSFHtFY/items/R9DTJYPH"],"itemData":{"id":71,"type":"article-journal","container-title":"Clinical Medicine","DOI":"10.7861/clinmedicine.18-2-155","ISSN":"14702118","issue":"2","journalAbbreviation":"Clinical Medicine","language":"en","page":"155-159","source":"DOI.org (Crossref)","title":"Acute encephalitis – diagnosis and management","URL":"https://linkinghub.elsevier.com/retrieve/pii/S1470211824017378","volume":"18","author":[{"family":"Ellul","given":"Mark"},{"family":"Solomon","given":"Tom"}],"accessed":{"date-parts":[["2026",4,3]]},"issued":{"date-parts":[["2018",4]]}}}],"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[4]</w:t>
            </w:r>
            <w:r w:rsidRPr="00286731">
              <w:rPr>
                <w:rFonts w:ascii="Abadi" w:eastAsia="Times New Roman" w:hAnsi="Abadi" w:cs="Times New Roman"/>
                <w:sz w:val="24"/>
                <w:szCs w:val="24"/>
                <w:lang w:eastAsia="en-GB"/>
              </w:rPr>
              <w:fldChar w:fldCharType="end"/>
            </w:r>
          </w:p>
        </w:tc>
      </w:tr>
      <w:tr w:rsidR="000A2F76" w:rsidRPr="00286731" w14:paraId="0F8304C6" w14:textId="77777777" w:rsidTr="00247B62">
        <w:tc>
          <w:tcPr>
            <w:tcW w:w="2135" w:type="dxa"/>
            <w:vMerge/>
          </w:tcPr>
          <w:p w14:paraId="0F80BBC9"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p>
        </w:tc>
        <w:tc>
          <w:tcPr>
            <w:tcW w:w="1940" w:type="dxa"/>
          </w:tcPr>
          <w:p w14:paraId="58B0B668"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Probable </w:t>
            </w:r>
          </w:p>
        </w:tc>
        <w:tc>
          <w:tcPr>
            <w:tcW w:w="4941" w:type="dxa"/>
          </w:tcPr>
          <w:p w14:paraId="0E5289F4" w14:textId="4F316102"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Encephalitis syndrome + CSF lymphocytic pleocytosis and/or MRI/EEG compatible findings</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GdvXPvjR","properties":{"unsorted":false,"formattedCitation":"[4]","plainCitation":"[4]","noteIndex":0},"citationItems":[{"id":71,"uris":["http://zotero.org/users/local/bYSFHtFY/items/R9DTJYPH"],"itemData":{"id":71,"type":"article-journal","container-title":"Clinical Medicine","DOI":"10.7861/clinmedicine.18-2-155","ISSN":"14702118","issue":"2","journalAbbreviation":"Clinical Medicine","language":"en","page":"155-159","source":"DOI.org (Crossref)","title":"Acute encephalitis – diagnosis and management","URL":"https://linkinghub.elsevier.com/retrieve/pii/S1470211824017378","volume":"18","author":[{"family":"Ellul","given":"Mark"},{"family":"Solomon","given":"Tom"}],"accessed":{"date-parts":[["2026",4,3]]},"issued":{"date-parts":[["2018",4]]}}}],"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[4]</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054906CB" w14:textId="77777777" w:rsidTr="00247B62">
        <w:tc>
          <w:tcPr>
            <w:tcW w:w="2135" w:type="dxa"/>
            <w:vMerge w:val="restart"/>
          </w:tcPr>
          <w:p w14:paraId="305ADD13"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Brain abscess </w:t>
            </w:r>
          </w:p>
        </w:tc>
        <w:tc>
          <w:tcPr>
            <w:tcW w:w="1940" w:type="dxa"/>
          </w:tcPr>
          <w:p w14:paraId="28DFDDC6"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Definite </w:t>
            </w:r>
          </w:p>
        </w:tc>
        <w:tc>
          <w:tcPr>
            <w:tcW w:w="4941" w:type="dxa"/>
          </w:tcPr>
          <w:p w14:paraId="2F4BAD6D" w14:textId="3B4F3DA8"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Microbiological or histopathological confirmation from aspirate/surgery/blood</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{"citationID":"TWaixdrb","properties":{"unsorted":false,"formattedCitation":"[3], [5]","plainCitation":"[3], [5]","noteIndex":0},"citationItems":[{"id":294,"uris":["http://zotero.org/users/local/bYSFHtFY/items/FXQEYVFH"],"itemData":{"id":294,"type":"article-journal","abstract":"Scope\nThese European Society of Clinical Microbiology and Infectious Diseases guidelines are intended for clinicians involved in diagnosis and treatment of brain abscess in children and adults.\nMethods\nKey questions were developed, and a systematic review was carried out of all studies published since 1 January 1996, using the search terms ‘brain abscess’ OR ‘cerebral abscess’ as Mesh terms or text in electronic databases of PubMed, Embase, and the Cochrane registry. The search was updated on 29 September 2022. Exclusion criteria were a sample size &lt;10 patients or publication in non-English language. Extracted data was summarized as narrative reviews and tables. Meta-analysis was carried out using a random effects model and heterogeneity was examined by I2 tests as well as funnel and Galbraith plots. Risk of bias was assessed using Risk Of Bias in Non-randomised Studies - of Interventions (ROBINS-I) (observational studies) and Quality Assessment of Diagnostic Accuracy Studies 2 (QUADAS-2) (diagnostic studies). The Grading of Recommendations Assessment, Development and Evaluation approach was applied to classify strength of recommendations (strong or conditional) and quality of evidence (high, moderate, low, or very low).\nQuestions addressed by the guidelines and recommendations\nMagnetic resonance imaging is recommended for diagnosis of brain abscess (strong and high). Antimicrobials may be withheld until aspiration or excision of brain abscess in patients without severe disease if neurosurgery can be carried out within reasonable time, preferably within 24 hours (conditional and low). Molecular-based diagnostics are recommended, if available, in patients with negative cultures (conditional and moderate). Aspiration or excision of brain abscess is recommended whenever feasible, except for cases with toxoplasmosis (strong and low). Recommended empirical antimicrobial treatment for community-acquired brain abscess in immuno-competent individuals is a 3rd-generation cephalosporin and metronidazole (strong and moderate) with the addition of trimethoprim-sulfamethoxazole and voriconazole in patients with severe immuno-compromise (conditional and low). Recommended empirical treatment of post-neurosurgical brain abscess is a carbapenem combined with vancomycin or linezolid (conditional and low). The recommended duration of antimicrobial treatment is 6–8 weeks (conditional and low). No recommendation is offered for early transition to oral antimicrobials because of a lack of data, and oral consolidation treatment after ≥6 weeks of intravenous antimicrobials is not routinely recommended (conditional and very low). Adjunctive glucocorticoid treatment is recommended for treatment of severe symptoms because of perifocal oedema or impending herniation (strong and low). Primary prophylaxis with antiepileptics is not recommended (conditional and very low). Research needs are addressed.","container-title":"Clinical Microbiology and Infection","DOI":"10.1016/j.cmi.2023.08.016","ISSN":"1198-743X","issue":"1","journalAbbreviation":"Clinical Microbiology and Infection","page":"66-89","source":"ScienceDirect","title":"European society of Clinical Microbiology and Infectious Diseases guidelines on diagnosis and treatment of brain abscess in children and adults","URL":"https://www.sciencedirect.com/science/article/pii/S1198743X23003993","volume":"30","author":[{"family":"Bodilsen","given":"Jacob"},{"family":"D'Alessandris","given":"Quintino Giorgio"},{"family":"Humphreys","given":"Hilary"},{"family":"Iro","given":"Mildred A."},{"family":"Klein","given":"Matthias"},{"family":"Last","given":"Katharina"},{"family":"Montesinos","given":"Inmaculada López"},{"family":"Pagliano","given":"Pasquale"},{"family":"Sipahi","given":"Oğuz Reşat"},{"family":"San-Juan","given":"Rafael"},{"family":"Tattevin","given":"Pierre"},{"family":"Thurnher","given":"Majda"},{"family":"J. Treviño-Rangel","given":"Rogelio","non-dropping-particle":"de"},{"family":"Brouwer","given":"Matthijs C."}],"accessed":{"date-parts":[["2026",4,22]]},"issued":{"date-parts":[["2024",1,1]]}}},{"id":285,"uris":["http://zotero.org/users/local/bYSFHtFY/items/BYVQXTFB"],"itemData":{"id":285,"type":"webpage","abstract":"In line with the Defeating meningitis by 2030: a global road map, the WHO guidelines on meningitis diagnosis, treatment and care provide evidence-based recommendations for the clinical management of children and adults with community-acquired meningitis, including acute and long-term care.","language":"en","title":"WHO guidelines on Meningitis diagnosis and care","URL":"https://www.who.int/publications/i/item/9789240108042","author":[{"family":"WHO","given":""}],"accessed":{"date-parts":[["2026",4,22]]},"issued":{"date-parts":[["2025"]]}}}],"schema":"https://github.com/citation-style-language/schema/raw/master/csl-citation.json"}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[3], [5]</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0786C005" w14:textId="77777777" w:rsidTr="00247B62">
        <w:tc>
          <w:tcPr>
            <w:tcW w:w="2135" w:type="dxa"/>
            <w:vMerge/>
          </w:tcPr>
          <w:p w14:paraId="5D964534"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p>
        </w:tc>
        <w:tc>
          <w:tcPr>
            <w:tcW w:w="1940" w:type="dxa"/>
          </w:tcPr>
          <w:p w14:paraId="68E9C337"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Probable </w:t>
            </w:r>
          </w:p>
        </w:tc>
        <w:tc>
          <w:tcPr>
            <w:tcW w:w="4941" w:type="dxa"/>
          </w:tcPr>
          <w:p w14:paraId="6AF30153" w14:textId="16E156BC"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Ring-enhancing lesion on CT/MRI with focal neurological deficit</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2oKRXUz4","properties":{"unsorted":false,"formattedCitation":"[5]","plainCitation":"[5]","noteIndex":0},"citationItems":[{"id":294,"uris":["http://zotero.org/users/local/bYSFHtFY/items/FXQEYVFH"],"itemData":{"id":294,"type":"article-journal","abstract":"Scope\nThese European Society of Clinical Microbiology and Infectious Diseases guidelines are intended for clinicians involved in diagnosis and treatment of brain abscess in children and adults.\nMethods\nKey questions were developed, and a systematic review was carried out of all studies published since 1 January 1996, using the search terms ‘brain abscess’ OR ‘cerebral abscess’ as Mesh terms or text in electronic databases of PubMed, Embase, and the Cochrane registry. The search was updated on 29 September 2022. Exclusion criteria were a sample size &lt;10 patients or publication in non-English language. Extracted data was summarized as narrative reviews and tables. Meta-analysis was carried out using a random effects model and heterogeneity was examined by I2 tests as well as funnel and Galbraith plots. Risk of bias was assessed using Risk Of Bias in Non-randomised Studies - of Interventions (ROBINS-I) (observational studies) and Quality Assessment of Diagnostic Accuracy Studies 2 (QUADAS-2) (diagnostic studies). The Grading of Recommendations Assessment, Development and Evaluation approach was applied to classify strength of recommendations (strong or conditional) and quality of evidence (high, moderate, low, or very low).\nQuestions addressed by the guidelines and recommendations\nMagnetic resonance imaging is recommended for diagnosis of brain abscess (strong and high). Antimicrobials may be withheld until aspiration or excision of brain abscess in patients without severe disease if neurosurgery can be carried out within reasonable time, preferably within 24 hours (conditional and low). Molecular-based diagnostics are recommended, if available, in patients with negative cultures (conditional and moderate). Aspiration or excision of brain abscess is recommended whenever feasible, except for cases with toxoplasmosis (strong and low). Recommended empirical antimicrobial treatment for community-acquired brain abscess in immuno-competent individuals is a 3rd-generation cephalosporin and metronidazole (strong and moderate) with the addition of trimethoprim-sulfamethoxazole and voriconazole in patients with severe immuno-compromise (conditional and low). Recommended empirical treatment of post-neurosurgical brain abscess is a carbapenem combined with vancomycin or linezolid (conditional and low). The recommended duration of antimicrobial treatment is 6–8 weeks (conditional and low). No recommendation is offered for early transition to oral antimicrobials because of a lack of data, and oral consolidation treatment after ≥6 weeks of intravenous antimicrobials is not routinely recommended (conditional and very low). Adjunctive glucocorticoid treatment is recommended for treatment of severe symptoms because of perifocal oedema or impending herniation (strong and low). Primary prophylaxis with antiepileptics is not recommended (conditional and very low). Research needs are addressed.","container-title":"Clinical Microbiology and Infection","DOI":"10.1016/j.cmi.2023.08.016","ISSN":"1198-743X","issue":"1","journalAbbreviation":"Clinical Microbiology and Infection","page":"66-89","source":"ScienceDirect","title":"European society of Clinical Microbiology and Infectious Diseases guidelines on diagnosis and treatment of brain abscess in children and adults","URL":"https://www.sciencedirect.com/science/article/pii/S1198743X23003993","volume":"30","author":[{"family":"Bodilsen","given":"Jacob"},{"family":"D'Alessandris","given":"Quintino Giorgio"},{"family":"Humphreys","given":"Hilary"},{"family":"Iro","given":"Mildred A."},{"family":"Klein","given":"Matthias"},{"family":"Last","given":"Katharina"},{"family":"Montesinos","given":"Inmaculada López"},{"family":"Pagliano","given":"Pasquale"},{"family":"Sipahi","given":"Oğuz Reşat"},{"family":"San-Juan","given":"Rafael"},{"family":"Tattevin","given":"Pierre"},{"family":"Thurnher","given":"Majda"},{"family":"J. Treviño-Rangel","given":"Rogelio","non-dropping-particle":"de"},{"family":"Brouwer","given":"Matthijs C."}],"accessed":{"date-parts":[["2026",4,22]]},"issued":{"date-parts":[["2024",1,1]]}}}],"schema":"https://github.com/citation-style-language/schema/raw/master/csl-citation.json"}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[5]</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4A582383" w14:textId="77777777" w:rsidTr="00247B62">
        <w:tc>
          <w:tcPr>
            <w:tcW w:w="2135" w:type="dxa"/>
            <w:vMerge w:val="restart"/>
          </w:tcPr>
          <w:p w14:paraId="578144D3"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val="pt-PT" w:eastAsia="en-GB"/>
              </w:rPr>
            </w:pPr>
            <w:r w:rsidRPr="00286731">
              <w:rPr>
                <w:rFonts w:ascii="Abadi" w:eastAsia="Times New Roman" w:hAnsi="Abadi" w:cs="Times New Roman"/>
                <w:sz w:val="24"/>
                <w:szCs w:val="24"/>
                <w:lang w:val="pt-PT" w:eastAsia="en-GB"/>
              </w:rPr>
              <w:t xml:space="preserve">Cerebral malaria </w:t>
            </w:r>
          </w:p>
        </w:tc>
        <w:tc>
          <w:tcPr>
            <w:tcW w:w="1940" w:type="dxa"/>
          </w:tcPr>
          <w:p w14:paraId="153A37A9"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val="pt-PT" w:eastAsia="en-GB"/>
              </w:rPr>
            </w:pPr>
            <w:r w:rsidRPr="00286731">
              <w:rPr>
                <w:rFonts w:ascii="Abadi" w:eastAsia="Times New Roman" w:hAnsi="Abadi" w:cs="Times New Roman"/>
                <w:sz w:val="24"/>
                <w:szCs w:val="24"/>
                <w:lang w:val="pt-PT" w:eastAsia="en-GB"/>
              </w:rPr>
              <w:t xml:space="preserve"> </w:t>
            </w:r>
            <w:proofErr w:type="spellStart"/>
            <w:r w:rsidRPr="00286731">
              <w:rPr>
                <w:rFonts w:ascii="Abadi" w:eastAsia="Times New Roman" w:hAnsi="Abadi" w:cs="Times New Roman"/>
                <w:sz w:val="24"/>
                <w:szCs w:val="24"/>
                <w:lang w:val="pt-PT" w:eastAsia="en-GB"/>
              </w:rPr>
              <w:t>Definite</w:t>
            </w:r>
            <w:proofErr w:type="spellEnd"/>
            <w:r w:rsidRPr="00286731">
              <w:rPr>
                <w:rFonts w:ascii="Abadi" w:eastAsia="Times New Roman" w:hAnsi="Abadi" w:cs="Times New Roman"/>
                <w:sz w:val="24"/>
                <w:szCs w:val="24"/>
                <w:lang w:val="pt-PT" w:eastAsia="en-GB"/>
              </w:rPr>
              <w:t xml:space="preserve"> </w:t>
            </w:r>
          </w:p>
        </w:tc>
        <w:tc>
          <w:tcPr>
            <w:tcW w:w="4941" w:type="dxa"/>
          </w:tcPr>
          <w:p w14:paraId="7575FC2C" w14:textId="05DF6329" w:rsidR="000A2F76" w:rsidRPr="00286731" w:rsidRDefault="000A2F76" w:rsidP="00247B62">
            <w:pPr>
              <w:spacing w:before="100" w:beforeAutospacing="1" w:after="100" w:afterAutospacing="1" w:line="360" w:lineRule="auto"/>
              <w:rPr>
                <w:rFonts w:ascii="Abadi" w:eastAsia="Times New Roman" w:hAnsi="Abadi" w:cs="Times New Roman"/>
                <w:sz w:val="24"/>
                <w:szCs w:val="24"/>
                <w:lang w:val="pt-PT" w:eastAsia="en-GB"/>
              </w:rPr>
            </w:pPr>
            <w:r w:rsidRPr="00286731">
              <w:rPr>
                <w:rFonts w:ascii="Abadi" w:eastAsia="Times New Roman" w:hAnsi="Abadi" w:cs="Times New Roman"/>
                <w:sz w:val="24"/>
                <w:szCs w:val="24"/>
                <w:lang w:val="pt-PT" w:eastAsia="en-GB"/>
              </w:rPr>
              <w:t xml:space="preserve"> </w:t>
            </w:r>
            <w:proofErr w:type="spellStart"/>
            <w:r w:rsidRPr="00286731">
              <w:rPr>
                <w:rFonts w:ascii="Abadi" w:eastAsia="Times New Roman" w:hAnsi="Abadi" w:cs="Times New Roman"/>
                <w:sz w:val="24"/>
                <w:szCs w:val="24"/>
                <w:lang w:val="pt-PT" w:eastAsia="en-GB"/>
              </w:rPr>
              <w:t>Plasmodium</w:t>
            </w:r>
            <w:proofErr w:type="spellEnd"/>
            <w:r w:rsidRPr="00286731">
              <w:rPr>
                <w:rFonts w:ascii="Abadi" w:eastAsia="Times New Roman" w:hAnsi="Abadi" w:cs="Times New Roman"/>
                <w:sz w:val="24"/>
                <w:szCs w:val="24"/>
                <w:lang w:val="pt-PT" w:eastAsia="en-GB"/>
              </w:rPr>
              <w:t xml:space="preserve"> </w:t>
            </w:r>
            <w:proofErr w:type="spellStart"/>
            <w:r w:rsidRPr="00286731">
              <w:rPr>
                <w:rFonts w:ascii="Abadi" w:eastAsia="Times New Roman" w:hAnsi="Abadi" w:cs="Times New Roman"/>
                <w:sz w:val="24"/>
                <w:szCs w:val="24"/>
                <w:lang w:val="pt-PT" w:eastAsia="en-GB"/>
              </w:rPr>
              <w:t>falciparum</w:t>
            </w:r>
            <w:proofErr w:type="spellEnd"/>
            <w:r w:rsidRPr="00286731">
              <w:rPr>
                <w:rFonts w:ascii="Abadi" w:eastAsia="Times New Roman" w:hAnsi="Abadi" w:cs="Times New Roman"/>
                <w:sz w:val="24"/>
                <w:szCs w:val="24"/>
                <w:lang w:val="pt-PT" w:eastAsia="en-GB"/>
              </w:rPr>
              <w:t xml:space="preserve"> </w:t>
            </w:r>
            <w:proofErr w:type="spellStart"/>
            <w:r w:rsidRPr="00286731">
              <w:rPr>
                <w:rFonts w:ascii="Abadi" w:eastAsia="Times New Roman" w:hAnsi="Abadi" w:cs="Times New Roman"/>
                <w:sz w:val="24"/>
                <w:szCs w:val="24"/>
                <w:lang w:val="pt-PT" w:eastAsia="en-GB"/>
              </w:rPr>
              <w:t>parasitemia</w:t>
            </w:r>
            <w:proofErr w:type="spellEnd"/>
            <w:r w:rsidRPr="00286731">
              <w:rPr>
                <w:rFonts w:ascii="Abadi" w:eastAsia="Times New Roman" w:hAnsi="Abadi" w:cs="Times New Roman"/>
                <w:sz w:val="24"/>
                <w:szCs w:val="24"/>
                <w:lang w:val="pt-PT" w:eastAsia="en-GB"/>
              </w:rPr>
              <w:t xml:space="preserve"> + coma (</w:t>
            </w:r>
            <w:proofErr w:type="spellStart"/>
            <w:r w:rsidRPr="00286731">
              <w:rPr>
                <w:rFonts w:ascii="Abadi" w:eastAsia="Times New Roman" w:hAnsi="Abadi" w:cs="Times New Roman"/>
                <w:sz w:val="24"/>
                <w:szCs w:val="24"/>
                <w:lang w:val="pt-PT" w:eastAsia="en-GB"/>
              </w:rPr>
              <w:t>excluding</w:t>
            </w:r>
            <w:proofErr w:type="spellEnd"/>
            <w:r w:rsidRPr="00286731">
              <w:rPr>
                <w:rFonts w:ascii="Abadi" w:eastAsia="Times New Roman" w:hAnsi="Abadi" w:cs="Times New Roman"/>
                <w:sz w:val="24"/>
                <w:szCs w:val="24"/>
                <w:lang w:val="pt-PT" w:eastAsia="en-GB"/>
              </w:rPr>
              <w:t xml:space="preserve"> </w:t>
            </w:r>
            <w:proofErr w:type="spellStart"/>
            <w:r w:rsidRPr="00286731">
              <w:rPr>
                <w:rFonts w:ascii="Abadi" w:eastAsia="Times New Roman" w:hAnsi="Abadi" w:cs="Times New Roman"/>
                <w:sz w:val="24"/>
                <w:szCs w:val="24"/>
                <w:lang w:val="pt-PT" w:eastAsia="en-GB"/>
              </w:rPr>
              <w:t>other</w:t>
            </w:r>
            <w:proofErr w:type="spellEnd"/>
            <w:r w:rsidRPr="00286731">
              <w:rPr>
                <w:rFonts w:ascii="Abadi" w:eastAsia="Times New Roman" w:hAnsi="Abadi" w:cs="Times New Roman"/>
                <w:sz w:val="24"/>
                <w:szCs w:val="24"/>
                <w:lang w:val="pt-PT" w:eastAsia="en-GB"/>
              </w:rPr>
              <w:t xml:space="preserve"> causes)</w:t>
            </w:r>
            <w:r w:rsidRPr="00286731">
              <w:rPr>
                <w:rFonts w:ascii="Abadi" w:eastAsia="Times New Roman" w:hAnsi="Abadi" w:cs="Times New Roman"/>
                <w:sz w:val="24"/>
                <w:szCs w:val="24"/>
                <w:lang w:val="pt-PT" w:eastAsia="en-GB"/>
              </w:rPr>
              <w:fldChar w:fldCharType="begin"/>
            </w:r>
            <w:r w:rsidR="0041074C">
              <w:rPr>
                <w:rFonts w:ascii="Abadi" w:eastAsia="Times New Roman" w:hAnsi="Abadi" w:cs="Times New Roman"/>
                <w:sz w:val="24"/>
                <w:szCs w:val="24"/>
                <w:lang w:val="pt-PT" w:eastAsia="en-GB"/>
              </w:rPr>
              <w:instrText xml:space="preserve"> ADDIN ZOTERO_ITEM CSL_CITATION {"citationID":"elyOiOZ4","properties":{"unsorted":false,"formattedCitation":"[6], [7]","plainCitation":"[6], [7]","noteIndex":0},"citationItems":[{"id":300,"uris":["http://zotero.org/users/local/bYSFHtFY/items/88I92ANI"],"itemData":{"id":300,"type":"article-journal","abstract":"Cerebral malaria (CM) is a major cause of mortality in Plasmodium falciparum (Pf) infection and is associated with the sequestration of parasitised erythrocytes in the microvasculature of the host’s vital organs. Prompt diagnosis and treatment are key to a positive outcome in CM. However, current diagnostic tools remain inadequate to assess the degree of brain dysfunction associated with CM before the window for effective treatment closes. Several host and parasite factor-based biomarkers have been suggested as rapid diagnostic tools with potential for early CM diagnosis, however, no specific biomarker signature has been validated. Here, we provide an updated review on promising CM biomarker candidates and evaluate their applicability as point-of-care tools in malaria-endemic areas.","container-title":"Frontiers in Cellular and Infection Microbiology","DOI":"10.3389/fcimb.2023.1090013","ISSN":"2235-2988","journalAbbreviation":"Front. Cell. Infect. Microbiol.","language":"English","publisher":"Frontiers","source":"Frontiers","title":"Diagnosis of cerebral malaria: Tools to reduce Plasmodium falciparum associated mortality","title-short":"Diagnosis of cerebral malaria","URL":"https://www.frontiersin.org/journals/cellular-and-infection-microbiology/articles/10.3389/fcimb.2023.1090013/full","volume":"13","author":[{"family":"Muppidi","given":"Pranavi"},{"family":"Wright","given":"Emily"},{"family":"Wassmer","given":"Samuel C."},{"family":"Gupta","given":"Himanshu"}],"accessed":{"date-parts":[["2026",6,26]]},"issued":{"date-parts":[["2023",2,9]]}}},{"id":80,"uris":["http://zotero.org/users/local/bYSFHtFY/items/69GJ3RSI"],"itemData":{"id":80,"type":"article-journal","abstract":"Cerebral malaria is the most lethal form of Plasmodium falciparum infection. The disease is defined clinically as an otherwise unexplained coma in someone with malaria parasitemia. One in 6 children with cerebral malaria dies and many survivors are left with neurologic, cognitive, or behavioral sequelae. Acute seizures are common and increasing numbers of them during the index illness are associated with a greater likelihood of adverse outcomes. Optimal treatment pathways for children with cerebral malaria have been standardized but the search for an adjunctive therapy that decreases cerebral malaria mortality or morbidity has, so far, remained elusive. After hospital discharge, care gaps for survivors continue in the diagnosis and management of educational challenges, behavioral abnormalities, and epilepsy, especially in the rural settings where malaria incidence is highest. In the past decade, science has elucidated much about cerebral malaria pathogenesis. Observational studies using magnetic resonance imaging, electroencephalogram, and transcranial doppler have all provided insight on the pathway from the initial infection transmitted by a mosquito, to death. Findings from each of these high technology modalities are also associated with outcomes in children with cerebral malaria. We review the epidemiology, clinical features, diagnostic considerations, optimal clinical care pathways, neurological sequalae, and existing care gaps in the management of cerebral malaria and its complications.","container-title":"Seminars in Pediatric Neurology","DOI":"10.1016/j.spen.2025.101206","ISSN":"10719091","journalAbbreviation":"Seminars in Pediatric Neurology","language":"en","page":"101206","source":"DOI.org (Crossref)","title":"Cerebral malaria","URL":"https://linkinghub.elsevier.com/retrieve/pii/S1071909125000270","volume":"54","author":[{"family":"Postels","given":"Douglas G."},{"family":"Katangwe-Chirwa","given":"Thembi"}],"accessed":{"date-parts":[["2026",4,3]]},"issued":{"date-parts":[["2025",7]]}}}],"schema":"https://github.com/citation-style-language/schema/raw/master/csl-citation.json"} </w:instrText>
            </w:r>
            <w:r w:rsidRPr="00286731">
              <w:rPr>
                <w:rFonts w:ascii="Abadi" w:eastAsia="Times New Roman" w:hAnsi="Abadi" w:cs="Times New Roman"/>
                <w:sz w:val="24"/>
                <w:szCs w:val="24"/>
                <w:lang w:val="pt-PT" w:eastAsia="en-GB"/>
              </w:rPr>
              <w:fldChar w:fldCharType="separate"/>
            </w:r>
            <w:r w:rsidR="0041074C" w:rsidRPr="0041074C">
              <w:rPr>
                <w:rFonts w:ascii="Abadi" w:hAnsi="Abadi"/>
                <w:sz w:val="24"/>
              </w:rPr>
              <w:t>[6], [7]</w:t>
            </w:r>
            <w:r w:rsidRPr="00286731">
              <w:rPr>
                <w:rFonts w:ascii="Abadi" w:eastAsia="Times New Roman" w:hAnsi="Abadi" w:cs="Times New Roman"/>
                <w:sz w:val="24"/>
                <w:szCs w:val="24"/>
                <w:lang w:val="pt-PT" w:eastAsia="en-GB"/>
              </w:rPr>
              <w:fldChar w:fldCharType="end"/>
            </w:r>
            <w:r w:rsidRPr="00286731">
              <w:rPr>
                <w:rFonts w:ascii="Abadi" w:eastAsia="Times New Roman" w:hAnsi="Abadi" w:cs="Times New Roman"/>
                <w:sz w:val="24"/>
                <w:szCs w:val="24"/>
                <w:lang w:val="pt-PT" w:eastAsia="en-GB"/>
              </w:rPr>
              <w:t>.</w:t>
            </w:r>
          </w:p>
        </w:tc>
      </w:tr>
      <w:tr w:rsidR="000A2F76" w:rsidRPr="00286731" w14:paraId="31CA37F9" w14:textId="77777777" w:rsidTr="00247B62">
        <w:tc>
          <w:tcPr>
            <w:tcW w:w="2135" w:type="dxa"/>
            <w:vMerge/>
          </w:tcPr>
          <w:p w14:paraId="3257386D"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val="pt-PT" w:eastAsia="en-GB"/>
              </w:rPr>
            </w:pPr>
          </w:p>
        </w:tc>
        <w:tc>
          <w:tcPr>
            <w:tcW w:w="1940" w:type="dxa"/>
          </w:tcPr>
          <w:p w14:paraId="571C6D49"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val="pt-PT" w:eastAsia="en-GB"/>
              </w:rPr>
              <w:t xml:space="preserve"> </w:t>
            </w:r>
            <w:r w:rsidRPr="00286731">
              <w:rPr>
                <w:rFonts w:ascii="Abadi" w:eastAsia="Times New Roman" w:hAnsi="Abadi" w:cs="Times New Roman"/>
                <w:sz w:val="24"/>
                <w:szCs w:val="24"/>
                <w:lang w:eastAsia="en-GB"/>
              </w:rPr>
              <w:t xml:space="preserve">Probable </w:t>
            </w:r>
          </w:p>
        </w:tc>
        <w:tc>
          <w:tcPr>
            <w:tcW w:w="4941" w:type="dxa"/>
          </w:tcPr>
          <w:p w14:paraId="7899727E" w14:textId="54F1955F"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Malaria </w:t>
            </w:r>
            <w:proofErr w:type="spellStart"/>
            <w:r w:rsidRPr="00286731">
              <w:rPr>
                <w:rFonts w:ascii="Abadi" w:eastAsia="Times New Roman" w:hAnsi="Abadi" w:cs="Times New Roman"/>
                <w:sz w:val="24"/>
                <w:szCs w:val="24"/>
                <w:lang w:eastAsia="en-GB"/>
              </w:rPr>
              <w:t>parasitemia</w:t>
            </w:r>
            <w:proofErr w:type="spellEnd"/>
            <w:r w:rsidRPr="00286731">
              <w:rPr>
                <w:rFonts w:ascii="Abadi" w:eastAsia="Times New Roman" w:hAnsi="Abadi" w:cs="Times New Roman"/>
                <w:sz w:val="24"/>
                <w:szCs w:val="24"/>
                <w:lang w:eastAsia="en-GB"/>
              </w:rPr>
              <w:t xml:space="preserve"> + altered consciousness with incomplete exclusion of other causes</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{"citationID":"N5EgtLR8","properties":{"unsorted":false,"formattedCitation":"[6], [7]","plainCitation":"[6], [7]","noteIndex":0},"citationItems":[{"id":300,"uris":["http://zotero.org/users/local/bYSFHtFY/items/88I92ANI"],"itemData":{"id":300,"type":"article-journal","abstract":"Cerebral malaria (CM) is a major cause of mortality in Plasmodium falciparum (Pf) infection and is associated with the sequestration of parasitised erythrocytes in the microvasculature of the host’s vital organs. Prompt diagnosis and treatment are key to a positive outcome in CM. However, current diagnostic tools remain inadequate to assess the degree of brain dysfunction associated with CM before the window for effective treatment closes. Several host and parasite factor-based biomarkers have been suggested as rapid diagnostic tools with potential for early CM diagnosis, however, no specific biomarker signature has been validated. Here, we provide an updated review on promising CM biomarker candidates and evaluate their applicability as point-of-care tools in malaria-endemic areas.","container-title":"Frontiers in Cellular and Infection Microbiology","DOI":"10.3389/fcimb.2023.1090013","ISSN":"2235-2988","journalAbbreviation":"Front. Cell. Infect. Microbiol.","language":"English","publisher":"Frontiers","source":"Frontiers","title":"Diagnosis of cerebral malaria: Tools to reduce Plasmodium falciparum associated mortality","title-short":"Diagnosis of cerebral malaria","URL":"https://www.frontiersin.org/journals/cellular-and-infection-microbiology/articles/10.3389/fcimb.2023.1090013/full","volume":"13","author":[{"family":"Muppidi","given":"Pranavi"},{"family":"Wright","given":"Emily"},{"family":"Wassmer","given":"Samuel C."},{"family":"Gupta","given":"Himanshu"}],"accessed":{"date-parts":[["2026",6,26]]},"issued":{"date-parts":[["2023",2,9]]}}},{"id":80,"uris":["http://zotero.org/users/local/bYSFHtFY/items/69GJ3RSI"],"itemData":{"id":80,"type":"article-journal","abstract":"Cerebral malaria is the most lethal form of Plasmodium falciparum infection. The disease is defined clinically as an otherwise unexplained coma in someone with malaria parasitemia. One in 6 children with cerebral malaria dies and many survivors are left with neurologic, cognitive, or behavioral sequelae. Acute seizures are common and increasing numbers of them during the index illness are associated with a greater likelihood of adverse outcomes. Optimal treatment pathways for children with cerebral malaria have been standardized but the search for an adjunctive therapy that decreases cerebral malaria mortality or morbidity has, so far, remained elusive. After hospital discharge, care gaps for survivors continue in the diagnosis and management of educational challenges, behavioral abnormalities, and epilepsy, especially in the rural settings where malaria incidence is highest. In the past decade, science has elucidated much about cerebral malaria pathogenesis. Observational studies using magnetic resonance imaging, electroencephalogram, and transcranial doppler have all provided insight on the pathway from the initial infection transmitted by a mosquito, to death. Findings from each of these high technology modalities are also associated with outcomes in children with cerebral malaria. We review the epidemiology, clinical features, diagnostic considerations, optimal clinical care pathways, neurological sequalae, and existing care gaps in the management of cerebral malaria and its complications.","container-title":"Seminars in Pediatric Neurology","DOI":"10.1016/j.spen.2025.101206","ISSN":"10719091","journalAbbreviation":"Seminars in Pediatric Neurology","language":"en","page":"101206","source":"DOI.org (Crossref)","title":"Cerebral malaria","URL":"https://linkinghub.elsevier.com/retrieve/pii/S1071909125000270","volume":"54","author":[{"family":"Postels","given":"Douglas G."},{"family":"Katangwe-Chirwa","given":"Thembi"}],"accessed":{"date-parts":[["2026",4,3]]},"issued":{"date-parts":[["2025",7]]}}}],"schema":"https://github.com/citation-style-language/schema/raw/master/csl-citation.json"}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[6], [7]</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2D8D4C47" w14:textId="77777777" w:rsidTr="00247B62">
        <w:tc>
          <w:tcPr>
            <w:tcW w:w="2135" w:type="dxa"/>
            <w:vMerge w:val="restart"/>
          </w:tcPr>
          <w:p w14:paraId="35D20A06"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CNS infection of unknown </w:t>
            </w:r>
            <w:proofErr w:type="spellStart"/>
            <w:r w:rsidRPr="00286731">
              <w:rPr>
                <w:rFonts w:ascii="Abadi" w:eastAsia="Times New Roman" w:hAnsi="Abadi" w:cs="Times New Roman"/>
                <w:sz w:val="24"/>
                <w:szCs w:val="24"/>
                <w:lang w:eastAsia="en-GB"/>
              </w:rPr>
              <w:t>etiology</w:t>
            </w:r>
            <w:proofErr w:type="spellEnd"/>
            <w:r w:rsidRPr="00286731">
              <w:rPr>
                <w:rFonts w:ascii="Abadi" w:eastAsia="Times New Roman" w:hAnsi="Abadi" w:cs="Times New Roman"/>
                <w:sz w:val="24"/>
                <w:szCs w:val="24"/>
                <w:lang w:eastAsia="en-GB"/>
              </w:rPr>
              <w:t xml:space="preserve"> </w:t>
            </w:r>
          </w:p>
        </w:tc>
        <w:tc>
          <w:tcPr>
            <w:tcW w:w="1940" w:type="dxa"/>
          </w:tcPr>
          <w:p w14:paraId="55D7555B"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Suspected </w:t>
            </w:r>
          </w:p>
        </w:tc>
        <w:tc>
          <w:tcPr>
            <w:tcW w:w="4941" w:type="dxa"/>
          </w:tcPr>
          <w:p w14:paraId="40F26158" w14:textId="32D8F1C4"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Clinical CNS infection + abnormal CSF + negative initial work-up</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{"citationID":"2XZwgsXE","properties":{"unsorted":true,"formattedCitation":"[3], [8]","plainCitation":"[3], [8]","noteIndex":0},"citationItems":[{"id":285,"uris":["http://zotero.org/users/local/bYSFHtFY/items/BYVQXTFB"],"itemData":{"id":285,"type":"webpage","abstract":"In line with the Defeating meningitis by 2030: a global road map, the WHO guidelines on meningitis diagnosis, treatment and care provide evidence-based recommendations for the clinical management of children and adults with community-acquired meningitis, including acute and long-term care.","language":"en","title":"WHO guidelines on Meningitis diagnosis and care","URL":"https://www.who.int/publications/i/item/9789240108042","author":[{"family":"WHO","given":""}],"accessed":{"date-parts":[["2026",4,22]]},"issued":{"date-parts":[["2025"]]}}},{"id":288,"uris":["http://zotero.org/users/local/bYSFHtFY/items/BKYAHG62"],"itemData":{"id":288,"type":"article-journal","abstract":"Viruses are a major cause of central nervous system (CNS) infection worldwide. Meningitis and encephalitis commonly present with headache and fever. Encephalitis also causes neurological deficits, reflecting the involvement of the brain parenchyma. Meningitis affects the meninges alone. Enteroviruses are the most common cause of meningitis in the UK, and herpes simplex virus (HSV)-1 is the most common cause of encephalitis. However, the epidemiology of viral meningitis and encephalitis varies widely across the world, with many arboviruses responsible for CNS infection. Cerebrospinal fluid (CSF) sampling is the key investigation if viral CNS infection is suspected, and the most common viral pathogens can be detected in CSF by a polymerase chain reaction (PCR). Additional supporting diagnostic tests can include PCR of faeces, whole blood or throat swabs, alongside magnetic resonance imaging of the brain. Next-generation sequencing may become a future diagnostic option and has helped identify emerging CNS pathogens. Viral meningitis is managed supportively. HSV encephalitis is treated with intravenous aciclovir, but despite therapy many individuals are left with severe neurological sequelae and mortality is high.","collection-title":"Infections Part 2 of 3","container-title":"Medicine","DOI":"10.1016/j.mpmed.2025.11.002","ISSN":"1357-3039","issue":"2","journalAbbreviation":"Medicine","page":"81-86","source":"ScienceDirect","title":"Viral meningitis and encephalitis","URL":"https://www.sciencedirect.com/science/article/pii/S1357303925002798","volume":"54","author":[{"family":"Brodie","given":"Lucy"},{"family":"Melhuish","given":"Anne"},{"family":"McGill","given":"Fiona"}],"accessed":{"date-parts":[["2026",4,22]]},"issued":{"date-parts":[["2026",2,1]]}}}],"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[3], [8]</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3565D0A2" w14:textId="77777777" w:rsidTr="00247B62">
        <w:tc>
          <w:tcPr>
            <w:tcW w:w="2135" w:type="dxa"/>
            <w:vMerge/>
          </w:tcPr>
          <w:p w14:paraId="20B41B6F"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p>
        </w:tc>
        <w:tc>
          <w:tcPr>
            <w:tcW w:w="1940" w:type="dxa"/>
          </w:tcPr>
          <w:p w14:paraId="388D2A6C"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Confirmed unknown </w:t>
            </w:r>
          </w:p>
        </w:tc>
        <w:tc>
          <w:tcPr>
            <w:tcW w:w="4941" w:type="dxa"/>
          </w:tcPr>
          <w:p w14:paraId="1AA13473" w14:textId="4CD6D721"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Persistent unexplained CNS infection after extended evaluation</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{"citationID":"fN5CwZDJ","properties":{"unsorted":true,"formattedCitation":"[3], [8]","plainCitation":"[3], [8]","noteIndex":0},"citationItems":[{"id":285,"uris":["http://zotero.org/users/local/bYSFHtFY/items/BYVQXTFB"],"itemData":{"id":285,"type":"webpage","abstract":"In line with the Defeating meningitis by 2030: a global road map, the WHO guidelines on meningitis diagnosis, treatment and care provide evidence-based recommendations for the clinical management of children and adults with community-acquired meningitis, including acute and long-term care.","language":"en","title":"WHO guidelines on Meningitis diagnosis and care","URL":"https://www.who.int/publications/i/item/9789240108042","author":[{"family":"WHO","given":""}],"accessed":{"date-parts":[["2026",4,22]]},"issued":{"date-parts":[["2025"]]}}},{"id":288,"uris":["http://zotero.org/users/local/bYSFHtFY/items/BKYAHG62"],"itemData":{"id":288,"type":"article-journal","abstract":"Viruses are a major cause of central nervous system (CNS) infection worldwide. Meningitis and encephalitis commonly present with headache and fever. Encephalitis also causes neurological deficits, reflecting the involvement of the brain parenchyma. Meningitis affects the meninges alone. Enteroviruses are the most common cause of meningitis in the UK, and herpes simplex virus (HSV)-1 is the most common cause of encephalitis. However, the epidemiology of viral meningitis and encephalitis varies widely across the world, with many arboviruses responsible for CNS infection. Cerebrospinal fluid (CSF) sampling is the key investigation if viral CNS infection is suspected, and the most common viral pathogens can be detected in CSF by a polymerase chain reaction (PCR). Additional supporting diagnostic tests can include PCR of faeces, whole blood or throat swabs, alongside magnetic resonance imaging of the brain. Next-generation sequencing may become a future diagnostic option and has helped identify emerging CNS pathogens. Viral meningitis is managed supportively. HSV encephalitis is treated with intravenous aciclovir, but despite therapy many individuals are left with severe neurological sequelae and mortality is high.","collection-title":"Infections Part 2 of 3","container-title":"Medicine","DOI":"10.1016/j.mpmed.2025.11.002","ISSN":"1357-3039","issue":"2","journalAbbreviation":"Medicine","page":"81-86","source":"ScienceDirect","title":"Viral meningitis and encephalitis","URL":"https://www.sciencedirect.com/science/article/pii/S1357303925002798","volume":"54","author":[{"family":"Brodie","given":"Lucy"},{"family":"Melhuish","given":"Anne"},{"family":"McGill","given":"Fiona"}],"accessed":{"date-parts":[["2026",4,22]]},"issued":{"date-parts":[["2026",2,1]]}}}],"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[3], [8]</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3E9CEDBC" w14:textId="77777777" w:rsidTr="00247B62">
        <w:tc>
          <w:tcPr>
            <w:tcW w:w="9016" w:type="dxa"/>
            <w:gridSpan w:val="3"/>
          </w:tcPr>
          <w:p w14:paraId="1E019AD0" w14:textId="77777777" w:rsidR="000A2F76" w:rsidRPr="00286731" w:rsidRDefault="000A2F76" w:rsidP="00247B62">
            <w:pPr>
              <w:spacing w:before="100" w:beforeAutospacing="1" w:after="100" w:afterAutospacing="1" w:line="360" w:lineRule="auto"/>
              <w:outlineLvl w:val="1"/>
              <w:rPr>
                <w:rFonts w:ascii="Abadi" w:eastAsia="Times New Roman" w:hAnsi="Abadi" w:cs="Times New Roman"/>
                <w:b/>
                <w:bCs/>
                <w:sz w:val="24"/>
                <w:szCs w:val="24"/>
                <w:lang w:eastAsia="en-GB"/>
              </w:rPr>
            </w:pPr>
            <w:r w:rsidRPr="00286731">
              <w:rPr>
                <w:rFonts w:ascii="Abadi" w:eastAsia="Times New Roman" w:hAnsi="Abadi" w:cs="Times New Roman"/>
                <w:b/>
                <w:bCs/>
                <w:sz w:val="24"/>
                <w:szCs w:val="24"/>
                <w:lang w:eastAsia="en-GB"/>
              </w:rPr>
              <w:t>SUBACUTE &amp; CHRONIC CNS INFECTIONS</w:t>
            </w:r>
          </w:p>
        </w:tc>
      </w:tr>
      <w:tr w:rsidR="000A2F76" w:rsidRPr="00286731" w14:paraId="57583430" w14:textId="77777777" w:rsidTr="00247B62">
        <w:tc>
          <w:tcPr>
            <w:tcW w:w="2135" w:type="dxa"/>
            <w:vMerge w:val="restart"/>
          </w:tcPr>
          <w:p w14:paraId="25592CC6"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Tuberculous meningitis </w:t>
            </w:r>
          </w:p>
        </w:tc>
        <w:tc>
          <w:tcPr>
            <w:tcW w:w="1940" w:type="dxa"/>
          </w:tcPr>
          <w:p w14:paraId="69177BD9"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Definite </w:t>
            </w:r>
          </w:p>
        </w:tc>
        <w:tc>
          <w:tcPr>
            <w:tcW w:w="4941" w:type="dxa"/>
          </w:tcPr>
          <w:p w14:paraId="44F71E74" w14:textId="56894B2F"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CSF positive for Mycobacterium tuberculosis (culture/PCR/microscopy) or histology + symptoms </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{"citationID":"v9uSQuKr","properties":{"unsorted":false,"formattedCitation":"[9], [10]","plainCitation":"[9], [10]","noteIndex":0},"citationItems":[{"id":126,"uris":["http://zotero.org/users/local/bYSFHtFY/items/3CVZE64V"],"itemData":{"id":126,"type":"article-journal","container-title":"The Lancet Infectious Diseases","DOI":"10.1016/S1473-3099(10)70138-9","ISSN":"14733099","issue":"11","journalAbbreviation":"The Lancet Infectious Diseases","language":"en","page":"803-812","source":"DOI.org (Crossref)","title":"Tuberculous meningitis: a uniform case definition for use in clinical research","title-short":"Tuberculous meningitis","URL":"https://linkinghub.elsevier.com/retrieve/pii/S1473309910701389","volume":"10","author":[{"family":"Marais","given":"Suzaan"},{"family":"Thwaites","given":"Guy"},{"family":"Schoeman","given":"Johan F"},{"family":"Török","given":"M Estée"},{"family":"Misra","given":"Usha K"},{"family":"Prasad","given":"Kameshwar"},{"family":"Donald","given":"Peter R"},{"family":"Wilkinson","given":"Robert J"},{"family":"Marais","given":"Ben J"}],"accessed":{"date-parts":[["2026",4,3]]},"issued":{"date-parts":[["2010",11]]}}},{"id":331,"uris":["http://zotero.org/users/local/bYSFHtFY/items/YFG2A8Y5"],"itemData":{"id":331,"type":"webpage","abstract":"The “WHO consolidated guidelines on tuberculosis. Module 3: diagnosis” combines the WHO policy guidance on detection of TB infection, disease and drug resistance into a single reference document. Compared to the previous edition, the updated guidelines present new recommendations on concurrent testing of respiratory and non-respiratory samples among people of all ages living with HIV and children without HIV or with unknown HIV status; establish two new classes of TB diagnostic technologies for the initial detection of TB and resistance to rifampicin, and; outline current WHO TB diagnostic class determination and product assessment definitions and pathways","language":"en","title":"WHO consolidated guidelines on tuberculosis: module 3: diagnosis","title-short":"WHO consolidated guidelines on tuberculosis","URL":"https://www.who.int/publications/i/item/9789240107984","author":[{"family":"WHO","given":""}],"accessed":{"date-parts":[["2026",7,19]]},"issued":{"date-parts":[["2025"]]}}}],"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[9], [10]</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74807847" w14:textId="77777777" w:rsidTr="00247B62">
        <w:tc>
          <w:tcPr>
            <w:tcW w:w="2135" w:type="dxa"/>
            <w:vMerge/>
          </w:tcPr>
          <w:p w14:paraId="6DD6EC6D"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p>
        </w:tc>
        <w:tc>
          <w:tcPr>
            <w:tcW w:w="1940" w:type="dxa"/>
          </w:tcPr>
          <w:p w14:paraId="69390D61"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Probable </w:t>
            </w:r>
          </w:p>
        </w:tc>
        <w:tc>
          <w:tcPr>
            <w:tcW w:w="4941" w:type="dxa"/>
          </w:tcPr>
          <w:p w14:paraId="4CC31EC6" w14:textId="47CDF1FF"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Subacute meningitis + CSF lymphocytic pleocytosis, low glucose, high protein ± imaging TB features</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{"citationID":"wqQpyNNr","properties":{"unsorted":false,"formattedCitation":"[9], [10]","plainCitation":"[9], [10]","noteIndex":0},"citationItems":[{"id":126,"uris":["http://zotero.org/users/local/bYSFHtFY/items/3CVZE64V"],"itemData":{"id":126,"type":"article-journal","container-title":"The Lancet Infectious Diseases","DOI":"10.1016/S1473-3099(10)70138-9","ISSN":"14733099","issue":"11","journalAbbreviation":"The Lancet Infectious Diseases","language":"en","page":"803-812","source":"DOI.org (Crossref)","title":"Tuberculous meningitis: a uniform case definition for use in clinical research","title-short":"Tuberculous meningitis","URL":"https://linkinghub.elsevier.com/retrieve/pii/S1473309910701389","volume":"10","author":[{"family":"Marais","given":"Suzaan"},{"family":"Thwaites","given":"Guy"},{"family":"Schoeman","given":"Johan F"},{"family":"Török","given":"M Estée"},{"family":"Misra","given":"Usha K"},{"family":"Prasad","given":"Kameshwar"},{"family":"Donald","given":"Peter R"},{"family":"Wilkinson","given":"Robert J"},{"family":"Marais","given":"Ben J"}],"accessed":{"date-parts":[["2026",4,3]]},"issued":{"date-parts":[["2010",11]]}}},{"id":331,"uris":["http://zotero.org/users/local/bYSFHtFY/items/YFG2A8Y5"],"itemData":{"id":331,"type":"webpage","abstract":"The “WHO consolidated guidelines on tuberculosis. Module 3: diagnosis” combines the WHO policy guidance on detection of TB infection, disease and drug resistance into a single reference document. Compared to the previous edition, the updated guidelines present new recommendations on concurrent testing of respiratory and non-respiratory samples among people of all ages living with HIV and children without HIV or with unknown HIV status; establish two new classes of TB diagnostic technologies for the initial detection of TB and resistance to rifampicin, and; outline current WHO TB diagnostic class determination and product assessment definitions and pathways","language":"en","title":"WHO consolidated guidelines on tuberculosis: module 3: diagnosis","title-short":"WHO consolidated guidelines on tuberculosis","URL":"https://www.who.int/publications/i/item/9789240107984","author":[{"family":"WHO","given":""}],"accessed":{"date-parts":[["2026",7,19]]},"issued":{"date-parts":[["2025"]]}}}],"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[9], [10]</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7CDE55E9" w14:textId="77777777" w:rsidTr="00247B62">
        <w:tc>
          <w:tcPr>
            <w:tcW w:w="2135" w:type="dxa"/>
            <w:vMerge w:val="restart"/>
          </w:tcPr>
          <w:p w14:paraId="7F9340A3"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CNS tuberculoma </w:t>
            </w:r>
          </w:p>
        </w:tc>
        <w:tc>
          <w:tcPr>
            <w:tcW w:w="1940" w:type="dxa"/>
          </w:tcPr>
          <w:p w14:paraId="4F23AF5D"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Definite </w:t>
            </w:r>
          </w:p>
        </w:tc>
        <w:tc>
          <w:tcPr>
            <w:tcW w:w="4941" w:type="dxa"/>
          </w:tcPr>
          <w:p w14:paraId="270B7042" w14:textId="2F892A4D"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Histology or microbiological confirmation + compatible imaging</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{"citationID":"HnIG7vzk","properties":{"unsorted":false,"formattedCitation":"[9], [10]","plainCitation":"[9], [10]","noteIndex":0},"citationItems":[{"id":126,"uris":["http://zotero.org/users/local/bYSFHtFY/items/3CVZE64V"],"itemData":{"id":126,"type":"article-journal","container-title":"The Lancet Infectious Diseases","DOI":"10.1016/S1473-3099(10)70138-9","ISSN":"14733099","issue":"11","journalAbbreviation":"The Lancet Infectious Diseases","language":"en","page":"803-812","source":"DOI.org (Crossref)","title":"Tuberculous meningitis: a uniform case definition for use in clinical research","title-short":"Tuberculous meningitis","URL":"https://linkinghub.elsevier.com/retrieve/pii/S1473309910701389","volume":"10","author":[{"family":"Marais","given":"Suzaan"},{"family":"Thwaites","given":"Guy"},{"family":"Schoeman","given":"Johan F"},{"family":"Török","given":"M Estée"},{"family":"Misra","given":"Usha K"},{"family":"Prasad","given":"Kameshwar"},{"family":"Donald","given":"Peter R"},{"family":"Wilkinson","given":"Robert J"},{"family":"Marais","given":"Ben J"}],"accessed":{"date-parts":[["2026",4,3]]},"issued":{"date-parts":[["2010",11]]}}},{"id":331,"uris":["http://zotero.org/users/local/bYSFHtFY/items/YFG2A8Y5"],"itemData":{"id":331,"type":"webpage","abstract":"The “WHO consolidated guidelines on tuberculosis. Module 3: diagnosis” combines the WHO policy guidance on detection of TB infection, disease and drug resistance into a single reference document. Compared to the previous edition, the updated guidelines present new recommendations on concurrent testing of respiratory and non-respiratory samples among people of all ages living with HIV and children without HIV or with unknown HIV status; establish two new classes of TB diagnostic technologies for the initial detection of TB and resistance to rifampicin, and; outline current WHO TB diagnostic class determination and product assessment definitions and pathways","language":"en","title":"WHO consolidated guidelines on tuberculosis: module 3: diagnosis","title-short":"WHO consolidated guidelines on tuberculosis","URL":"https://www.who.int/publications/i/item/9789240107984","author":[{"family":"WHO","given":""}],"accessed":{"date-parts":[["2026",7,19]]},"issued":{"date-parts":[["2025"]]}}}],"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[9], [10]</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7697F860" w14:textId="77777777" w:rsidTr="00247B62">
        <w:tc>
          <w:tcPr>
            <w:tcW w:w="2135" w:type="dxa"/>
            <w:vMerge/>
          </w:tcPr>
          <w:p w14:paraId="7892C5D9"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p>
        </w:tc>
        <w:tc>
          <w:tcPr>
            <w:tcW w:w="1940" w:type="dxa"/>
          </w:tcPr>
          <w:p w14:paraId="31BD1FED"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Probable </w:t>
            </w:r>
          </w:p>
        </w:tc>
        <w:tc>
          <w:tcPr>
            <w:tcW w:w="4941" w:type="dxa"/>
          </w:tcPr>
          <w:p w14:paraId="3F7E97F2" w14:textId="79745F7C"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Ring-enhancing/nodular lesion compatible with TB</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{"citationID":"AAY2lT4m","properties":{"unsorted":false,"formattedCitation":"[9], [10]","plainCitation":"[9], [10]","noteIndex":0},"citationItems":[{"id":126,"uris":["http://zotero.org/users/local/bYSFHtFY/items/3CVZE64V"],"itemData":{"id":126,"type":"article-journal","container-title":"The Lancet Infectious Diseases","DOI":"10.1016/S1473-3099(10)70138-9","ISSN":"14733099","issue":"11","journalAbbreviation":"The Lancet Infectious Diseases","language":"en","page":"803-812","source":"DOI.org (Crossref)","title":"Tuberculous meningitis: a uniform case definition for use in clinical research","title-short":"Tuberculous meningitis","URL":"https://linkinghub.elsevier.com/retrieve/pii/S1473309910701389","volume":"10","author":[{"family":"Marais","given":"Suzaan"},{"family":"Thwaites","given":"Guy"},{"family":"Schoeman","given":"Johan F"},{"family":"Török","given":"M Estée"},{"family":"Misra","given":"Usha K"},{"family":"Prasad","given":"Kameshwar"},{"family":"Donald","given":"Peter R"},{"family":"Wilkinson","given":"Robert J"},{"family":"Marais","given":"Ben J"}],"accessed":{"date-parts":[["2026",4,3]]},"issued":{"date-parts":[["2010",11]]}}},{"id":331,"uris":["http://zotero.org/users/local/bYSFHtFY/items/YFG2A8Y5"],"itemData":{"id":331,"type":"webpage","abstract":"The “WHO consolidated guidelines on tuberculosis. Module 3: diagnosis” combines the WHO policy guidance on detection of TB infection, disease and drug resistance into a single reference document. Compared to the previous edition, the updated guidelines present new recommendations on concurrent testing of respiratory and non-respiratory samples among people of all ages living with HIV and children without HIV or with unknown HIV status; establish two new classes of TB diagnostic technologies for the initial detection of TB and resistance to rifampicin, and; outline current WHO TB diagnostic class determination and product assessment definitions and pathways","language":"en","title":"WHO consolidated guidelines on tuberculosis: module 3: diagnosis","title-short":"WHO consolidated guidelines on tuberculosis","URL":"https://www.who.int/publications/i/item/9789240107984","author":[{"family":"WHO","given":""}],"accessed":{"date-parts":[["2026",7,19]]},"issued":{"date-parts":[["2025"]]}}}],"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[9], [10]</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753E404F" w14:textId="77777777" w:rsidTr="00247B62">
        <w:tc>
          <w:tcPr>
            <w:tcW w:w="2135" w:type="dxa"/>
            <w:vMerge w:val="restart"/>
          </w:tcPr>
          <w:p w14:paraId="3F20766F"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Spinal TB / tuberculous myelitis </w:t>
            </w:r>
          </w:p>
        </w:tc>
        <w:tc>
          <w:tcPr>
            <w:tcW w:w="1940" w:type="dxa"/>
          </w:tcPr>
          <w:p w14:paraId="5B6C4807"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Definite </w:t>
            </w:r>
          </w:p>
        </w:tc>
        <w:tc>
          <w:tcPr>
            <w:tcW w:w="4941" w:type="dxa"/>
          </w:tcPr>
          <w:p w14:paraId="64142E3A" w14:textId="2E5B067D"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Microbiological or histological confirmation with spinal MRI evidence</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{"citationID":"Vlfs6SGj","properties":{"unsorted":false,"formattedCitation":"[11]","plainCitation":"[11]","noteIndex":0},"citationItems":[{"id":118,"uris":["http://zotero.org/users/local/bYSFHtFY/items/ZIR8SMRW"],"itemData":{"id":118,"type":"article-journal","abstract":"Spinal tuberculosis, a presentation of extrapulmonary tuberculosis, usually presents with chronic back pain or deformity. The diagnosis is often delayed due to the insidious and nonspeciﬁc nature of the initial symptoms. The thoracic spine is more commonly affected, but it can affect other segments or be multisegmental. The site and extent of the lesion will determine the resulting neurological deﬁcits, which can lead to signiﬁcant morbidity and functional impairment. Combination chemotherapy for six months is recommended, but some experts may recommend therapy for 9 to 12 months, depending on the circumstances. Adjunct corticotherapy and surgery are also options in speciﬁc cases. Further studies will be needed in order to better understand the role of these therapies in severe tuberculosis, and in particular spinal tuberculosis.","container-title":"International Journal of  Medical Reviews and Case Reports","DOI":"10.5455/IJMRCR.spinal-tuberculosis","ISSN":"2534-9821","issue":"0","journalAbbreviation":"Int J Med Rev Case Rep","language":"en","license":"http://www.mdpub.net/?sec=licenseinfo","page":"1","source":"DOI.org (Crossref)","title":"Spinal tuberculosis - Treatment options beyond guidelines","URL":"https://ejmanager.com/fulltextpdf.php?mno=75682","author":[{"family":"Cruz","given":"Ines"},{"family":"Ferreira","given":"Pedro"},{"family":"Machado","given":"Sara"},{"family":"Torres","given":"Jo"},{"family":"Miranda","given":"Ana"},{"family":"Antunes","given":"Isabel"}],"accessed":{"date-parts":[["2026",4,3]]},"issued":{"date-parts":[["2020"]]}}}],"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[11]</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756E049E" w14:textId="77777777" w:rsidTr="00247B62">
        <w:tc>
          <w:tcPr>
            <w:tcW w:w="2135" w:type="dxa"/>
            <w:vMerge/>
          </w:tcPr>
          <w:p w14:paraId="7035FD59"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p>
        </w:tc>
        <w:tc>
          <w:tcPr>
            <w:tcW w:w="1940" w:type="dxa"/>
          </w:tcPr>
          <w:p w14:paraId="624539D7"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Probable </w:t>
            </w:r>
          </w:p>
        </w:tc>
        <w:tc>
          <w:tcPr>
            <w:tcW w:w="4941" w:type="dxa"/>
          </w:tcPr>
          <w:p w14:paraId="14C8C659" w14:textId="61191C63"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Myelopathy or compatible spinal cord + vertebral imaging suggestive of TB in endemic setting </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{"citationID":"3ISt1frX","properties":{"unsorted":false,"formattedCitation":"[11]","plainCitation":"[11]","noteIndex":0},"citationItems":[{"id":118,"uris":["http://zotero.org/users/local/bYSFHtFY/items/ZIR8SMRW"],"itemData":{"id":118,"type":"article-journal","abstract":"Spinal tuberculosis, a presentation of extrapulmonary tuberculosis, usually presents with chronic back pain or deformity. The diagnosis is often delayed due to the insidious and nonspeciﬁc nature of the initial symptoms. The thoracic spine is more commonly affected, but it can affect other segments or be multisegmental. The site and extent of the lesion will determine the resulting neurological deﬁcits, which can lead to signiﬁcant morbidity and functional impairment. Combination chemotherapy for six months is recommended, but some experts may recommend therapy for 9 to 12 months, depending on the circumstances. Adjunct corticotherapy and surgery are also options in speciﬁc cases. Further studies will be needed in order to better understand the role of these therapies in severe tuberculosis, and in particular spinal tuberculosis.","container-title":"International Journal of  Medical Reviews and Case Reports","DOI":"10.5455/IJMRCR.spinal-tuberculosis","ISSN":"2534-9821","issue":"0","journalAbbreviation":"Int J Med Rev Case Rep","language":"en","license":"http://www.mdpub.net/?sec=licenseinfo","page":"1","source":"DOI.org (Crossref)","title":"Spinal tuberculosis - Treatment options beyond guidelines","URL":"https://ejmanager.com/fulltextpdf.php?mno=75682","author":[{"family":"Cruz","given":"Ines"},{"family":"Ferreira","given":"Pedro"},{"family":"Machado","given":"Sara"},{"family":"Torres","given":"Jo"},{"family":"Miranda","given":"Ana"},{"family":"Antunes","given":"Isabel"}],"accessed":{"date-parts":[["2026",4,3]]},"issued":{"date-parts":[["2020"]]}}}],"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[11]</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62E62DAE" w14:textId="77777777" w:rsidTr="00247B62">
        <w:tc>
          <w:tcPr>
            <w:tcW w:w="2135" w:type="dxa"/>
            <w:vMerge w:val="restart"/>
          </w:tcPr>
          <w:p w14:paraId="18B41BC2"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Cryptococcal meningitis </w:t>
            </w:r>
          </w:p>
        </w:tc>
        <w:tc>
          <w:tcPr>
            <w:tcW w:w="1940" w:type="dxa"/>
          </w:tcPr>
          <w:p w14:paraId="5099ACC7"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Definite </w:t>
            </w:r>
          </w:p>
        </w:tc>
        <w:tc>
          <w:tcPr>
            <w:tcW w:w="4941" w:type="dxa"/>
          </w:tcPr>
          <w:p w14:paraId="32863D30" w14:textId="12E9E2E5"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CSF cryptococcal antigen, culture, India ink, or PCR positive </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{"citationID":"8pWks8x2","properties":{"unsorted":true,"formattedCitation":"[12], [13], [14]","plainCitation":"[12], [13], [14]","noteIndex":0},"citationItems":[{"id":329,"uris":["http://zotero.org/users/local/bYSFHtFY/items/UQVMZ8PT"],"itemData":{"id":329,"type":"chapter","abstract":"The 2018 WHO recommendations for diagnosing cryptococcal disease remain unchanged (16).","container-title":"Guidelines for Diagnosing, Preventing and Managing Cryptococcal Disease Among Adults, Adolescents and Children Living with HIV [Internet]","language":"en","publisher":"World Health Organization","source":"www.ncbi.nlm.nih.gov","title":"RECOMMENDATIONS ON DIAGNOSING AND PREVENTING CRYPTOCOCCAL DISEASE","URL":"https://www.ncbi.nlm.nih.gov/books/NBK581838/","author":[{"family":"WHO","given":""}],"accessed":{"date-parts":[["2026",7,19]]},"issued":{"date-parts":[["2022"]]}}},{"id":308,"uris":["http://zotero.org/users/local/bYSFHtFY/items/TKNQLPG9"],"itemData":{"id":308,"type":"article-journal","abstract":"The purpose of this review is to provide an overview of central nervous system (CNS) infections in patients living with HIV (PLWH) and to highlight their diverse etiologies, clinical presentations, and diagnostic approaches.","container-title":"Current Tropical Medicine Reports","DOI":"10.1007/s40475-023-00301-z","ISSN":"2196-3045","issue":"4","journalAbbreviation":"Curr Trop Med Rep","language":"en","page":"199-212","source":"Springer Link","title":"CNS Infections in Patients Living with HIV/AIDS","URL":"https://doi.org/10.1007/s40475-023-00301-z","volume":"10","author":[{"family":"Rivera-Villegas","given":"Héctor"},{"family":"Vargas-Morales","given":"María Fernanda"},{"family":"Sierra-Madero","given":"Juan"}],"accessed":{"date-parts":[["2026",6,26]]},"issued":{"date-parts":[["2023",12,1]]}}},{"id":310,"uris":["http://zotero.org/users/local/bYSFHtFY/items/9ADBFZZV"],"itemData":{"id":310,"type":"article-journal","abstract":"Cryptococcosis is a major worldwide disseminated invasive fungal infection. Cryptococcosis, particularly in its most lethal manifestation of cryptococcal meningitis, accounts for substantial mortality and morbidity. The breadth of the clinical cryptococcosis syndromes, the different patient types at-risk and affected, and the vastly disparate resource settings where clinicians practice pose a complex array of challenges. Expert contributors from diverse regions of the world have collated data, reviewed the evidence, and provided insightful guideline recommendations for health practitioners across the globe. This guideline offers updated practical guidance and implementable recommendations on the clinical approaches, screening, diagnosis, management, and follow-up care of a patient with cryptococcosis and serves as a comprehensive synthesis of current evidence on cryptococcosis. This Review seeks to facilitate optimal clinical decision making on cryptococcosis and addresses the myriad of clinical complications by incorporating data from historical and contemporary clinical trials. This guideline is grounded on a set of core management principles, while acknowledging the practical challenges of antifungal access and resource limitations faced by many clinicians and patients. More than 70 societies internationally have endorsed the content, structure, evidence, recommendation, and pragmatic wisdom of this global cryptococcosis guideline to inform clinicians about the past, present, and future of care for a patient with cryptococcosis.","container-title":"The Lancet Infectious Diseases","DOI":"10.1016/S1473-3099(23)00731-4","ISSN":"1473-3099","issue":"8","journalAbbreviation":"The Lancet Infectious Diseases","page":"e495-e512","source":"ScienceDirect","title":"Global guideline for the diagnosis and management of cryptococcosis: an initiative of the ECMM and ISHAM in cooperation with the ASM","title-short":"Global guideline for the diagnosis and management of cryptococcosis","URL":"https://www.sciencedirect.com/science/article/pii/S1473309923007314","volume":"24","author":[{"family":"Chang","given":"Christina C"},{"family":"Harrison","given":"Thomas S"},{"family":"Bicanic","given":"Tihana A"},{"family":"Chayakulkeeree","given":"Methee"},{"family":"Sorrell","given":"Tania C"},{"family":"Warris","given":"Adilia"},{"family":"Hagen","given":"Ferry"},{"family":"Spec","given":"Andrej"},{"family":"Oladele","given":"Rita"},{"family":"Govender","given":"Nelesh P"},{"family":"Chen","given":"Sharon C"},{"family":"Mody","given":"Christopher H"},{"family":"Groll","given":"Andreas H"},{"family":"Chen","given":"Yee-Chun"},{"family":"Lionakis","given":"Michail S"},{"family":"Alanio","given":"Alexandre"},{"family":"Castañeda","given":"Elizabeth"},{"family":"Lizarazo","given":"Jairo"},{"family":"Vidal","given":"José E"},{"family":"Takazono","given":"Takahiro"},{"family":"Hoenigl","given":"Martin"},{"family":"Alffenaar","given":"Jan-Willem"},{"family":"Gangneux","given":"Jean-Pierre"},{"family":"Soman","given":"Rajeev"},{"family":"Zhu","given":"Li-Ping"},{"family":"Bonifaz","given":"Alexandro"},{"family":"Jarvis","given":"Joseph N"},{"family":"Day","given":"Jeremy N"},{"family":"Klimko","given":"Nikolai"},{"family":"Salmanton-García","given":"Jon"},{"family":"Jouvion","given":"Grégory"},{"family":"Meya","given":"David B"},{"family":"Lawrence","given":"David"},{"family":"Rahn","given":"Sebastian"},{"family":"Bongomin","given":"Felix"},{"family":"McMullan","given":"Brendan J"},{"family":"Sprute","given":"Rosanne"},{"family":"Nyazika","given":"Tinashe K"},{"family":"Beardsley","given":"Justin"},{"family":"Carlesse","given":"Fabianne"},{"family":"Heath","given":"Christopher H"},{"family":"Ayanlowo","given":"Olusola O"},{"family":"Mashedi","given":"Olga M"},{"family":"Queiroz-Telles Filho","given":"Flavio"},{"family":"Hosseinipour","given":"Mina C"},{"family":"Patel","given":"Atul K"},{"family":"Temfack","given":"Elvis"},{"family":"Singh","given":"Nina"},{"family":"Cornely","given":"Oliver A"},{"family":"Boulware","given":"David R"},{"family":"Lortholary","given":"Olivier"},{"family":"Pappas","given":"Peter G"},{"family":"Perfect","given":"John R"}],"accessed":{"date-parts":[["2026",6,26]]},"issued":{"date-parts":[["2024",8,1]]}}}],"schema":"https://github.com/citation-style-language/schema/raw/master/csl-citation.json"}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[12], [13], [14]</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 xml:space="preserve"> .</w:t>
            </w:r>
          </w:p>
        </w:tc>
      </w:tr>
      <w:tr w:rsidR="000A2F76" w:rsidRPr="00286731" w14:paraId="0A638532" w14:textId="77777777" w:rsidTr="00247B62">
        <w:tc>
          <w:tcPr>
            <w:tcW w:w="2135" w:type="dxa"/>
            <w:vMerge/>
          </w:tcPr>
          <w:p w14:paraId="337364D9"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p>
        </w:tc>
        <w:tc>
          <w:tcPr>
            <w:tcW w:w="1940" w:type="dxa"/>
          </w:tcPr>
          <w:p w14:paraId="6CF09D3D"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Probable </w:t>
            </w:r>
          </w:p>
        </w:tc>
        <w:tc>
          <w:tcPr>
            <w:tcW w:w="4941" w:type="dxa"/>
          </w:tcPr>
          <w:p w14:paraId="65CD2724" w14:textId="787049BA"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Chronic meningitis + elevated opening pressure + serum cryptococcal antigen positive</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{"citationID":"cSyqtTEk","properties":{"unsorted":true,"formattedCitation":"[12], [13], [14]","plainCitation":"[12], [13], [14]","noteIndex":0},"citationItems":[{"id":329,"uris":["http://zotero.org/users/local/bYSFHtFY/items/UQVMZ8PT"],"itemData":{"id":329,"type":"chapter","abstract":"The 2018 WHO recommendations for diagnosing cryptococcal disease remain unchanged (16).","container-title":"Guidelines for Diagnosing, Preventing and Managing Cryptococcal Disease Among Adults, Adolescents and Children Living with HIV [Internet]","language":"en","publisher":"World Health Organization","source":"www.ncbi.nlm.nih.gov","title":"RECOMMENDATIONS ON DIAGNOSING AND PREVENTING CRYPTOCOCCAL DISEASE","URL":"https://www.ncbi.nlm.nih.gov/books/NBK581838/","author":[{"family":"WHO","given":""}],"accessed":{"date-parts":[["2026",7,19]]},"issued":{"date-parts":[["2022"]]}}},{"id":308,"uris":["http://zotero.org/users/local/bYSFHtFY/items/TKNQLPG9"],"itemData":{"id":308,"type":"article-journal","abstract":"The purpose of this review is to provide an overview of central nervous system (CNS) infections in patients living with HIV (PLWH) and to highlight their diverse etiologies, clinical presentations, and diagnostic approaches.","container-title":"Current Tropical Medicine Reports","DOI":"10.1007/s40475-023-00301-z","ISSN":"2196-3045","issue":"4","journalAbbreviation":"Curr Trop Med Rep","language":"en","page":"199-212","source":"Springer Link","title":"CNS Infections in Patients Living with HIV/AIDS","URL":"https://doi.org/10.1007/s40475-023-00301-z","volume":"10","author":[{"family":"Rivera-Villegas","given":"Héctor"},{"family":"Vargas-Morales","given":"María Fernanda"},{"family":"Sierra-Madero","given":"Juan"}],"accessed":{"date-parts":[["2026",6,26]]},"issued":{"date-parts":[["2023",12,1]]}}},{"id":310,"uris":["http://zotero.org/users/local/bYSFHtFY/items/9ADBFZZV"],"itemData":{"id":310,"type":"article-journal","abstract":"Cryptococcosis is a major worldwide disseminated invasive fungal infection. Cryptococcosis, particularly in its most lethal manifestation of cryptococcal meningitis, accounts for substantial mortality and morbidity. The breadth of the clinical cryptococcosis syndromes, the different patient types at-risk and affected, and the vastly disparate resource settings where clinicians practice pose a complex array of challenges. Expert contributors from diverse regions of the world have collated data, reviewed the evidence, and provided insightful guideline recommendations for health practitioners across the globe. This guideline offers updated practical guidance and implementable recommendations on the clinical approaches, screening, diagnosis, management, and follow-up care of a patient with cryptococcosis and serves as a comprehensive synthesis of current evidence on cryptococcosis. This Review seeks to facilitate optimal clinical decision making on cryptococcosis and addresses the myriad of clinical complications by incorporating data from historical and contemporary clinical trials. This guideline is grounded on a set of core management principles, while acknowledging the practical challenges of antifungal access and resource limitations faced by many clinicians and patients. More than 70 societies internationally have endorsed the content, structure, evidence, recommendation, and pragmatic wisdom of this global cryptococcosis guideline to inform clinicians about the past, present, and future of care for a patient with cryptococcosis.","container-title":"The Lancet Infectious Diseases","DOI":"10.1016/S1473-3099(23)00731-4","ISSN":"1473-3099","issue":"8","journalAbbreviation":"The Lancet Infectious Diseases","page":"e495-e512","source":"ScienceDirect","title":"Global guideline for the diagnosis and management of cryptococcosis: an initiative of the ECMM and ISHAM in cooperation with the ASM","title-short":"Global guideline for the diagnosis and management of cryptococcosis","URL":"https://www.sciencedirect.com/science/article/pii/S1473309923007314","volume":"24","author":[{"family":"Chang","given":"Christina C"},{"family":"Harrison","given":"Thomas S"},{"family":"Bicanic","given":"Tihana A"},{"family":"Chayakulkeeree","given":"Methee"},{"family":"Sorrell","given":"Tania C"},{"family":"Warris","given":"Adilia"},{"family":"Hagen","given":"Ferry"},{"family":"Spec","given":"Andrej"},{"family":"Oladele","given":"Rita"},{"family":"Govender","given":"Nelesh P"},{"family":"Chen","given":"Sharon C"},{"family":"Mody","given":"Christopher H"},{"family":"Groll","given":"Andreas H"},{"family":"Chen","given":"Yee-Chun"},{"family":"Lionakis","given":"Michail S"},{"family":"Alanio","given":"Alexandre"},{"family":"Castañeda","given":"Elizabeth"},{"family":"Lizarazo","given":"Jairo"},{"family":"Vidal","given":"José E"},{"family":"Takazono","given":"Takahiro"},{"family":"Hoenigl","given":"Martin"},{"family":"Alffenaar","given":"Jan-Willem"},{"family":"Gangneux","given":"Jean-Pierre"},{"family":"Soman","given":"Rajeev"},{"family":"Zhu","given":"Li-Ping"},{"family":"Bonifaz","given":"Alexandro"},{"family":"Jarvis","given":"Joseph N"},{"family":"Day","given":"Jeremy N"},{"family":"Klimko","given":"Nikolai"},{"family":"Salmanton-García","given":"Jon"},{"family":"Jouvion","given":"Grégory"},{"family":"Meya","given":"David B"},{"family":"Lawrence","given":"David"},{"family":"Rahn","given":"Sebastian"},{"family":"Bongomin","given":"Felix"},{"family":"McMullan","given":"Brendan J"},{"family":"Sprute","given":"Rosanne"},{"family":"Nyazika","given":"Tinashe K"},{"family":"Beardsley","given":"Justin"},{"family":"Carlesse","given":"Fabianne"},{"family":"Heath","given":"Christopher H"},{"family":"Ayanlowo","given":"Olusola O"},{"family":"Mashedi","given":"Olga M"},{"family":"Queiroz-Telles Filho","given":"Flavio"},{"family":"Hosseinipour","given":"Mina C"},{"family":"Patel","given":"Atul K"},{"family":"Temfack","given":"Elvis"},{"family":"Singh","given":"Nina"},{"family":"Cornely","given":"Oliver A"},{"family":"Boulware","given":"David R"},{"family":"Lortholary","given":"Olivier"},{"family":"Pappas","given":"Peter G"},{"family":"Perfect","given":"John R"}],"accessed":{"date-parts":[["2026",6,26]]},"issued":{"date-parts":[["2024",8,1]]}}}],"schema":"https://github.com/citation-style-language/schema/raw/master/csl-citation.json"}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[12], [13], [14]</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42AD8EDE" w14:textId="77777777" w:rsidTr="00247B62">
        <w:tc>
          <w:tcPr>
            <w:tcW w:w="2135" w:type="dxa"/>
            <w:vMerge w:val="restart"/>
          </w:tcPr>
          <w:p w14:paraId="26F97EF8"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Cerebral toxoplasmosis </w:t>
            </w:r>
          </w:p>
        </w:tc>
        <w:tc>
          <w:tcPr>
            <w:tcW w:w="1940" w:type="dxa"/>
          </w:tcPr>
          <w:p w14:paraId="4C88C596"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Definite </w:t>
            </w:r>
          </w:p>
        </w:tc>
        <w:tc>
          <w:tcPr>
            <w:tcW w:w="4941" w:type="dxa"/>
          </w:tcPr>
          <w:p w14:paraId="3610EEFF" w14:textId="65A021DC"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CSF or tissue PCR/histology positive</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{"citationID":"9RPkaks4","properties":{"unsorted":false,"formattedCitation":"[13]","plainCitation":"[13]","noteIndex":0},"citationItems":[{"id":308,"uris":["http://zotero.org/users/local/bYSFHtFY/items/TKNQLPG9"],"itemData":{"id":308,"type":"article-journal","abstract":"The purpose of this review is to provide an overview of central nervous system (CNS) infections in patients living with HIV (PLWH) and to highlight their diverse etiologies, clinical presentations, and diagnostic approaches.","container-title":"Current Tropical Medicine Reports","DOI":"10.1007/s40475-023-00301-z","ISSN":"2196-3045","issue":"4","journalAbbreviation":"Curr Trop Med Rep","language":"en","page":"199-212","source":"Springer Link","title":"CNS Infections in Patients Living with HIV/AIDS","URL":"https://doi.org/10.1007/s40475-023-00301-z","volume":"10","author":[{"family":"Rivera-Villegas","given":"Héctor"},{"family":"Vargas-Morales","given":"María Fernanda"},{"family":"Sierra-Madero","given":"Juan"}],"accessed":{"date-parts":[["2026",6,26]]},"issued":{"date-parts":[["2023",12,1]]}}}],"schema":"https://github.com/citation-style-language/schema/raw/master/csl-citation.json"}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[13]</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43B867A1" w14:textId="77777777" w:rsidTr="00247B62">
        <w:tc>
          <w:tcPr>
            <w:tcW w:w="2135" w:type="dxa"/>
            <w:vMerge/>
          </w:tcPr>
          <w:p w14:paraId="174EB983"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p>
        </w:tc>
        <w:tc>
          <w:tcPr>
            <w:tcW w:w="1940" w:type="dxa"/>
          </w:tcPr>
          <w:p w14:paraId="422F886B"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Probable </w:t>
            </w:r>
          </w:p>
        </w:tc>
        <w:tc>
          <w:tcPr>
            <w:tcW w:w="4941" w:type="dxa"/>
          </w:tcPr>
          <w:p w14:paraId="349142B2" w14:textId="587FDD4D"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HIV + CD4 &lt;100 + multiple ring-enhancing lesions + therapeutic response</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{"citationID":"Yd8CRl1Q","properties":{"unsorted":false,"formattedCitation":"[13]","plainCitation":"[13]","noteIndex":0},"citationItems":[{"id":308,"uris":["http://zotero.org/users/local/bYSFHtFY/items/TKNQLPG9"],"itemData":{"id":308,"type":"article-journal","abstract":"The purpose of this review is to provide an overview of central nervous system (CNS) infections in patients living with HIV (PLWH) and to highlight their diverse etiologies, clinical presentations, and diagnostic approaches.","container-title":"Current Tropical Medicine Reports","DOI":"10.1007/s40475-023-00301-z","ISSN":"2196-3045","issue":"4","journalAbbreviation":"Curr Trop Med Rep","language":"en","page":"199-212","source":"Springer Link","title":"CNS Infections in Patients Living with HIV/AIDS","URL":"https://doi.org/10.1007/s40475-023-00301-z","volume":"10","author":[{"family":"Rivera-Villegas","given":"Héctor"},{"family":"Vargas-Morales","given":"María Fernanda"},{"family":"Sierra-Madero","given":"Juan"}],"accessed":{"date-parts":[["2026",6,26]]},"issued":{"date-parts":[["2023",12,1]]}}}],"schema":"https://github.com/citation-style-language/schema/raw/master/csl-citation.json"}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[13]</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75B1D081" w14:textId="77777777" w:rsidTr="00247B62">
        <w:tc>
          <w:tcPr>
            <w:tcW w:w="2135" w:type="dxa"/>
            <w:vMerge w:val="restart"/>
          </w:tcPr>
          <w:p w14:paraId="146C5179"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Neurosyphilis </w:t>
            </w:r>
          </w:p>
        </w:tc>
        <w:tc>
          <w:tcPr>
            <w:tcW w:w="1940" w:type="dxa"/>
          </w:tcPr>
          <w:p w14:paraId="1A7E5B76"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Definite </w:t>
            </w:r>
          </w:p>
        </w:tc>
        <w:tc>
          <w:tcPr>
            <w:tcW w:w="4941" w:type="dxa"/>
          </w:tcPr>
          <w:p w14:paraId="7C8782CC" w14:textId="3E03A182"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CSF VDRL or treponemal test positive</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{"citationID":"e5vqmU3x","properties":{"unsorted":false,"formattedCitation":"[15]","plainCitation":"[15]","noteIndex":0},"citationItems":[{"id":312,"uris":["http://zotero.org/users/local/bYSFHtFY/items/P8NIXNMG"],"itemData":{"id":312,"type":"webpage","container-title":"New England Journal of Medicine","DOI":"DOI: 10.1056/NEJMra1906228","title":"Neurosyphilis","URL":"https://www.nejm.org/doi/full/10.1056/NEJMra1906228","author":[{"family":"Ropper","given":"allan H."}],"accessed":{"date-parts":[["2026",6,26]]},"issued":{"date-parts":[["2019"]]}}}],"schema":"https://github.com/citation-style-language/schema/raw/master/csl-citation.json"}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[15]</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 xml:space="preserve"> .</w:t>
            </w:r>
          </w:p>
        </w:tc>
      </w:tr>
      <w:tr w:rsidR="000A2F76" w:rsidRPr="00286731" w14:paraId="567222C4" w14:textId="77777777" w:rsidTr="00247B62">
        <w:tc>
          <w:tcPr>
            <w:tcW w:w="2135" w:type="dxa"/>
            <w:vMerge/>
          </w:tcPr>
          <w:p w14:paraId="4198E391"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p>
        </w:tc>
        <w:tc>
          <w:tcPr>
            <w:tcW w:w="1940" w:type="dxa"/>
          </w:tcPr>
          <w:p w14:paraId="215F1183"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Probable </w:t>
            </w:r>
          </w:p>
        </w:tc>
        <w:tc>
          <w:tcPr>
            <w:tcW w:w="4941" w:type="dxa"/>
          </w:tcPr>
          <w:p w14:paraId="572F8E47" w14:textId="2D5BB5FB"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Serum treponemal positivity + neurological symptoms + CSF abnormalities </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{"citationID":"bPdhhP4M","properties":{"unsorted":false,"formattedCitation":"[15]","plainCitation":"[15]","noteIndex":0},"citationItems":[{"id":312,"uris":["http://zotero.org/users/local/bYSFHtFY/items/P8NIXNMG"],"itemData":{"id":312,"type":"webpage","container-title":"New England Journal of Medicine","DOI":"DOI: 10.1056/NEJMra1906228","title":"Neurosyphilis","URL":"https://www.nejm.org/doi/full/10.1056/NEJMra1906228","author":[{"family":"Ropper","given":"allan H."}],"accessed":{"date-parts":[["2026",6,26]]},"issued":{"date-parts":[["2019"]]}}}],"schema":"https://github.com/citation-style-language/schema/raw/master/csl-citation.json"}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[15]</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4989545D" w14:textId="77777777" w:rsidTr="00247B62">
        <w:tc>
          <w:tcPr>
            <w:tcW w:w="2135" w:type="dxa"/>
            <w:vMerge w:val="restart"/>
          </w:tcPr>
          <w:p w14:paraId="73ACA566"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proofErr w:type="spellStart"/>
            <w:r w:rsidRPr="00286731">
              <w:rPr>
                <w:rFonts w:ascii="Abadi" w:eastAsia="Times New Roman" w:hAnsi="Abadi" w:cs="Times New Roman"/>
                <w:sz w:val="24"/>
                <w:szCs w:val="24"/>
                <w:lang w:eastAsia="en-GB"/>
              </w:rPr>
              <w:t>Neuroschistosomiasis</w:t>
            </w:r>
            <w:proofErr w:type="spellEnd"/>
            <w:r w:rsidRPr="00286731">
              <w:rPr>
                <w:rFonts w:ascii="Abadi" w:eastAsia="Times New Roman" w:hAnsi="Abadi" w:cs="Times New Roman"/>
                <w:sz w:val="24"/>
                <w:szCs w:val="24"/>
                <w:lang w:eastAsia="en-GB"/>
              </w:rPr>
              <w:t xml:space="preserve"> </w:t>
            </w:r>
          </w:p>
        </w:tc>
        <w:tc>
          <w:tcPr>
            <w:tcW w:w="1940" w:type="dxa"/>
          </w:tcPr>
          <w:p w14:paraId="41521EFC"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Definite </w:t>
            </w:r>
          </w:p>
        </w:tc>
        <w:tc>
          <w:tcPr>
            <w:tcW w:w="4941" w:type="dxa"/>
          </w:tcPr>
          <w:p w14:paraId="067B76CD" w14:textId="322677E3"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CNS tissue/CSF confirmation of Schistosoma</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vkm4E7bX","properties":{"unsorted":false,"formattedCitation":"[16]","plainCitation":"[16]","noteIndex":0},"citationItems":[{"id":110,"uris":["http://zotero.org/users/local/bYSFHtFY/items/Z2EQASQY"],"itemData":{"id":110,"type":"article","abstract":"Neuroschistosomiasis, a severe neurological manifestation of schistosomiasis caused by parasitic trematodes of Schistosoma, represents a significant yet often overlooked public health challenge, particularly in tropical and subtropical regions. Characterized by the invasion of the central nervous system by Schistosoma larvae, neuroschistosomiasis can lead to a wide range of neurological complications, including motor dysfunction, cognitive impairment, seizures, and even paralysis. Despite its devastating impact on affected individuals, neuroschistosomiasis remains underdiagnosed and underreported, primarily due to limited awareness among healthcare professionals and the complexity of its clinical presentation. Early recognition and timely intervention are paramount in mitigating the neurological sequelae of neuroschistosomiasis. Improved diagnostic tools and surveillance systems are needed to facilitate accurate diagnosis and prompt treatment initiation. Furthermore, there is a critical need for further research to better understand epidemiology, pathophysiology, and optimal management strategies for neuroschistosomiasis. Integrating neuroschistosomiasis into existing schistosomiasis control programs, strengthening healthcare infrastructure in endemic areas, and fostering interdisciplinary collaboration among healthcare professionals, researchers, policymakers, and community stakeholders are essential to addressing this neglected tropical disease.","DOI":"10.20944/preprints202412.0822.v1","language":"en","license":"http://creativecommons.org/licenses/by/4.0","publisher":"Medicine and Pharmacology","source":"DOI.org (Crossref)","title":"Neuroschistosomiasis: A Narrative Review of a Multifaceted Nature of a Neglected Tropical Disease","title-short":"Neuroschistosomiasis","URL":"https://www.preprints.org/manuscript/202412.0822/v1","author":[{"family":"Pitton Rissardo","given":"Jamir"},{"family":"Byroju","given":"Vishnu Vardhan"},{"family":"Fornari Caprara","given":"Ana Leticia"}],"accessed":{"date-parts":[["2026",4,3]]},"issued":{"date-parts":[["2024",12,10]]}}}],"schema":"https://github.com/citation-style-language/schema/raw/master/csl-citation.json"}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[16]</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7F5F635F" w14:textId="77777777" w:rsidTr="00247B62">
        <w:tc>
          <w:tcPr>
            <w:tcW w:w="2135" w:type="dxa"/>
            <w:vMerge/>
          </w:tcPr>
          <w:p w14:paraId="34764EF9"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p>
        </w:tc>
        <w:tc>
          <w:tcPr>
            <w:tcW w:w="1940" w:type="dxa"/>
          </w:tcPr>
          <w:p w14:paraId="39C08278"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Probable </w:t>
            </w:r>
          </w:p>
        </w:tc>
        <w:tc>
          <w:tcPr>
            <w:tcW w:w="4941" w:type="dxa"/>
          </w:tcPr>
          <w:p w14:paraId="295A1188" w14:textId="7DF185A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Compatible neuroimaging + systemic schistosomiasis evidence </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fuqMyZdV","properties":{"unsorted":false,"formattedCitation":"[16]","plainCitation":"[16]","noteIndex":0},"citationItems":[{"id":110,"uris":["http://zotero.org/users/local/bYSFHtFY/items/Z2EQASQY"],"itemData":{"id":110,"type":"article","abstract":"Neuroschistosomiasis, a severe neurological manifestation of schistosomiasis caused by parasitic trematodes of Schistosoma, represents a significant yet often overlooked public health challenge, particularly in tropical and subtropical regions. Characterized by the invasion of the central nervous system by Schistosoma larvae, neuroschistosomiasis can lead to a wide range of neurological complications, including motor dysfunction, cognitive impairment, seizures, and even paralysis. Despite its devastating impact on affected individuals, neuroschistosomiasis remains underdiagnosed and underreported, primarily due to limited awareness among healthcare professionals and the complexity of its clinical presentation. Early recognition and timely intervention are paramount in mitigating the neurological sequelae of neuroschistosomiasis. Improved diagnostic tools and surveillance systems are needed to facilitate accurate diagnosis and prompt treatment initiation. Furthermore, there is a critical need for further research to better understand epidemiology, pathophysiology, and optimal management strategies for neuroschistosomiasis. Integrating neuroschistosomiasis into existing schistosomiasis control programs, strengthening healthcare infrastructure in endemic areas, and fostering interdisciplinary collaboration among healthcare professionals, researchers, policymakers, and community stakeholders are essential to addressing this neglected tropical disease.","DOI":"10.20944/preprints202412.0822.v1","language":"en","license":"http://creativecommons.org/licenses/by/4.0","publisher":"Medicine and Pharmacology","source":"DOI.org (Crossref)","title":"Neuroschistosomiasis: A Narrative Review of a Multifaceted Nature of a Neglected Tropical Disease","title-short":"Neuroschistosomiasis","URL":"https://www.preprints.org/manuscript/202412.0822/v1","author":[{"family":"Pitton Rissardo","given":"Jamir"},{"family":"Byroju","given":"Vishnu Vardhan"},{"family":"Fornari Caprara","given":"Ana Leticia"}],"accessed":{"date-parts":[["2026",4,3]]},"issued":{"date-parts":[["2024",12,10]]}}}],"schema":"https://github.com/citation-style-language/schema/raw/master/csl-citation.json"}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[16]</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4EF97E09" w14:textId="77777777" w:rsidTr="00247B62">
        <w:tc>
          <w:tcPr>
            <w:tcW w:w="2135" w:type="dxa"/>
            <w:vMerge w:val="restart"/>
          </w:tcPr>
          <w:p w14:paraId="097432F8"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Neurocysticercosis </w:t>
            </w:r>
          </w:p>
        </w:tc>
        <w:tc>
          <w:tcPr>
            <w:tcW w:w="1940" w:type="dxa"/>
          </w:tcPr>
          <w:p w14:paraId="49D40685"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Definite </w:t>
            </w:r>
          </w:p>
        </w:tc>
        <w:tc>
          <w:tcPr>
            <w:tcW w:w="4941" w:type="dxa"/>
          </w:tcPr>
          <w:p w14:paraId="660AFF85" w14:textId="14BBC792"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Scolex on imaging or histology confirmation</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RPamEZKz","properties":{"unsorted":false,"formattedCitation":"[17]","plainCitation":"[17]","noteIndex":0},"citationItems":[{"id":250,"uris":["http://zotero.org/users/local/bYSFHtFY/items/GEP6SH3E"],"itemData":{"id":250,"type":"article-journal","abstract":"Background\nA unified set of criteria for neurocysticercosis (NCC) has helped to standardize its diagnosis in different settings.\nMethods\nCysticercosis experts were convened to update current diagnostic criteria for NCC according to two principles: neuroimaging studies are essential for diagnosis, and all other information provides indirect evidence favoring the diagnosis. Recent diagnostic advances were incorporated to this revised set.\nResults\nThis revised set is structured in absolute, neuroimaging and clinical/exposure criteria. Absolute criteria include: histological confirmation of parasites, evidence of subretinal cysts, and demonstration of the scolex within a cyst. Neuroimaging criteria are categorized as major (cystic lesions without scolex, enhancing lesions, multilobulated cysts, and calcifications), confirmative (resolution of cysts after cysticidal drug therapy, spontaneous resolution of single enhancing lesions, and migrating ventricular cysts on sequential neuroimaging studies) and minor (hydrocephalus and leptomeningeal enhancement). Clinical/exposure criteria include: detection of anticysticercal antibodies or cysticercal antigens by well-standardized tests, systemic cysticercosis, evidence of a household Taenia carrier, suggestive clinical manifestations, and residency in endemic areas. Besides patients having absolute criteria, definitive diagnosis can be made in those having two major neuroimaging criteria (or one major plus one confirmative criteria) plus exposure. For patients presenting with one major and one minor neuroimaging criteria plus exposure, definitive diagnosis of NCC requires the exclusion of confounding pathologies. Probable diagnosis is reserved for individuals presenting with one neuroimaging criteria plus strong evidence of exposure.\nConclusions\nThis revised set of diagnostic criteria provides simpler definitions and may facilitate its more uniform and widespread applicability in different scenarios.","container-title":"Journal of the Neurological Sciences","DOI":"10.1016/j.jns.2016.11.045","ISSN":"0022-510X","journalAbbreviation":"Journal of the Neurological Sciences","page":"202-210","source":"ScienceDirect","title":"Revised diagnostic criteria for neurocysticercosis","URL":"https://www.sciencedirect.com/science/article/pii/S0022510X16307481","volume":"372","author":[{"family":"Del Brutto","given":"O. H."},{"family":"Nash","given":"T. E."},{"family":"White","given":"A. C."},{"family":"Rajshekhar","given":"V."},{"family":"Wilkins","given":"P. P."},{"family":"Singh","given":"G."},{"family":"Vasquez","given":"C. M."},{"family":"Salgado","given":"P."},{"family":"Gilman","given":"R. H."},{"family":"Garcia","given":"H. H."}],"accessed":{"date-parts":[["2026",4,7]]},"issued":{"date-parts":[["2017",1,15]]}}}],"schema":"https://github.com/citation-style-language/schema/raw/master/csl-citation.json"}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[17]</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3365E358" w14:textId="77777777" w:rsidTr="00247B62">
        <w:tc>
          <w:tcPr>
            <w:tcW w:w="2135" w:type="dxa"/>
            <w:vMerge/>
          </w:tcPr>
          <w:p w14:paraId="54650E9D"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p>
        </w:tc>
        <w:tc>
          <w:tcPr>
            <w:tcW w:w="1940" w:type="dxa"/>
          </w:tcPr>
          <w:p w14:paraId="43EE73BA" w14:textId="77777777"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Probable </w:t>
            </w:r>
          </w:p>
        </w:tc>
        <w:tc>
          <w:tcPr>
            <w:tcW w:w="4941" w:type="dxa"/>
          </w:tcPr>
          <w:p w14:paraId="2DDA867B" w14:textId="4F545151" w:rsidR="000A2F76" w:rsidRPr="00286731" w:rsidRDefault="000A2F76" w:rsidP="00247B62">
            <w:pPr>
              <w:spacing w:before="100" w:beforeAutospacing="1" w:after="100" w:afterAutospacing="1" w:line="360" w:lineRule="auto"/>
              <w:rPr>
                <w:rFonts w:ascii="Abadi" w:eastAsia="Times New Roman" w:hAnsi="Abadi" w:cs="Times New Roman"/>
                <w:sz w:val="24"/>
                <w:szCs w:val="24"/>
                <w:lang w:eastAsia="en-GB"/>
              </w:rPr>
            </w:pPr>
            <w:r w:rsidRPr="00286731">
              <w:rPr>
                <w:rFonts w:ascii="Abadi" w:eastAsia="Times New Roman" w:hAnsi="Abadi" w:cs="Times New Roman"/>
                <w:sz w:val="24"/>
                <w:szCs w:val="24"/>
                <w:lang w:eastAsia="en-GB"/>
              </w:rPr>
              <w:t xml:space="preserve"> Compatible imaging lesions in endemic context + neurological syndrome</w:t>
            </w:r>
            <w:r w:rsidRPr="00286731">
              <w:rPr>
                <w:rFonts w:ascii="Abadi" w:eastAsia="Times New Roman" w:hAnsi="Abadi" w:cs="Times New Roman"/>
                <w:sz w:val="24"/>
                <w:szCs w:val="24"/>
                <w:lang w:eastAsia="en-GB"/>
              </w:rPr>
              <w:fldChar w:fldCharType="begin"/>
            </w:r>
            <w:r w:rsidR="0041074C">
              <w:rPr>
                <w:rFonts w:ascii="Abadi" w:eastAsia="Times New Roman" w:hAnsi="Abadi" w:cs="Times New Roman"/>
                <w:sz w:val="24"/>
                <w:szCs w:val="24"/>
                <w:lang w:eastAsia="en-GB"/>
              </w:rPr>
              <w:instrText xml:space="preserve"> ADDIN ZOTERO_ITEM CSL_CITATION {"citationID":"nZtaZ8QO","properties":{"unsorted":false,"formattedCitation":"[17]","plainCitation":"[17]","noteIndex":0},"citationItems":[{"id":250,"uris":["http://zotero.org/users/local/bYSFHtFY/items/GEP6SH3E"],"itemData":{"id":250,"type":"article-journal","abstract":"Background\nA unified set of criteria for neurocysticercosis (NCC) has helped to standardize its diagnosis in different settings.\nMethods\nCysticercosis experts were convened to update current diagnostic criteria for NCC according to two principles: neuroimaging studies are essential for diagnosis, and all other information provides indirect evidence favoring the diagnosis. Recent diagnostic advances were incorporated to this revised set.\nResults\nThis revised set is structured in absolute, neuroimaging and clinical/exposure criteria. Absolute criteria include: histological confirmation of parasites, evidence of subretinal cysts, and demonstration of the scolex within a cyst. Neuroimaging criteria are categorized as major (cystic lesions without scolex, enhancing lesions, multilobulated cysts, and calcifications), confirmative (resolution of cysts after cysticidal drug therapy, spontaneous resolution of single enhancing lesions, and migrating ventricular cysts on sequential neuroimaging studies) and minor (hydrocephalus and leptomeningeal enhancement). Clinical/exposure criteria include: detection of anticysticercal antibodies or cysticercal antigens by well-standardized tests, systemic cysticercosis, evidence of a household Taenia carrier, suggestive clinical manifestations, and residency in endemic areas. Besides patients having absolute criteria, definitive diagnosis can be made in those having two major neuroimaging criteria (or one major plus one confirmative criteria) plus exposure. For patients presenting with one major and one minor neuroimaging criteria plus exposure, definitive diagnosis of NCC requires the exclusion of confounding pathologies. Probable diagnosis is reserved for individuals presenting with one neuroimaging criteria plus strong evidence of exposure.\nConclusions\nThis revised set of diagnostic criteria provides simpler definitions and may facilitate its more uniform and widespread applicability in different scenarios.","container-title":"Journal of the Neurological Sciences","DOI":"10.1016/j.jns.2016.11.045","ISSN":"0022-510X","journalAbbreviation":"Journal of the Neurological Sciences","page":"202-210","source":"ScienceDirect","title":"Revised diagnostic criteria for neurocysticercosis","URL":"https://www.sciencedirect.com/science/article/pii/S0022510X16307481","volume":"372","author":[{"family":"Del Brutto","given":"O. H."},{"family":"Nash","given":"T. E."},{"family":"White","given":"A. C."},{"family":"Rajshekhar","given":"V."},{"family":"Wilkins","given":"P. P."},{"family":"Singh","given":"G."},{"family":"Vasquez","given":"C. M."},{"family":"Salgado","given":"P."},{"family":"Gilman","given":"R. H."},{"family":"Garcia","given":"H. H."}],"accessed":{"date-parts":[["2026",4,7]]},"issued":{"date-parts":[["2017",1,15]]}}}],"schema":"https://github.com/citation-style-language/schema/raw/master/csl-citation.json"} </w:instrText>
            </w:r>
            <w:r w:rsidRPr="00286731">
              <w:rPr>
                <w:rFonts w:ascii="Abadi" w:eastAsia="Times New Roman" w:hAnsi="Abadi" w:cs="Times New Roman"/>
                <w:sz w:val="24"/>
                <w:szCs w:val="24"/>
                <w:lang w:eastAsia="en-GB"/>
              </w:rPr>
              <w:fldChar w:fldCharType="separate"/>
            </w:r>
            <w:r w:rsidR="0041074C" w:rsidRPr="0041074C">
              <w:rPr>
                <w:rFonts w:ascii="Abadi" w:hAnsi="Abadi"/>
                <w:sz w:val="24"/>
              </w:rPr>
              <w:t>[17]</w:t>
            </w:r>
            <w:r w:rsidRPr="00286731">
              <w:rPr>
                <w:rFonts w:ascii="Abadi" w:eastAsia="Times New Roman" w:hAnsi="Abadi" w:cs="Times New Roman"/>
                <w:sz w:val="24"/>
                <w:szCs w:val="24"/>
                <w:lang w:eastAsia="en-GB"/>
              </w:rPr>
              <w:fldChar w:fldCharType="end"/>
            </w:r>
            <w:r w:rsidRPr="00286731">
              <w:rPr>
                <w:rFonts w:ascii="Abadi" w:eastAsia="Times New Roman" w:hAnsi="Abadi" w:cs="Times New Roman"/>
                <w:sz w:val="24"/>
                <w:szCs w:val="24"/>
                <w:lang w:eastAsia="en-GB"/>
              </w:rPr>
              <w:t>.</w:t>
            </w:r>
          </w:p>
        </w:tc>
      </w:tr>
      <w:tr w:rsidR="000A2F76" w:rsidRPr="00286731" w14:paraId="1FAB1DA3" w14:textId="77777777" w:rsidTr="00247B62">
        <w:tc>
          <w:tcPr>
            <w:tcW w:w="2135" w:type="dxa"/>
          </w:tcPr>
          <w:p w14:paraId="66CF6575" w14:textId="77777777" w:rsidR="000A2F76" w:rsidRPr="00286731" w:rsidRDefault="000A2F76" w:rsidP="00247B62">
            <w:pPr>
              <w:spacing w:line="360" w:lineRule="auto"/>
              <w:rPr>
                <w:rFonts w:ascii="Abadi" w:eastAsia="Times New Roman" w:hAnsi="Abadi" w:cs="Times New Roman"/>
                <w:sz w:val="24"/>
                <w:szCs w:val="24"/>
                <w:lang w:eastAsia="en-GB"/>
              </w:rPr>
            </w:pPr>
          </w:p>
        </w:tc>
        <w:tc>
          <w:tcPr>
            <w:tcW w:w="1940" w:type="dxa"/>
          </w:tcPr>
          <w:p w14:paraId="3D742613" w14:textId="77777777" w:rsidR="000A2F76" w:rsidRPr="00286731" w:rsidRDefault="000A2F76" w:rsidP="00247B62">
            <w:pPr>
              <w:spacing w:line="360" w:lineRule="auto"/>
              <w:rPr>
                <w:rFonts w:ascii="Abadi" w:eastAsia="Times New Roman" w:hAnsi="Abadi" w:cs="Times New Roman"/>
                <w:sz w:val="24"/>
                <w:szCs w:val="24"/>
                <w:lang w:eastAsia="en-GB"/>
              </w:rPr>
            </w:pPr>
          </w:p>
        </w:tc>
        <w:tc>
          <w:tcPr>
            <w:tcW w:w="4941" w:type="dxa"/>
          </w:tcPr>
          <w:p w14:paraId="2BE58850" w14:textId="77777777" w:rsidR="000A2F76" w:rsidRPr="00286731" w:rsidRDefault="000A2F76" w:rsidP="00247B62">
            <w:pPr>
              <w:spacing w:line="360" w:lineRule="auto"/>
              <w:rPr>
                <w:rFonts w:ascii="Abadi" w:eastAsia="Times New Roman" w:hAnsi="Abadi" w:cs="Times New Roman"/>
                <w:sz w:val="24"/>
                <w:szCs w:val="24"/>
                <w:lang w:eastAsia="en-GB"/>
              </w:rPr>
            </w:pPr>
          </w:p>
        </w:tc>
      </w:tr>
      <w:tr w:rsidR="000A2F76" w:rsidRPr="00286731" w14:paraId="31B3D416" w14:textId="77777777" w:rsidTr="00247B62">
        <w:trPr>
          <w:trHeight w:val="1624"/>
        </w:trPr>
        <w:tc>
          <w:tcPr>
            <w:tcW w:w="9016" w:type="dxa"/>
            <w:gridSpan w:val="3"/>
          </w:tcPr>
          <w:p w14:paraId="029CAF04" w14:textId="77777777" w:rsidR="000A2F76" w:rsidRPr="00286731" w:rsidRDefault="000A2F76" w:rsidP="00247B62">
            <w:pPr>
              <w:spacing w:before="100" w:beforeAutospacing="1" w:after="100" w:afterAutospacing="1" w:line="360" w:lineRule="auto"/>
              <w:outlineLvl w:val="1"/>
              <w:rPr>
                <w:rFonts w:ascii="Abadi" w:eastAsia="Times New Roman" w:hAnsi="Abadi" w:cs="Times New Roman"/>
                <w:b/>
                <w:bCs/>
                <w:sz w:val="24"/>
                <w:szCs w:val="24"/>
                <w:lang w:eastAsia="en-GB"/>
              </w:rPr>
            </w:pPr>
            <w:r w:rsidRPr="00286731">
              <w:rPr>
                <w:rFonts w:ascii="Abadi" w:eastAsia="Times New Roman" w:hAnsi="Abadi" w:cs="Times New Roman"/>
                <w:b/>
                <w:bCs/>
                <w:sz w:val="24"/>
                <w:szCs w:val="24"/>
                <w:lang w:eastAsia="en-GB"/>
              </w:rPr>
              <w:t xml:space="preserve">FOOTNOTES </w:t>
            </w:r>
          </w:p>
          <w:p w14:paraId="4FF2D3CA" w14:textId="77777777" w:rsidR="000A2F76" w:rsidRPr="00286731" w:rsidRDefault="000A2F76" w:rsidP="00247B62">
            <w:pPr>
              <w:spacing w:before="100" w:beforeAutospacing="1" w:after="100" w:afterAutospacing="1" w:line="360" w:lineRule="auto"/>
              <w:outlineLvl w:val="1"/>
              <w:rPr>
                <w:rFonts w:ascii="Abadi" w:eastAsia="Times New Roman" w:hAnsi="Abadi" w:cs="Times New Roman"/>
                <w:b/>
                <w:bCs/>
                <w:sz w:val="24"/>
                <w:szCs w:val="24"/>
                <w:lang w:eastAsia="en-GB"/>
              </w:rPr>
            </w:pPr>
            <w:r w:rsidRPr="00286731">
              <w:rPr>
                <w:rFonts w:ascii="Abadi" w:eastAsia="Times New Roman" w:hAnsi="Abadi" w:cs="Times New Roman"/>
                <w:sz w:val="24"/>
                <w:szCs w:val="24"/>
                <w:lang w:eastAsia="en-GB"/>
              </w:rPr>
              <w:t>CSF = cerebrospinal fluid; PCR = polymerase chain reaction; CT = computed tomography; MRI = magnetic resonance imaging; HSV = herpes simplex virus; VZV = varicella-zoster virus; CMV = cytomegalovirus; HIV = human immunodeficiency virus.</w:t>
            </w:r>
          </w:p>
        </w:tc>
      </w:tr>
    </w:tbl>
    <w:p w14:paraId="5ADC2975" w14:textId="77777777" w:rsidR="000A2F76" w:rsidRPr="003E3BE7" w:rsidRDefault="000A2F76" w:rsidP="003E3BE7">
      <w:pPr>
        <w:spacing w:line="360" w:lineRule="auto"/>
        <w:jc w:val="both"/>
        <w:rPr>
          <w:rFonts w:ascii="Abadi" w:hAnsi="Abadi" w:cs="Times New Roman"/>
          <w:color w:val="EE0000"/>
          <w:sz w:val="24"/>
          <w:szCs w:val="24"/>
        </w:rPr>
      </w:pPr>
    </w:p>
    <w:p w14:paraId="01BB2B7C" w14:textId="77777777" w:rsidR="00286731" w:rsidRPr="0041074C" w:rsidRDefault="00286731" w:rsidP="003E3BE7">
      <w:pPr>
        <w:jc w:val="both"/>
        <w:rPr>
          <w:rFonts w:ascii="Abadi" w:hAnsi="Abadi"/>
          <w:sz w:val="24"/>
          <w:szCs w:val="24"/>
        </w:rPr>
      </w:pPr>
      <w:r w:rsidRPr="0041074C">
        <w:rPr>
          <w:rFonts w:ascii="Abadi" w:hAnsi="Abadi"/>
          <w:sz w:val="24"/>
          <w:szCs w:val="24"/>
        </w:rPr>
        <w:t>References</w:t>
      </w:r>
    </w:p>
    <w:p w14:paraId="6302D48D" w14:textId="77777777" w:rsidR="0041074C" w:rsidRPr="0041074C" w:rsidRDefault="004E47A0" w:rsidP="0041074C">
      <w:pPr>
        <w:pStyle w:val="Bibliography"/>
        <w:rPr>
          <w:rFonts w:ascii="Abadi" w:hAnsi="Abadi"/>
          <w:sz w:val="24"/>
          <w:szCs w:val="24"/>
        </w:rPr>
      </w:pPr>
      <w:r w:rsidRPr="0041074C">
        <w:rPr>
          <w:rFonts w:ascii="Abadi" w:hAnsi="Abadi"/>
          <w:color w:val="EE0000"/>
          <w:sz w:val="24"/>
          <w:szCs w:val="24"/>
        </w:rPr>
        <w:t xml:space="preserve"> </w:t>
      </w:r>
      <w:r w:rsidR="003E3BE7" w:rsidRPr="0041074C">
        <w:rPr>
          <w:rFonts w:ascii="Abadi" w:hAnsi="Abadi"/>
          <w:color w:val="EE0000"/>
          <w:sz w:val="24"/>
          <w:szCs w:val="24"/>
        </w:rPr>
        <w:fldChar w:fldCharType="begin"/>
      </w:r>
      <w:r w:rsidR="0041074C" w:rsidRPr="0041074C">
        <w:rPr>
          <w:rFonts w:ascii="Abadi" w:hAnsi="Abadi"/>
          <w:color w:val="EE0000"/>
          <w:sz w:val="24"/>
          <w:szCs w:val="24"/>
        </w:rPr>
        <w:instrText xml:space="preserve"> ADDIN ZOTERO_BIBL {"uncited":[],"omitted":[],"custom":[]} CSL_BIBLIOGRAPHY </w:instrText>
      </w:r>
      <w:r w:rsidR="003E3BE7" w:rsidRPr="0041074C">
        <w:rPr>
          <w:rFonts w:ascii="Abadi" w:hAnsi="Abadi"/>
          <w:color w:val="EE0000"/>
          <w:sz w:val="24"/>
          <w:szCs w:val="24"/>
        </w:rPr>
        <w:fldChar w:fldCharType="separate"/>
      </w:r>
      <w:r w:rsidR="0041074C" w:rsidRPr="0041074C">
        <w:rPr>
          <w:rFonts w:ascii="Abadi" w:hAnsi="Abadi"/>
          <w:sz w:val="24"/>
          <w:szCs w:val="24"/>
        </w:rPr>
        <w:t>[1]</w:t>
      </w:r>
      <w:r w:rsidR="0041074C" w:rsidRPr="0041074C">
        <w:rPr>
          <w:rFonts w:ascii="Abadi" w:hAnsi="Abadi"/>
          <w:sz w:val="24"/>
          <w:szCs w:val="24"/>
        </w:rPr>
        <w:tab/>
        <w:t xml:space="preserve">T. Sulaiman, L. Salazar, and R. Hasbun, ‘Acute versus subacute community-acquired meningitis: Analysis of 611 patients’, </w:t>
      </w:r>
      <w:r w:rsidR="0041074C" w:rsidRPr="0041074C">
        <w:rPr>
          <w:rFonts w:ascii="Abadi" w:hAnsi="Abadi"/>
          <w:i/>
          <w:iCs/>
          <w:sz w:val="24"/>
          <w:szCs w:val="24"/>
        </w:rPr>
        <w:t>Medicine (Baltimore)</w:t>
      </w:r>
      <w:r w:rsidR="0041074C" w:rsidRPr="0041074C">
        <w:rPr>
          <w:rFonts w:ascii="Abadi" w:hAnsi="Abadi"/>
          <w:sz w:val="24"/>
          <w:szCs w:val="24"/>
        </w:rPr>
        <w:t xml:space="preserve">, vol. 96, no. 36, p. e7984, Sep. 2017, </w:t>
      </w:r>
      <w:proofErr w:type="spellStart"/>
      <w:r w:rsidR="0041074C" w:rsidRPr="0041074C">
        <w:rPr>
          <w:rFonts w:ascii="Abadi" w:hAnsi="Abadi"/>
          <w:sz w:val="24"/>
          <w:szCs w:val="24"/>
        </w:rPr>
        <w:t>doi</w:t>
      </w:r>
      <w:proofErr w:type="spellEnd"/>
      <w:r w:rsidR="0041074C" w:rsidRPr="0041074C">
        <w:rPr>
          <w:rFonts w:ascii="Abadi" w:hAnsi="Abadi"/>
          <w:sz w:val="24"/>
          <w:szCs w:val="24"/>
        </w:rPr>
        <w:t>: 10.1097/MD.0000000000007984.</w:t>
      </w:r>
    </w:p>
    <w:p w14:paraId="7EA10534" w14:textId="77777777" w:rsidR="0041074C" w:rsidRPr="0041074C" w:rsidRDefault="0041074C" w:rsidP="0041074C">
      <w:pPr>
        <w:pStyle w:val="Bibliography"/>
        <w:rPr>
          <w:rFonts w:ascii="Abadi" w:hAnsi="Abadi"/>
          <w:sz w:val="24"/>
          <w:szCs w:val="24"/>
        </w:rPr>
      </w:pPr>
      <w:r w:rsidRPr="0041074C">
        <w:rPr>
          <w:rFonts w:ascii="Abadi" w:hAnsi="Abadi"/>
          <w:sz w:val="24"/>
          <w:szCs w:val="24"/>
        </w:rPr>
        <w:t>[2]</w:t>
      </w:r>
      <w:r w:rsidRPr="0041074C">
        <w:rPr>
          <w:rFonts w:ascii="Abadi" w:hAnsi="Abadi"/>
          <w:sz w:val="24"/>
          <w:szCs w:val="24"/>
        </w:rPr>
        <w:tab/>
        <w:t xml:space="preserve">D. Van De Beek, M. C. Brouwer, U. Koedel, and E. C. Wall, ‘Community-acquired bacterial meningitis’, </w:t>
      </w:r>
      <w:r w:rsidRPr="0041074C">
        <w:rPr>
          <w:rFonts w:ascii="Abadi" w:hAnsi="Abadi"/>
          <w:i/>
          <w:iCs/>
          <w:sz w:val="24"/>
          <w:szCs w:val="24"/>
        </w:rPr>
        <w:t>The Lancet</w:t>
      </w:r>
      <w:r w:rsidRPr="0041074C">
        <w:rPr>
          <w:rFonts w:ascii="Abadi" w:hAnsi="Abadi"/>
          <w:sz w:val="24"/>
          <w:szCs w:val="24"/>
        </w:rPr>
        <w:t xml:space="preserve">, vol. 398, no. 10306, pp. 1171–1183, Sep. 2021, </w:t>
      </w:r>
      <w:proofErr w:type="spellStart"/>
      <w:r w:rsidRPr="0041074C">
        <w:rPr>
          <w:rFonts w:ascii="Abadi" w:hAnsi="Abadi"/>
          <w:sz w:val="24"/>
          <w:szCs w:val="24"/>
        </w:rPr>
        <w:t>doi</w:t>
      </w:r>
      <w:proofErr w:type="spellEnd"/>
      <w:r w:rsidRPr="0041074C">
        <w:rPr>
          <w:rFonts w:ascii="Abadi" w:hAnsi="Abadi"/>
          <w:sz w:val="24"/>
          <w:szCs w:val="24"/>
        </w:rPr>
        <w:t>: 10.1016/S0140-6736(21)00883-7.</w:t>
      </w:r>
    </w:p>
    <w:p w14:paraId="02518FE2" w14:textId="77777777" w:rsidR="0041074C" w:rsidRPr="0041074C" w:rsidRDefault="0041074C" w:rsidP="0041074C">
      <w:pPr>
        <w:pStyle w:val="Bibliography"/>
        <w:rPr>
          <w:rFonts w:ascii="Abadi" w:hAnsi="Abadi"/>
          <w:sz w:val="24"/>
          <w:szCs w:val="24"/>
        </w:rPr>
      </w:pPr>
      <w:r w:rsidRPr="0041074C">
        <w:rPr>
          <w:rFonts w:ascii="Abadi" w:hAnsi="Abadi"/>
          <w:sz w:val="24"/>
          <w:szCs w:val="24"/>
        </w:rPr>
        <w:t>[3]</w:t>
      </w:r>
      <w:r w:rsidRPr="0041074C">
        <w:rPr>
          <w:rFonts w:ascii="Abadi" w:hAnsi="Abadi"/>
          <w:sz w:val="24"/>
          <w:szCs w:val="24"/>
        </w:rPr>
        <w:tab/>
        <w:t>WHO, ‘WHO guidelines on Meningitis diagnosis and care’. Accessed: Apr. 22, 2026. [Online]. Available: https://www.who.int/publications/i/item/9789240108042</w:t>
      </w:r>
    </w:p>
    <w:p w14:paraId="0E098B79" w14:textId="77777777" w:rsidR="0041074C" w:rsidRPr="0041074C" w:rsidRDefault="0041074C" w:rsidP="0041074C">
      <w:pPr>
        <w:pStyle w:val="Bibliography"/>
        <w:rPr>
          <w:rFonts w:ascii="Abadi" w:hAnsi="Abadi"/>
          <w:sz w:val="24"/>
          <w:szCs w:val="24"/>
        </w:rPr>
      </w:pPr>
      <w:r w:rsidRPr="0041074C">
        <w:rPr>
          <w:rFonts w:ascii="Abadi" w:hAnsi="Abadi"/>
          <w:sz w:val="24"/>
          <w:szCs w:val="24"/>
        </w:rPr>
        <w:t>[4]</w:t>
      </w:r>
      <w:r w:rsidRPr="0041074C">
        <w:rPr>
          <w:rFonts w:ascii="Abadi" w:hAnsi="Abadi"/>
          <w:sz w:val="24"/>
          <w:szCs w:val="24"/>
        </w:rPr>
        <w:tab/>
        <w:t xml:space="preserve">M. Ellul and T. Solomon, ‘Acute encephalitis – diagnosis and management’, </w:t>
      </w:r>
      <w:r w:rsidRPr="0041074C">
        <w:rPr>
          <w:rFonts w:ascii="Abadi" w:hAnsi="Abadi"/>
          <w:i/>
          <w:iCs/>
          <w:sz w:val="24"/>
          <w:szCs w:val="24"/>
        </w:rPr>
        <w:t>Clin. Med.</w:t>
      </w:r>
      <w:r w:rsidRPr="0041074C">
        <w:rPr>
          <w:rFonts w:ascii="Abadi" w:hAnsi="Abadi"/>
          <w:sz w:val="24"/>
          <w:szCs w:val="24"/>
        </w:rPr>
        <w:t xml:space="preserve">, vol. 18, no. 2, pp. 155–159, Apr. 2018, </w:t>
      </w:r>
      <w:proofErr w:type="spellStart"/>
      <w:r w:rsidRPr="0041074C">
        <w:rPr>
          <w:rFonts w:ascii="Abadi" w:hAnsi="Abadi"/>
          <w:sz w:val="24"/>
          <w:szCs w:val="24"/>
        </w:rPr>
        <w:t>doi</w:t>
      </w:r>
      <w:proofErr w:type="spellEnd"/>
      <w:r w:rsidRPr="0041074C">
        <w:rPr>
          <w:rFonts w:ascii="Abadi" w:hAnsi="Abadi"/>
          <w:sz w:val="24"/>
          <w:szCs w:val="24"/>
        </w:rPr>
        <w:t>: 10.7861/clinmedicine.18-2-155.</w:t>
      </w:r>
    </w:p>
    <w:p w14:paraId="1F38678B" w14:textId="77777777" w:rsidR="0041074C" w:rsidRPr="0041074C" w:rsidRDefault="0041074C" w:rsidP="0041074C">
      <w:pPr>
        <w:pStyle w:val="Bibliography"/>
        <w:rPr>
          <w:rFonts w:ascii="Abadi" w:hAnsi="Abadi"/>
          <w:sz w:val="24"/>
          <w:szCs w:val="24"/>
        </w:rPr>
      </w:pPr>
      <w:r w:rsidRPr="0041074C">
        <w:rPr>
          <w:rFonts w:ascii="Abadi" w:hAnsi="Abadi"/>
          <w:sz w:val="24"/>
          <w:szCs w:val="24"/>
        </w:rPr>
        <w:t>[5]</w:t>
      </w:r>
      <w:r w:rsidRPr="0041074C">
        <w:rPr>
          <w:rFonts w:ascii="Abadi" w:hAnsi="Abadi"/>
          <w:sz w:val="24"/>
          <w:szCs w:val="24"/>
        </w:rPr>
        <w:tab/>
        <w:t xml:space="preserve">J. Bodilsen </w:t>
      </w:r>
      <w:r w:rsidRPr="0041074C">
        <w:rPr>
          <w:rFonts w:ascii="Abadi" w:hAnsi="Abadi"/>
          <w:i/>
          <w:iCs/>
          <w:sz w:val="24"/>
          <w:szCs w:val="24"/>
        </w:rPr>
        <w:t>et al.</w:t>
      </w:r>
      <w:r w:rsidRPr="0041074C">
        <w:rPr>
          <w:rFonts w:ascii="Abadi" w:hAnsi="Abadi"/>
          <w:sz w:val="24"/>
          <w:szCs w:val="24"/>
        </w:rPr>
        <w:t xml:space="preserve">, ‘European society of Clinical Microbiology and Infectious Diseases guidelines on diagnosis and treatment of brain abscess in children and adults’, </w:t>
      </w:r>
      <w:r w:rsidRPr="0041074C">
        <w:rPr>
          <w:rFonts w:ascii="Abadi" w:hAnsi="Abadi"/>
          <w:i/>
          <w:iCs/>
          <w:sz w:val="24"/>
          <w:szCs w:val="24"/>
        </w:rPr>
        <w:t xml:space="preserve">Clin. </w:t>
      </w:r>
      <w:proofErr w:type="spellStart"/>
      <w:r w:rsidRPr="0041074C">
        <w:rPr>
          <w:rFonts w:ascii="Abadi" w:hAnsi="Abadi"/>
          <w:i/>
          <w:iCs/>
          <w:sz w:val="24"/>
          <w:szCs w:val="24"/>
        </w:rPr>
        <w:t>Microbiol</w:t>
      </w:r>
      <w:proofErr w:type="spellEnd"/>
      <w:r w:rsidRPr="0041074C">
        <w:rPr>
          <w:rFonts w:ascii="Abadi" w:hAnsi="Abadi"/>
          <w:i/>
          <w:iCs/>
          <w:sz w:val="24"/>
          <w:szCs w:val="24"/>
        </w:rPr>
        <w:t>. Infect.</w:t>
      </w:r>
      <w:r w:rsidRPr="0041074C">
        <w:rPr>
          <w:rFonts w:ascii="Abadi" w:hAnsi="Abadi"/>
          <w:sz w:val="24"/>
          <w:szCs w:val="24"/>
        </w:rPr>
        <w:t xml:space="preserve">, vol. 30, no. 1, pp. 66–89, Jan. 2024, </w:t>
      </w:r>
      <w:proofErr w:type="spellStart"/>
      <w:r w:rsidRPr="0041074C">
        <w:rPr>
          <w:rFonts w:ascii="Abadi" w:hAnsi="Abadi"/>
          <w:sz w:val="24"/>
          <w:szCs w:val="24"/>
        </w:rPr>
        <w:t>doi</w:t>
      </w:r>
      <w:proofErr w:type="spellEnd"/>
      <w:r w:rsidRPr="0041074C">
        <w:rPr>
          <w:rFonts w:ascii="Abadi" w:hAnsi="Abadi"/>
          <w:sz w:val="24"/>
          <w:szCs w:val="24"/>
        </w:rPr>
        <w:t>: 10.1016/j.cmi.2023.08.016.</w:t>
      </w:r>
    </w:p>
    <w:p w14:paraId="51E90E05" w14:textId="77777777" w:rsidR="0041074C" w:rsidRPr="0041074C" w:rsidRDefault="0041074C" w:rsidP="0041074C">
      <w:pPr>
        <w:pStyle w:val="Bibliography"/>
        <w:rPr>
          <w:rFonts w:ascii="Abadi" w:hAnsi="Abadi"/>
          <w:sz w:val="24"/>
          <w:szCs w:val="24"/>
        </w:rPr>
      </w:pPr>
      <w:r w:rsidRPr="0041074C">
        <w:rPr>
          <w:rFonts w:ascii="Abadi" w:hAnsi="Abadi"/>
          <w:sz w:val="24"/>
          <w:szCs w:val="24"/>
        </w:rPr>
        <w:t>[6]</w:t>
      </w:r>
      <w:r w:rsidRPr="0041074C">
        <w:rPr>
          <w:rFonts w:ascii="Abadi" w:hAnsi="Abadi"/>
          <w:sz w:val="24"/>
          <w:szCs w:val="24"/>
        </w:rPr>
        <w:tab/>
        <w:t xml:space="preserve">P. Muppidi, E. Wright, S. C. Wassmer, and H. Gupta, ‘Diagnosis of cerebral malaria: Tools to reduce Plasmodium falciparum associated mortality’, </w:t>
      </w:r>
      <w:r w:rsidRPr="0041074C">
        <w:rPr>
          <w:rFonts w:ascii="Abadi" w:hAnsi="Abadi"/>
          <w:i/>
          <w:iCs/>
          <w:sz w:val="24"/>
          <w:szCs w:val="24"/>
        </w:rPr>
        <w:t xml:space="preserve">Front. Cell. Infect. </w:t>
      </w:r>
      <w:proofErr w:type="spellStart"/>
      <w:r w:rsidRPr="0041074C">
        <w:rPr>
          <w:rFonts w:ascii="Abadi" w:hAnsi="Abadi"/>
          <w:i/>
          <w:iCs/>
          <w:sz w:val="24"/>
          <w:szCs w:val="24"/>
        </w:rPr>
        <w:t>Microbiol</w:t>
      </w:r>
      <w:proofErr w:type="spellEnd"/>
      <w:r w:rsidRPr="0041074C">
        <w:rPr>
          <w:rFonts w:ascii="Abadi" w:hAnsi="Abadi"/>
          <w:i/>
          <w:iCs/>
          <w:sz w:val="24"/>
          <w:szCs w:val="24"/>
        </w:rPr>
        <w:t>.</w:t>
      </w:r>
      <w:r w:rsidRPr="0041074C">
        <w:rPr>
          <w:rFonts w:ascii="Abadi" w:hAnsi="Abadi"/>
          <w:sz w:val="24"/>
          <w:szCs w:val="24"/>
        </w:rPr>
        <w:t xml:space="preserve">, vol. 13, Feb. 2023, </w:t>
      </w:r>
      <w:proofErr w:type="spellStart"/>
      <w:r w:rsidRPr="0041074C">
        <w:rPr>
          <w:rFonts w:ascii="Abadi" w:hAnsi="Abadi"/>
          <w:sz w:val="24"/>
          <w:szCs w:val="24"/>
        </w:rPr>
        <w:t>doi</w:t>
      </w:r>
      <w:proofErr w:type="spellEnd"/>
      <w:r w:rsidRPr="0041074C">
        <w:rPr>
          <w:rFonts w:ascii="Abadi" w:hAnsi="Abadi"/>
          <w:sz w:val="24"/>
          <w:szCs w:val="24"/>
        </w:rPr>
        <w:t>: 10.3389/fcimb.2023.1090013.</w:t>
      </w:r>
    </w:p>
    <w:p w14:paraId="74CBBD70" w14:textId="77777777" w:rsidR="0041074C" w:rsidRPr="0041074C" w:rsidRDefault="0041074C" w:rsidP="0041074C">
      <w:pPr>
        <w:pStyle w:val="Bibliography"/>
        <w:rPr>
          <w:rFonts w:ascii="Abadi" w:hAnsi="Abadi"/>
          <w:sz w:val="24"/>
          <w:szCs w:val="24"/>
        </w:rPr>
      </w:pPr>
      <w:r w:rsidRPr="0041074C">
        <w:rPr>
          <w:rFonts w:ascii="Abadi" w:hAnsi="Abadi"/>
          <w:sz w:val="24"/>
          <w:szCs w:val="24"/>
        </w:rPr>
        <w:t>[7]</w:t>
      </w:r>
      <w:r w:rsidRPr="0041074C">
        <w:rPr>
          <w:rFonts w:ascii="Abadi" w:hAnsi="Abadi"/>
          <w:sz w:val="24"/>
          <w:szCs w:val="24"/>
        </w:rPr>
        <w:tab/>
        <w:t xml:space="preserve">D. G. </w:t>
      </w:r>
      <w:proofErr w:type="spellStart"/>
      <w:r w:rsidRPr="0041074C">
        <w:rPr>
          <w:rFonts w:ascii="Abadi" w:hAnsi="Abadi"/>
          <w:sz w:val="24"/>
          <w:szCs w:val="24"/>
        </w:rPr>
        <w:t>Postels</w:t>
      </w:r>
      <w:proofErr w:type="spellEnd"/>
      <w:r w:rsidRPr="0041074C">
        <w:rPr>
          <w:rFonts w:ascii="Abadi" w:hAnsi="Abadi"/>
          <w:sz w:val="24"/>
          <w:szCs w:val="24"/>
        </w:rPr>
        <w:t xml:space="preserve"> and T. </w:t>
      </w:r>
      <w:proofErr w:type="spellStart"/>
      <w:r w:rsidRPr="0041074C">
        <w:rPr>
          <w:rFonts w:ascii="Abadi" w:hAnsi="Abadi"/>
          <w:sz w:val="24"/>
          <w:szCs w:val="24"/>
        </w:rPr>
        <w:t>Katangwe</w:t>
      </w:r>
      <w:proofErr w:type="spellEnd"/>
      <w:r w:rsidRPr="0041074C">
        <w:rPr>
          <w:rFonts w:ascii="Abadi" w:hAnsi="Abadi"/>
          <w:sz w:val="24"/>
          <w:szCs w:val="24"/>
        </w:rPr>
        <w:t xml:space="preserve">-Chirwa, ‘Cerebral malaria’, </w:t>
      </w:r>
      <w:r w:rsidRPr="0041074C">
        <w:rPr>
          <w:rFonts w:ascii="Abadi" w:hAnsi="Abadi"/>
          <w:i/>
          <w:iCs/>
          <w:sz w:val="24"/>
          <w:szCs w:val="24"/>
        </w:rPr>
        <w:t xml:space="preserve">Semin. </w:t>
      </w:r>
      <w:proofErr w:type="spellStart"/>
      <w:r w:rsidRPr="0041074C">
        <w:rPr>
          <w:rFonts w:ascii="Abadi" w:hAnsi="Abadi"/>
          <w:i/>
          <w:iCs/>
          <w:sz w:val="24"/>
          <w:szCs w:val="24"/>
        </w:rPr>
        <w:t>Pediatr</w:t>
      </w:r>
      <w:proofErr w:type="spellEnd"/>
      <w:r w:rsidRPr="0041074C">
        <w:rPr>
          <w:rFonts w:ascii="Abadi" w:hAnsi="Abadi"/>
          <w:i/>
          <w:iCs/>
          <w:sz w:val="24"/>
          <w:szCs w:val="24"/>
        </w:rPr>
        <w:t>. Neurol.</w:t>
      </w:r>
      <w:r w:rsidRPr="0041074C">
        <w:rPr>
          <w:rFonts w:ascii="Abadi" w:hAnsi="Abadi"/>
          <w:sz w:val="24"/>
          <w:szCs w:val="24"/>
        </w:rPr>
        <w:t xml:space="preserve">, vol. 54, p. 101206, Jul. 2025, </w:t>
      </w:r>
      <w:proofErr w:type="spellStart"/>
      <w:r w:rsidRPr="0041074C">
        <w:rPr>
          <w:rFonts w:ascii="Abadi" w:hAnsi="Abadi"/>
          <w:sz w:val="24"/>
          <w:szCs w:val="24"/>
        </w:rPr>
        <w:t>doi</w:t>
      </w:r>
      <w:proofErr w:type="spellEnd"/>
      <w:r w:rsidRPr="0041074C">
        <w:rPr>
          <w:rFonts w:ascii="Abadi" w:hAnsi="Abadi"/>
          <w:sz w:val="24"/>
          <w:szCs w:val="24"/>
        </w:rPr>
        <w:t>: 10.1016/j.spen.2025.101206.</w:t>
      </w:r>
    </w:p>
    <w:p w14:paraId="472F79E8" w14:textId="77777777" w:rsidR="0041074C" w:rsidRPr="0041074C" w:rsidRDefault="0041074C" w:rsidP="0041074C">
      <w:pPr>
        <w:pStyle w:val="Bibliography"/>
        <w:rPr>
          <w:rFonts w:ascii="Abadi" w:hAnsi="Abadi"/>
          <w:sz w:val="24"/>
          <w:szCs w:val="24"/>
        </w:rPr>
      </w:pPr>
      <w:r w:rsidRPr="0041074C">
        <w:rPr>
          <w:rFonts w:ascii="Abadi" w:hAnsi="Abadi"/>
          <w:sz w:val="24"/>
          <w:szCs w:val="24"/>
        </w:rPr>
        <w:lastRenderedPageBreak/>
        <w:t>[8]</w:t>
      </w:r>
      <w:r w:rsidRPr="0041074C">
        <w:rPr>
          <w:rFonts w:ascii="Abadi" w:hAnsi="Abadi"/>
          <w:sz w:val="24"/>
          <w:szCs w:val="24"/>
        </w:rPr>
        <w:tab/>
        <w:t xml:space="preserve">L. Brodie, A. Melhuish, and F. McGill, ‘Viral meningitis and encephalitis’, </w:t>
      </w:r>
      <w:r w:rsidRPr="0041074C">
        <w:rPr>
          <w:rFonts w:ascii="Abadi" w:hAnsi="Abadi"/>
          <w:i/>
          <w:iCs/>
          <w:sz w:val="24"/>
          <w:szCs w:val="24"/>
        </w:rPr>
        <w:t>Medicine (Baltimore)</w:t>
      </w:r>
      <w:r w:rsidRPr="0041074C">
        <w:rPr>
          <w:rFonts w:ascii="Abadi" w:hAnsi="Abadi"/>
          <w:sz w:val="24"/>
          <w:szCs w:val="24"/>
        </w:rPr>
        <w:t xml:space="preserve">, vol. 54, no. 2, pp. 81–86, Feb. 2026, </w:t>
      </w:r>
      <w:proofErr w:type="spellStart"/>
      <w:r w:rsidRPr="0041074C">
        <w:rPr>
          <w:rFonts w:ascii="Abadi" w:hAnsi="Abadi"/>
          <w:sz w:val="24"/>
          <w:szCs w:val="24"/>
        </w:rPr>
        <w:t>doi</w:t>
      </w:r>
      <w:proofErr w:type="spellEnd"/>
      <w:r w:rsidRPr="0041074C">
        <w:rPr>
          <w:rFonts w:ascii="Abadi" w:hAnsi="Abadi"/>
          <w:sz w:val="24"/>
          <w:szCs w:val="24"/>
        </w:rPr>
        <w:t>: 10.1016/j.mpmed.2025.11.002.</w:t>
      </w:r>
    </w:p>
    <w:p w14:paraId="03649BD1" w14:textId="77777777" w:rsidR="0041074C" w:rsidRPr="0041074C" w:rsidRDefault="0041074C" w:rsidP="0041074C">
      <w:pPr>
        <w:pStyle w:val="Bibliography"/>
        <w:rPr>
          <w:rFonts w:ascii="Abadi" w:hAnsi="Abadi"/>
          <w:sz w:val="24"/>
          <w:szCs w:val="24"/>
        </w:rPr>
      </w:pPr>
      <w:r w:rsidRPr="0041074C">
        <w:rPr>
          <w:rFonts w:ascii="Abadi" w:hAnsi="Abadi"/>
          <w:sz w:val="24"/>
          <w:szCs w:val="24"/>
        </w:rPr>
        <w:t>[9]</w:t>
      </w:r>
      <w:r w:rsidRPr="0041074C">
        <w:rPr>
          <w:rFonts w:ascii="Abadi" w:hAnsi="Abadi"/>
          <w:sz w:val="24"/>
          <w:szCs w:val="24"/>
        </w:rPr>
        <w:tab/>
        <w:t xml:space="preserve">S. Marais </w:t>
      </w:r>
      <w:r w:rsidRPr="0041074C">
        <w:rPr>
          <w:rFonts w:ascii="Abadi" w:hAnsi="Abadi"/>
          <w:i/>
          <w:iCs/>
          <w:sz w:val="24"/>
          <w:szCs w:val="24"/>
        </w:rPr>
        <w:t>et al.</w:t>
      </w:r>
      <w:r w:rsidRPr="0041074C">
        <w:rPr>
          <w:rFonts w:ascii="Abadi" w:hAnsi="Abadi"/>
          <w:sz w:val="24"/>
          <w:szCs w:val="24"/>
        </w:rPr>
        <w:t xml:space="preserve">, ‘Tuberculous meningitis: a uniform case definition for use in clinical research’, </w:t>
      </w:r>
      <w:r w:rsidRPr="0041074C">
        <w:rPr>
          <w:rFonts w:ascii="Abadi" w:hAnsi="Abadi"/>
          <w:i/>
          <w:iCs/>
          <w:sz w:val="24"/>
          <w:szCs w:val="24"/>
        </w:rPr>
        <w:t>Lancet Infect. Dis.</w:t>
      </w:r>
      <w:r w:rsidRPr="0041074C">
        <w:rPr>
          <w:rFonts w:ascii="Abadi" w:hAnsi="Abadi"/>
          <w:sz w:val="24"/>
          <w:szCs w:val="24"/>
        </w:rPr>
        <w:t xml:space="preserve">, vol. 10, no. 11, pp. 803–812, Nov. 2010, </w:t>
      </w:r>
      <w:proofErr w:type="spellStart"/>
      <w:r w:rsidRPr="0041074C">
        <w:rPr>
          <w:rFonts w:ascii="Abadi" w:hAnsi="Abadi"/>
          <w:sz w:val="24"/>
          <w:szCs w:val="24"/>
        </w:rPr>
        <w:t>doi</w:t>
      </w:r>
      <w:proofErr w:type="spellEnd"/>
      <w:r w:rsidRPr="0041074C">
        <w:rPr>
          <w:rFonts w:ascii="Abadi" w:hAnsi="Abadi"/>
          <w:sz w:val="24"/>
          <w:szCs w:val="24"/>
        </w:rPr>
        <w:t>: 10.1016/S1473-3099(10)70138-9.</w:t>
      </w:r>
    </w:p>
    <w:p w14:paraId="45BA4EEF" w14:textId="77777777" w:rsidR="0041074C" w:rsidRPr="0041074C" w:rsidRDefault="0041074C" w:rsidP="0041074C">
      <w:pPr>
        <w:pStyle w:val="Bibliography"/>
        <w:rPr>
          <w:rFonts w:ascii="Abadi" w:hAnsi="Abadi"/>
          <w:sz w:val="24"/>
          <w:szCs w:val="24"/>
        </w:rPr>
      </w:pPr>
      <w:r w:rsidRPr="0041074C">
        <w:rPr>
          <w:rFonts w:ascii="Abadi" w:hAnsi="Abadi"/>
          <w:sz w:val="24"/>
          <w:szCs w:val="24"/>
        </w:rPr>
        <w:t>[10]</w:t>
      </w:r>
      <w:r w:rsidRPr="0041074C">
        <w:rPr>
          <w:rFonts w:ascii="Abadi" w:hAnsi="Abadi"/>
          <w:sz w:val="24"/>
          <w:szCs w:val="24"/>
        </w:rPr>
        <w:tab/>
        <w:t>WHO, ‘WHO consolidated guidelines on tuberculosis: module 3: diagnosis’. Accessed: Jul. 19, 2026. [Online]. Available: https://www.who.int/publications/i/item/9789240107984</w:t>
      </w:r>
    </w:p>
    <w:p w14:paraId="1772EE89" w14:textId="77777777" w:rsidR="0041074C" w:rsidRPr="0041074C" w:rsidRDefault="0041074C" w:rsidP="0041074C">
      <w:pPr>
        <w:pStyle w:val="Bibliography"/>
        <w:rPr>
          <w:rFonts w:ascii="Abadi" w:hAnsi="Abadi"/>
          <w:sz w:val="24"/>
          <w:szCs w:val="24"/>
        </w:rPr>
      </w:pPr>
      <w:r w:rsidRPr="0041074C">
        <w:rPr>
          <w:rFonts w:ascii="Abadi" w:hAnsi="Abadi"/>
          <w:sz w:val="24"/>
          <w:szCs w:val="24"/>
        </w:rPr>
        <w:t>[11]</w:t>
      </w:r>
      <w:r w:rsidRPr="0041074C">
        <w:rPr>
          <w:rFonts w:ascii="Abadi" w:hAnsi="Abadi"/>
          <w:sz w:val="24"/>
          <w:szCs w:val="24"/>
        </w:rPr>
        <w:tab/>
        <w:t xml:space="preserve">I. Cruz, P. Ferreira, S. Machado, J. Torres, A. Miranda, and I. Antunes, ‘Spinal tuberculosis - Treatment options beyond guidelines’, </w:t>
      </w:r>
      <w:r w:rsidRPr="0041074C">
        <w:rPr>
          <w:rFonts w:ascii="Abadi" w:hAnsi="Abadi"/>
          <w:i/>
          <w:iCs/>
          <w:sz w:val="24"/>
          <w:szCs w:val="24"/>
        </w:rPr>
        <w:t>Int. J. Med. Rev. Case Rep.</w:t>
      </w:r>
      <w:r w:rsidRPr="0041074C">
        <w:rPr>
          <w:rFonts w:ascii="Abadi" w:hAnsi="Abadi"/>
          <w:sz w:val="24"/>
          <w:szCs w:val="24"/>
        </w:rPr>
        <w:t xml:space="preserve">, no. 0, p. 1, 2020, </w:t>
      </w:r>
      <w:proofErr w:type="spellStart"/>
      <w:r w:rsidRPr="0041074C">
        <w:rPr>
          <w:rFonts w:ascii="Abadi" w:hAnsi="Abadi"/>
          <w:sz w:val="24"/>
          <w:szCs w:val="24"/>
        </w:rPr>
        <w:t>doi</w:t>
      </w:r>
      <w:proofErr w:type="spellEnd"/>
      <w:r w:rsidRPr="0041074C">
        <w:rPr>
          <w:rFonts w:ascii="Abadi" w:hAnsi="Abadi"/>
          <w:sz w:val="24"/>
          <w:szCs w:val="24"/>
        </w:rPr>
        <w:t>: 10.5455/</w:t>
      </w:r>
      <w:proofErr w:type="spellStart"/>
      <w:r w:rsidRPr="0041074C">
        <w:rPr>
          <w:rFonts w:ascii="Abadi" w:hAnsi="Abadi"/>
          <w:sz w:val="24"/>
          <w:szCs w:val="24"/>
        </w:rPr>
        <w:t>IJMRCR.spinal</w:t>
      </w:r>
      <w:proofErr w:type="spellEnd"/>
      <w:r w:rsidRPr="0041074C">
        <w:rPr>
          <w:rFonts w:ascii="Abadi" w:hAnsi="Abadi"/>
          <w:sz w:val="24"/>
          <w:szCs w:val="24"/>
        </w:rPr>
        <w:t>-tuberculosis.</w:t>
      </w:r>
    </w:p>
    <w:p w14:paraId="2F35AABA" w14:textId="77777777" w:rsidR="0041074C" w:rsidRPr="0041074C" w:rsidRDefault="0041074C" w:rsidP="0041074C">
      <w:pPr>
        <w:pStyle w:val="Bibliography"/>
        <w:rPr>
          <w:rFonts w:ascii="Abadi" w:hAnsi="Abadi"/>
          <w:sz w:val="24"/>
          <w:szCs w:val="24"/>
        </w:rPr>
      </w:pPr>
      <w:r w:rsidRPr="0041074C">
        <w:rPr>
          <w:rFonts w:ascii="Abadi" w:hAnsi="Abadi"/>
          <w:sz w:val="24"/>
          <w:szCs w:val="24"/>
        </w:rPr>
        <w:t>[12]</w:t>
      </w:r>
      <w:r w:rsidRPr="0041074C">
        <w:rPr>
          <w:rFonts w:ascii="Abadi" w:hAnsi="Abadi"/>
          <w:sz w:val="24"/>
          <w:szCs w:val="24"/>
        </w:rPr>
        <w:tab/>
        <w:t xml:space="preserve">WHO, ‘RECOMMENDATIONS ON DIAGNOSING AND PREVENTING CRYPTOCOCCAL DISEASE’, in </w:t>
      </w:r>
      <w:r w:rsidRPr="0041074C">
        <w:rPr>
          <w:rFonts w:ascii="Abadi" w:hAnsi="Abadi"/>
          <w:i/>
          <w:iCs/>
          <w:sz w:val="24"/>
          <w:szCs w:val="24"/>
        </w:rPr>
        <w:t>Guidelines for Diagnosing, Preventing and Managing Cryptococcal Disease Among Adults, Adolescents and Children Living with HIV [Internet]</w:t>
      </w:r>
      <w:r w:rsidRPr="0041074C">
        <w:rPr>
          <w:rFonts w:ascii="Abadi" w:hAnsi="Abadi"/>
          <w:sz w:val="24"/>
          <w:szCs w:val="24"/>
        </w:rPr>
        <w:t>, World Health Organization, 2022. Accessed: Jul. 19, 2026. [Online]. Available: https://www.ncbi.nlm.nih.gov/books/NBK581838/</w:t>
      </w:r>
    </w:p>
    <w:p w14:paraId="38E37AD0" w14:textId="77777777" w:rsidR="0041074C" w:rsidRPr="0041074C" w:rsidRDefault="0041074C" w:rsidP="0041074C">
      <w:pPr>
        <w:pStyle w:val="Bibliography"/>
        <w:rPr>
          <w:rFonts w:ascii="Abadi" w:hAnsi="Abadi"/>
          <w:sz w:val="24"/>
          <w:szCs w:val="24"/>
        </w:rPr>
      </w:pPr>
      <w:r w:rsidRPr="0041074C">
        <w:rPr>
          <w:rFonts w:ascii="Abadi" w:hAnsi="Abadi"/>
          <w:sz w:val="24"/>
          <w:szCs w:val="24"/>
        </w:rPr>
        <w:t>[13]</w:t>
      </w:r>
      <w:r w:rsidRPr="0041074C">
        <w:rPr>
          <w:rFonts w:ascii="Abadi" w:hAnsi="Abadi"/>
          <w:sz w:val="24"/>
          <w:szCs w:val="24"/>
        </w:rPr>
        <w:tab/>
        <w:t xml:space="preserve">H. Rivera-Villegas, M. F. Vargas-Morales, and J. Sierra-Madero, ‘CNS Infections in Patients Living with HIV/AIDS’, </w:t>
      </w:r>
      <w:r w:rsidRPr="0041074C">
        <w:rPr>
          <w:rFonts w:ascii="Abadi" w:hAnsi="Abadi"/>
          <w:i/>
          <w:iCs/>
          <w:sz w:val="24"/>
          <w:szCs w:val="24"/>
        </w:rPr>
        <w:t>Curr. Trop. Med. Rep.</w:t>
      </w:r>
      <w:r w:rsidRPr="0041074C">
        <w:rPr>
          <w:rFonts w:ascii="Abadi" w:hAnsi="Abadi"/>
          <w:sz w:val="24"/>
          <w:szCs w:val="24"/>
        </w:rPr>
        <w:t xml:space="preserve">, vol. 10, no. 4, pp. 199–212, Dec. 2023, </w:t>
      </w:r>
      <w:proofErr w:type="spellStart"/>
      <w:r w:rsidRPr="0041074C">
        <w:rPr>
          <w:rFonts w:ascii="Abadi" w:hAnsi="Abadi"/>
          <w:sz w:val="24"/>
          <w:szCs w:val="24"/>
        </w:rPr>
        <w:t>doi</w:t>
      </w:r>
      <w:proofErr w:type="spellEnd"/>
      <w:r w:rsidRPr="0041074C">
        <w:rPr>
          <w:rFonts w:ascii="Abadi" w:hAnsi="Abadi"/>
          <w:sz w:val="24"/>
          <w:szCs w:val="24"/>
        </w:rPr>
        <w:t>: 10.1007/s40475-023-00301-z.</w:t>
      </w:r>
    </w:p>
    <w:p w14:paraId="09EB3DDB" w14:textId="77777777" w:rsidR="0041074C" w:rsidRPr="0041074C" w:rsidRDefault="0041074C" w:rsidP="0041074C">
      <w:pPr>
        <w:pStyle w:val="Bibliography"/>
        <w:rPr>
          <w:rFonts w:ascii="Abadi" w:hAnsi="Abadi"/>
          <w:sz w:val="24"/>
          <w:szCs w:val="24"/>
        </w:rPr>
      </w:pPr>
      <w:r w:rsidRPr="0041074C">
        <w:rPr>
          <w:rFonts w:ascii="Abadi" w:hAnsi="Abadi"/>
          <w:sz w:val="24"/>
          <w:szCs w:val="24"/>
        </w:rPr>
        <w:t>[14]</w:t>
      </w:r>
      <w:r w:rsidRPr="0041074C">
        <w:rPr>
          <w:rFonts w:ascii="Abadi" w:hAnsi="Abadi"/>
          <w:sz w:val="24"/>
          <w:szCs w:val="24"/>
        </w:rPr>
        <w:tab/>
        <w:t xml:space="preserve">C. C. Chang </w:t>
      </w:r>
      <w:r w:rsidRPr="0041074C">
        <w:rPr>
          <w:rFonts w:ascii="Abadi" w:hAnsi="Abadi"/>
          <w:i/>
          <w:iCs/>
          <w:sz w:val="24"/>
          <w:szCs w:val="24"/>
        </w:rPr>
        <w:t>et al.</w:t>
      </w:r>
      <w:r w:rsidRPr="0041074C">
        <w:rPr>
          <w:rFonts w:ascii="Abadi" w:hAnsi="Abadi"/>
          <w:sz w:val="24"/>
          <w:szCs w:val="24"/>
        </w:rPr>
        <w:t xml:space="preserve">, ‘Global guideline for the diagnosis and management of cryptococcosis: an initiative of the ECMM and ISHAM in cooperation with the ASM’, </w:t>
      </w:r>
      <w:r w:rsidRPr="0041074C">
        <w:rPr>
          <w:rFonts w:ascii="Abadi" w:hAnsi="Abadi"/>
          <w:i/>
          <w:iCs/>
          <w:sz w:val="24"/>
          <w:szCs w:val="24"/>
        </w:rPr>
        <w:t>Lancet Infect. Dis.</w:t>
      </w:r>
      <w:r w:rsidRPr="0041074C">
        <w:rPr>
          <w:rFonts w:ascii="Abadi" w:hAnsi="Abadi"/>
          <w:sz w:val="24"/>
          <w:szCs w:val="24"/>
        </w:rPr>
        <w:t xml:space="preserve">, vol. 24, no. 8, pp. e495–e512, Aug. 2024, </w:t>
      </w:r>
      <w:proofErr w:type="spellStart"/>
      <w:r w:rsidRPr="0041074C">
        <w:rPr>
          <w:rFonts w:ascii="Abadi" w:hAnsi="Abadi"/>
          <w:sz w:val="24"/>
          <w:szCs w:val="24"/>
        </w:rPr>
        <w:t>doi</w:t>
      </w:r>
      <w:proofErr w:type="spellEnd"/>
      <w:r w:rsidRPr="0041074C">
        <w:rPr>
          <w:rFonts w:ascii="Abadi" w:hAnsi="Abadi"/>
          <w:sz w:val="24"/>
          <w:szCs w:val="24"/>
        </w:rPr>
        <w:t>: 10.1016/S1473-3099(23)00731-4.</w:t>
      </w:r>
    </w:p>
    <w:p w14:paraId="20B0A831" w14:textId="77777777" w:rsidR="0041074C" w:rsidRPr="0041074C" w:rsidRDefault="0041074C" w:rsidP="0041074C">
      <w:pPr>
        <w:pStyle w:val="Bibliography"/>
        <w:rPr>
          <w:rFonts w:ascii="Abadi" w:hAnsi="Abadi"/>
          <w:sz w:val="24"/>
          <w:szCs w:val="24"/>
        </w:rPr>
      </w:pPr>
      <w:r w:rsidRPr="0041074C">
        <w:rPr>
          <w:rFonts w:ascii="Abadi" w:hAnsi="Abadi"/>
          <w:sz w:val="24"/>
          <w:szCs w:val="24"/>
        </w:rPr>
        <w:t>[15]</w:t>
      </w:r>
      <w:r w:rsidRPr="0041074C">
        <w:rPr>
          <w:rFonts w:ascii="Abadi" w:hAnsi="Abadi"/>
          <w:sz w:val="24"/>
          <w:szCs w:val="24"/>
        </w:rPr>
        <w:tab/>
        <w:t xml:space="preserve"> </w:t>
      </w:r>
      <w:proofErr w:type="spellStart"/>
      <w:r w:rsidRPr="0041074C">
        <w:rPr>
          <w:rFonts w:ascii="Abadi" w:hAnsi="Abadi"/>
          <w:sz w:val="24"/>
          <w:szCs w:val="24"/>
        </w:rPr>
        <w:t>allan</w:t>
      </w:r>
      <w:proofErr w:type="spellEnd"/>
      <w:r w:rsidRPr="0041074C">
        <w:rPr>
          <w:rFonts w:ascii="Abadi" w:hAnsi="Abadi"/>
          <w:sz w:val="24"/>
          <w:szCs w:val="24"/>
        </w:rPr>
        <w:t xml:space="preserve"> H. Ropper, ‘Neurosyphilis’, New England Journal of Medicine. Accessed: Jun. 26, 2026. [Online]. Available: https://www.nejm.org/doi/full/10.1056/NEJMra1906228</w:t>
      </w:r>
    </w:p>
    <w:p w14:paraId="34312B08" w14:textId="77777777" w:rsidR="0041074C" w:rsidRPr="0041074C" w:rsidRDefault="0041074C" w:rsidP="0041074C">
      <w:pPr>
        <w:pStyle w:val="Bibliography"/>
        <w:rPr>
          <w:rFonts w:ascii="Abadi" w:hAnsi="Abadi"/>
          <w:sz w:val="24"/>
          <w:szCs w:val="24"/>
        </w:rPr>
      </w:pPr>
      <w:r w:rsidRPr="0041074C">
        <w:rPr>
          <w:rFonts w:ascii="Abadi" w:hAnsi="Abadi"/>
          <w:sz w:val="24"/>
          <w:szCs w:val="24"/>
        </w:rPr>
        <w:t>[16]</w:t>
      </w:r>
      <w:r w:rsidRPr="0041074C">
        <w:rPr>
          <w:rFonts w:ascii="Abadi" w:hAnsi="Abadi"/>
          <w:sz w:val="24"/>
          <w:szCs w:val="24"/>
        </w:rPr>
        <w:tab/>
        <w:t xml:space="preserve">J. Pitton Rissardo, V. V. </w:t>
      </w:r>
      <w:proofErr w:type="spellStart"/>
      <w:r w:rsidRPr="0041074C">
        <w:rPr>
          <w:rFonts w:ascii="Abadi" w:hAnsi="Abadi"/>
          <w:sz w:val="24"/>
          <w:szCs w:val="24"/>
        </w:rPr>
        <w:t>Byroju</w:t>
      </w:r>
      <w:proofErr w:type="spellEnd"/>
      <w:r w:rsidRPr="0041074C">
        <w:rPr>
          <w:rFonts w:ascii="Abadi" w:hAnsi="Abadi"/>
          <w:sz w:val="24"/>
          <w:szCs w:val="24"/>
        </w:rPr>
        <w:t>, and A. L. Fornari Caprara, ‘</w:t>
      </w:r>
      <w:proofErr w:type="spellStart"/>
      <w:r w:rsidRPr="0041074C">
        <w:rPr>
          <w:rFonts w:ascii="Abadi" w:hAnsi="Abadi"/>
          <w:sz w:val="24"/>
          <w:szCs w:val="24"/>
        </w:rPr>
        <w:t>Neuroschistosomiasis</w:t>
      </w:r>
      <w:proofErr w:type="spellEnd"/>
      <w:r w:rsidRPr="0041074C">
        <w:rPr>
          <w:rFonts w:ascii="Abadi" w:hAnsi="Abadi"/>
          <w:sz w:val="24"/>
          <w:szCs w:val="24"/>
        </w:rPr>
        <w:t xml:space="preserve">: A Narrative Review of a Multifaceted Nature of a Neglected Tropical Disease’, Dec. 10, 2024, </w:t>
      </w:r>
      <w:r w:rsidRPr="0041074C">
        <w:rPr>
          <w:rFonts w:ascii="Abadi" w:hAnsi="Abadi"/>
          <w:i/>
          <w:iCs/>
          <w:sz w:val="24"/>
          <w:szCs w:val="24"/>
        </w:rPr>
        <w:t>Medicine and Pharmacology</w:t>
      </w:r>
      <w:r w:rsidRPr="0041074C">
        <w:rPr>
          <w:rFonts w:ascii="Abadi" w:hAnsi="Abadi"/>
          <w:sz w:val="24"/>
          <w:szCs w:val="24"/>
        </w:rPr>
        <w:t xml:space="preserve">. </w:t>
      </w:r>
      <w:proofErr w:type="spellStart"/>
      <w:r w:rsidRPr="0041074C">
        <w:rPr>
          <w:rFonts w:ascii="Abadi" w:hAnsi="Abadi"/>
          <w:sz w:val="24"/>
          <w:szCs w:val="24"/>
        </w:rPr>
        <w:t>doi</w:t>
      </w:r>
      <w:proofErr w:type="spellEnd"/>
      <w:r w:rsidRPr="0041074C">
        <w:rPr>
          <w:rFonts w:ascii="Abadi" w:hAnsi="Abadi"/>
          <w:sz w:val="24"/>
          <w:szCs w:val="24"/>
        </w:rPr>
        <w:t>: 10.20944/preprints202412.0822.v1.</w:t>
      </w:r>
    </w:p>
    <w:p w14:paraId="5D4C9378" w14:textId="77777777" w:rsidR="0041074C" w:rsidRPr="0041074C" w:rsidRDefault="0041074C" w:rsidP="0041074C">
      <w:pPr>
        <w:pStyle w:val="Bibliography"/>
        <w:rPr>
          <w:rFonts w:ascii="Abadi" w:hAnsi="Abadi"/>
          <w:sz w:val="24"/>
          <w:szCs w:val="24"/>
        </w:rPr>
      </w:pPr>
      <w:r w:rsidRPr="0041074C">
        <w:rPr>
          <w:rFonts w:ascii="Abadi" w:hAnsi="Abadi"/>
          <w:sz w:val="24"/>
          <w:szCs w:val="24"/>
        </w:rPr>
        <w:t>[17]</w:t>
      </w:r>
      <w:r w:rsidRPr="0041074C">
        <w:rPr>
          <w:rFonts w:ascii="Abadi" w:hAnsi="Abadi"/>
          <w:sz w:val="24"/>
          <w:szCs w:val="24"/>
        </w:rPr>
        <w:tab/>
        <w:t xml:space="preserve">O. H. Del Brutto </w:t>
      </w:r>
      <w:r w:rsidRPr="0041074C">
        <w:rPr>
          <w:rFonts w:ascii="Abadi" w:hAnsi="Abadi"/>
          <w:i/>
          <w:iCs/>
          <w:sz w:val="24"/>
          <w:szCs w:val="24"/>
        </w:rPr>
        <w:t>et al.</w:t>
      </w:r>
      <w:r w:rsidRPr="0041074C">
        <w:rPr>
          <w:rFonts w:ascii="Abadi" w:hAnsi="Abadi"/>
          <w:sz w:val="24"/>
          <w:szCs w:val="24"/>
        </w:rPr>
        <w:t xml:space="preserve">, ‘Revised diagnostic criteria for neurocysticercosis’, </w:t>
      </w:r>
      <w:r w:rsidRPr="0041074C">
        <w:rPr>
          <w:rFonts w:ascii="Abadi" w:hAnsi="Abadi"/>
          <w:i/>
          <w:iCs/>
          <w:sz w:val="24"/>
          <w:szCs w:val="24"/>
        </w:rPr>
        <w:t>J. Neurol. Sci.</w:t>
      </w:r>
      <w:r w:rsidRPr="0041074C">
        <w:rPr>
          <w:rFonts w:ascii="Abadi" w:hAnsi="Abadi"/>
          <w:sz w:val="24"/>
          <w:szCs w:val="24"/>
        </w:rPr>
        <w:t xml:space="preserve">, vol. 372, pp. 202–210, Jan. 2017, </w:t>
      </w:r>
      <w:proofErr w:type="spellStart"/>
      <w:r w:rsidRPr="0041074C">
        <w:rPr>
          <w:rFonts w:ascii="Abadi" w:hAnsi="Abadi"/>
          <w:sz w:val="24"/>
          <w:szCs w:val="24"/>
        </w:rPr>
        <w:t>doi</w:t>
      </w:r>
      <w:proofErr w:type="spellEnd"/>
      <w:r w:rsidRPr="0041074C">
        <w:rPr>
          <w:rFonts w:ascii="Abadi" w:hAnsi="Abadi"/>
          <w:sz w:val="24"/>
          <w:szCs w:val="24"/>
        </w:rPr>
        <w:t>: 10.1016/j.jns.2016.11.045.</w:t>
      </w:r>
    </w:p>
    <w:p w14:paraId="050B71BE" w14:textId="7F366443" w:rsidR="004438CF" w:rsidRPr="004E47A0" w:rsidRDefault="003E3BE7" w:rsidP="003E3BE7">
      <w:pPr>
        <w:jc w:val="both"/>
        <w:rPr>
          <w:color w:val="EE0000"/>
        </w:rPr>
      </w:pPr>
      <w:r w:rsidRPr="0041074C">
        <w:rPr>
          <w:rFonts w:ascii="Abadi" w:hAnsi="Abadi"/>
          <w:color w:val="EE0000"/>
          <w:sz w:val="24"/>
          <w:szCs w:val="24"/>
        </w:rPr>
        <w:fldChar w:fldCharType="end"/>
      </w:r>
    </w:p>
    <w:sectPr w:rsidR="004438CF" w:rsidRPr="004E47A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F76"/>
    <w:rsid w:val="00007226"/>
    <w:rsid w:val="000A2F76"/>
    <w:rsid w:val="00286731"/>
    <w:rsid w:val="003E3BE7"/>
    <w:rsid w:val="0041074C"/>
    <w:rsid w:val="00430E6E"/>
    <w:rsid w:val="004438CF"/>
    <w:rsid w:val="004A5E27"/>
    <w:rsid w:val="004E47A0"/>
    <w:rsid w:val="00550D13"/>
    <w:rsid w:val="00811CAC"/>
    <w:rsid w:val="00B4401C"/>
    <w:rsid w:val="00BB47EB"/>
    <w:rsid w:val="00D5361B"/>
    <w:rsid w:val="00F134A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146CE"/>
  <w15:chartTrackingRefBased/>
  <w15:docId w15:val="{C73F256A-55D8-4231-B6E0-0C316569C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F76"/>
    <w:rPr>
      <w:kern w:val="2"/>
      <w:lang w:val="en-GB"/>
      <w14:ligatures w14:val="standardContextual"/>
    </w:rPr>
  </w:style>
  <w:style w:type="paragraph" w:styleId="Heading1">
    <w:name w:val="heading 1"/>
    <w:basedOn w:val="Normal"/>
    <w:next w:val="Normal"/>
    <w:link w:val="Heading1Char"/>
    <w:uiPriority w:val="9"/>
    <w:qFormat/>
    <w:rsid w:val="000A2F76"/>
    <w:pPr>
      <w:keepNext/>
      <w:keepLines/>
      <w:spacing w:before="360" w:after="80"/>
      <w:outlineLvl w:val="0"/>
    </w:pPr>
    <w:rPr>
      <w:rFonts w:asciiTheme="majorHAnsi" w:eastAsiaTheme="majorEastAsia" w:hAnsiTheme="majorHAnsi" w:cstheme="majorBidi"/>
      <w:color w:val="2F5496" w:themeColor="accent1" w:themeShade="BF"/>
      <w:kern w:val="0"/>
      <w:sz w:val="40"/>
      <w:szCs w:val="40"/>
      <w:lang w:val="pt-PT"/>
      <w14:ligatures w14:val="none"/>
    </w:rPr>
  </w:style>
  <w:style w:type="paragraph" w:styleId="Heading2">
    <w:name w:val="heading 2"/>
    <w:basedOn w:val="Normal"/>
    <w:next w:val="Normal"/>
    <w:link w:val="Heading2Char"/>
    <w:uiPriority w:val="9"/>
    <w:semiHidden/>
    <w:unhideWhenUsed/>
    <w:qFormat/>
    <w:rsid w:val="000A2F76"/>
    <w:pPr>
      <w:keepNext/>
      <w:keepLines/>
      <w:spacing w:before="160" w:after="80"/>
      <w:outlineLvl w:val="1"/>
    </w:pPr>
    <w:rPr>
      <w:rFonts w:asciiTheme="majorHAnsi" w:eastAsiaTheme="majorEastAsia" w:hAnsiTheme="majorHAnsi" w:cstheme="majorBidi"/>
      <w:color w:val="2F5496" w:themeColor="accent1" w:themeShade="BF"/>
      <w:kern w:val="0"/>
      <w:sz w:val="32"/>
      <w:szCs w:val="32"/>
      <w:lang w:val="pt-PT"/>
      <w14:ligatures w14:val="none"/>
    </w:rPr>
  </w:style>
  <w:style w:type="paragraph" w:styleId="Heading3">
    <w:name w:val="heading 3"/>
    <w:basedOn w:val="Normal"/>
    <w:next w:val="Normal"/>
    <w:link w:val="Heading3Char"/>
    <w:uiPriority w:val="9"/>
    <w:semiHidden/>
    <w:unhideWhenUsed/>
    <w:qFormat/>
    <w:rsid w:val="000A2F76"/>
    <w:pPr>
      <w:keepNext/>
      <w:keepLines/>
      <w:spacing w:before="160" w:after="80"/>
      <w:outlineLvl w:val="2"/>
    </w:pPr>
    <w:rPr>
      <w:rFonts w:eastAsiaTheme="majorEastAsia" w:cstheme="majorBidi"/>
      <w:color w:val="2F5496" w:themeColor="accent1" w:themeShade="BF"/>
      <w:kern w:val="0"/>
      <w:sz w:val="28"/>
      <w:szCs w:val="28"/>
      <w:lang w:val="pt-PT"/>
      <w14:ligatures w14:val="none"/>
    </w:rPr>
  </w:style>
  <w:style w:type="paragraph" w:styleId="Heading4">
    <w:name w:val="heading 4"/>
    <w:basedOn w:val="Normal"/>
    <w:next w:val="Normal"/>
    <w:link w:val="Heading4Char"/>
    <w:uiPriority w:val="9"/>
    <w:semiHidden/>
    <w:unhideWhenUsed/>
    <w:qFormat/>
    <w:rsid w:val="000A2F76"/>
    <w:pPr>
      <w:keepNext/>
      <w:keepLines/>
      <w:spacing w:before="80" w:after="40"/>
      <w:outlineLvl w:val="3"/>
    </w:pPr>
    <w:rPr>
      <w:rFonts w:eastAsiaTheme="majorEastAsia" w:cstheme="majorBidi"/>
      <w:i/>
      <w:iCs/>
      <w:color w:val="2F5496" w:themeColor="accent1" w:themeShade="BF"/>
      <w:kern w:val="0"/>
      <w:lang w:val="pt-PT"/>
      <w14:ligatures w14:val="none"/>
    </w:rPr>
  </w:style>
  <w:style w:type="paragraph" w:styleId="Heading5">
    <w:name w:val="heading 5"/>
    <w:basedOn w:val="Normal"/>
    <w:next w:val="Normal"/>
    <w:link w:val="Heading5Char"/>
    <w:uiPriority w:val="9"/>
    <w:semiHidden/>
    <w:unhideWhenUsed/>
    <w:qFormat/>
    <w:rsid w:val="000A2F76"/>
    <w:pPr>
      <w:keepNext/>
      <w:keepLines/>
      <w:spacing w:before="80" w:after="40"/>
      <w:outlineLvl w:val="4"/>
    </w:pPr>
    <w:rPr>
      <w:rFonts w:eastAsiaTheme="majorEastAsia" w:cstheme="majorBidi"/>
      <w:color w:val="2F5496" w:themeColor="accent1" w:themeShade="BF"/>
      <w:kern w:val="0"/>
      <w:lang w:val="pt-PT"/>
      <w14:ligatures w14:val="none"/>
    </w:rPr>
  </w:style>
  <w:style w:type="paragraph" w:styleId="Heading6">
    <w:name w:val="heading 6"/>
    <w:basedOn w:val="Normal"/>
    <w:next w:val="Normal"/>
    <w:link w:val="Heading6Char"/>
    <w:uiPriority w:val="9"/>
    <w:semiHidden/>
    <w:unhideWhenUsed/>
    <w:qFormat/>
    <w:rsid w:val="000A2F76"/>
    <w:pPr>
      <w:keepNext/>
      <w:keepLines/>
      <w:spacing w:before="40" w:after="0"/>
      <w:outlineLvl w:val="5"/>
    </w:pPr>
    <w:rPr>
      <w:rFonts w:eastAsiaTheme="majorEastAsia" w:cstheme="majorBidi"/>
      <w:i/>
      <w:iCs/>
      <w:color w:val="595959" w:themeColor="text1" w:themeTint="A6"/>
      <w:kern w:val="0"/>
      <w:lang w:val="pt-PT"/>
      <w14:ligatures w14:val="none"/>
    </w:rPr>
  </w:style>
  <w:style w:type="paragraph" w:styleId="Heading7">
    <w:name w:val="heading 7"/>
    <w:basedOn w:val="Normal"/>
    <w:next w:val="Normal"/>
    <w:link w:val="Heading7Char"/>
    <w:uiPriority w:val="9"/>
    <w:semiHidden/>
    <w:unhideWhenUsed/>
    <w:qFormat/>
    <w:rsid w:val="000A2F76"/>
    <w:pPr>
      <w:keepNext/>
      <w:keepLines/>
      <w:spacing w:before="40" w:after="0"/>
      <w:outlineLvl w:val="6"/>
    </w:pPr>
    <w:rPr>
      <w:rFonts w:eastAsiaTheme="majorEastAsia" w:cstheme="majorBidi"/>
      <w:color w:val="595959" w:themeColor="text1" w:themeTint="A6"/>
      <w:kern w:val="0"/>
      <w:lang w:val="pt-PT"/>
      <w14:ligatures w14:val="none"/>
    </w:rPr>
  </w:style>
  <w:style w:type="paragraph" w:styleId="Heading8">
    <w:name w:val="heading 8"/>
    <w:basedOn w:val="Normal"/>
    <w:next w:val="Normal"/>
    <w:link w:val="Heading8Char"/>
    <w:uiPriority w:val="9"/>
    <w:semiHidden/>
    <w:unhideWhenUsed/>
    <w:qFormat/>
    <w:rsid w:val="000A2F76"/>
    <w:pPr>
      <w:keepNext/>
      <w:keepLines/>
      <w:spacing w:after="0"/>
      <w:outlineLvl w:val="7"/>
    </w:pPr>
    <w:rPr>
      <w:rFonts w:eastAsiaTheme="majorEastAsia" w:cstheme="majorBidi"/>
      <w:i/>
      <w:iCs/>
      <w:color w:val="272727" w:themeColor="text1" w:themeTint="D8"/>
      <w:kern w:val="0"/>
      <w:lang w:val="pt-PT"/>
      <w14:ligatures w14:val="none"/>
    </w:rPr>
  </w:style>
  <w:style w:type="paragraph" w:styleId="Heading9">
    <w:name w:val="heading 9"/>
    <w:basedOn w:val="Normal"/>
    <w:next w:val="Normal"/>
    <w:link w:val="Heading9Char"/>
    <w:uiPriority w:val="9"/>
    <w:semiHidden/>
    <w:unhideWhenUsed/>
    <w:qFormat/>
    <w:rsid w:val="000A2F76"/>
    <w:pPr>
      <w:keepNext/>
      <w:keepLines/>
      <w:spacing w:after="0"/>
      <w:outlineLvl w:val="8"/>
    </w:pPr>
    <w:rPr>
      <w:rFonts w:eastAsiaTheme="majorEastAsia" w:cstheme="majorBidi"/>
      <w:color w:val="272727" w:themeColor="text1" w:themeTint="D8"/>
      <w:kern w:val="0"/>
      <w:lang w:val="pt-PT"/>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F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2F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2F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2F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2F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2F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2F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2F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2F76"/>
    <w:rPr>
      <w:rFonts w:eastAsiaTheme="majorEastAsia" w:cstheme="majorBidi"/>
      <w:color w:val="272727" w:themeColor="text1" w:themeTint="D8"/>
    </w:rPr>
  </w:style>
  <w:style w:type="paragraph" w:styleId="Title">
    <w:name w:val="Title"/>
    <w:basedOn w:val="Normal"/>
    <w:next w:val="Normal"/>
    <w:link w:val="TitleChar"/>
    <w:uiPriority w:val="10"/>
    <w:qFormat/>
    <w:rsid w:val="000A2F76"/>
    <w:pPr>
      <w:spacing w:after="80" w:line="240" w:lineRule="auto"/>
      <w:contextualSpacing/>
    </w:pPr>
    <w:rPr>
      <w:rFonts w:asciiTheme="majorHAnsi" w:eastAsiaTheme="majorEastAsia" w:hAnsiTheme="majorHAnsi" w:cstheme="majorBidi"/>
      <w:spacing w:val="-10"/>
      <w:kern w:val="28"/>
      <w:sz w:val="56"/>
      <w:szCs w:val="56"/>
      <w:lang w:val="pt-PT"/>
      <w14:ligatures w14:val="none"/>
    </w:rPr>
  </w:style>
  <w:style w:type="character" w:customStyle="1" w:styleId="TitleChar">
    <w:name w:val="Title Char"/>
    <w:basedOn w:val="DefaultParagraphFont"/>
    <w:link w:val="Title"/>
    <w:uiPriority w:val="10"/>
    <w:rsid w:val="000A2F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2F76"/>
    <w:pPr>
      <w:numPr>
        <w:ilvl w:val="1"/>
      </w:numPr>
    </w:pPr>
    <w:rPr>
      <w:rFonts w:eastAsiaTheme="majorEastAsia" w:cstheme="majorBidi"/>
      <w:color w:val="595959" w:themeColor="text1" w:themeTint="A6"/>
      <w:spacing w:val="15"/>
      <w:kern w:val="0"/>
      <w:sz w:val="28"/>
      <w:szCs w:val="28"/>
      <w:lang w:val="pt-PT"/>
      <w14:ligatures w14:val="none"/>
    </w:rPr>
  </w:style>
  <w:style w:type="character" w:customStyle="1" w:styleId="SubtitleChar">
    <w:name w:val="Subtitle Char"/>
    <w:basedOn w:val="DefaultParagraphFont"/>
    <w:link w:val="Subtitle"/>
    <w:uiPriority w:val="11"/>
    <w:rsid w:val="000A2F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2F76"/>
    <w:pPr>
      <w:spacing w:before="160"/>
      <w:jc w:val="center"/>
    </w:pPr>
    <w:rPr>
      <w:i/>
      <w:iCs/>
      <w:color w:val="404040" w:themeColor="text1" w:themeTint="BF"/>
      <w:kern w:val="0"/>
      <w:lang w:val="pt-PT"/>
      <w14:ligatures w14:val="none"/>
    </w:rPr>
  </w:style>
  <w:style w:type="character" w:customStyle="1" w:styleId="QuoteChar">
    <w:name w:val="Quote Char"/>
    <w:basedOn w:val="DefaultParagraphFont"/>
    <w:link w:val="Quote"/>
    <w:uiPriority w:val="29"/>
    <w:rsid w:val="000A2F76"/>
    <w:rPr>
      <w:i/>
      <w:iCs/>
      <w:color w:val="404040" w:themeColor="text1" w:themeTint="BF"/>
    </w:rPr>
  </w:style>
  <w:style w:type="paragraph" w:styleId="ListParagraph">
    <w:name w:val="List Paragraph"/>
    <w:basedOn w:val="Normal"/>
    <w:uiPriority w:val="34"/>
    <w:qFormat/>
    <w:rsid w:val="000A2F76"/>
    <w:pPr>
      <w:ind w:left="720"/>
      <w:contextualSpacing/>
    </w:pPr>
    <w:rPr>
      <w:kern w:val="0"/>
      <w:lang w:val="pt-PT"/>
      <w14:ligatures w14:val="none"/>
    </w:rPr>
  </w:style>
  <w:style w:type="character" w:styleId="IntenseEmphasis">
    <w:name w:val="Intense Emphasis"/>
    <w:basedOn w:val="DefaultParagraphFont"/>
    <w:uiPriority w:val="21"/>
    <w:qFormat/>
    <w:rsid w:val="000A2F76"/>
    <w:rPr>
      <w:i/>
      <w:iCs/>
      <w:color w:val="2F5496" w:themeColor="accent1" w:themeShade="BF"/>
    </w:rPr>
  </w:style>
  <w:style w:type="paragraph" w:styleId="IntenseQuote">
    <w:name w:val="Intense Quote"/>
    <w:basedOn w:val="Normal"/>
    <w:next w:val="Normal"/>
    <w:link w:val="IntenseQuoteChar"/>
    <w:uiPriority w:val="30"/>
    <w:qFormat/>
    <w:rsid w:val="000A2F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0"/>
      <w:lang w:val="pt-PT"/>
      <w14:ligatures w14:val="none"/>
    </w:rPr>
  </w:style>
  <w:style w:type="character" w:customStyle="1" w:styleId="IntenseQuoteChar">
    <w:name w:val="Intense Quote Char"/>
    <w:basedOn w:val="DefaultParagraphFont"/>
    <w:link w:val="IntenseQuote"/>
    <w:uiPriority w:val="30"/>
    <w:rsid w:val="000A2F76"/>
    <w:rPr>
      <w:i/>
      <w:iCs/>
      <w:color w:val="2F5496" w:themeColor="accent1" w:themeShade="BF"/>
    </w:rPr>
  </w:style>
  <w:style w:type="character" w:styleId="IntenseReference">
    <w:name w:val="Intense Reference"/>
    <w:basedOn w:val="DefaultParagraphFont"/>
    <w:uiPriority w:val="32"/>
    <w:qFormat/>
    <w:rsid w:val="000A2F76"/>
    <w:rPr>
      <w:b/>
      <w:bCs/>
      <w:smallCaps/>
      <w:color w:val="2F5496" w:themeColor="accent1" w:themeShade="BF"/>
      <w:spacing w:val="5"/>
    </w:rPr>
  </w:style>
  <w:style w:type="table" w:styleId="TableGrid">
    <w:name w:val="Table Grid"/>
    <w:basedOn w:val="TableNormal"/>
    <w:uiPriority w:val="59"/>
    <w:rsid w:val="000A2F76"/>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3E3BE7"/>
    <w:pPr>
      <w:tabs>
        <w:tab w:val="left" w:pos="504"/>
      </w:tabs>
      <w:spacing w:after="0"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12538</Words>
  <Characters>71470</Characters>
  <Application>Microsoft Office Word</Application>
  <DocSecurity>0</DocSecurity>
  <Lines>595</Lines>
  <Paragraphs>167</Paragraphs>
  <ScaleCrop>false</ScaleCrop>
  <Company/>
  <LinksUpToDate>false</LinksUpToDate>
  <CharactersWithSpaces>83841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Hipólito José da Silva Nzwalo</dc:creator>
  <cp:keywords/>
  <dc:description/>
  <cp:lastModifiedBy>Helena Buque</cp:lastModifiedBy>
  <cp:revision>4</cp:revision>
  <dcterms:created xsi:type="dcterms:W3CDTF">2026-08-16T21:50:00Z</dcterms:created>
  <dcterms:modified xsi:type="dcterms:W3CDTF">2026-09-03T20:00:00Z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id="B6izOYun"/&gt;&lt;style id="http://www.zotero.org/styles/ieee" locale="en-GB"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