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A820" w14:textId="77777777" w:rsidR="000660DA" w:rsidRPr="008E47C8" w:rsidRDefault="000660DA" w:rsidP="000660D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Appendix 1</w:t>
      </w:r>
      <w:r w:rsidRPr="008E47C8">
        <w:rPr>
          <w:rFonts w:ascii="Times New Roman" w:hAnsi="Times New Roman" w:cs="Times New Roman"/>
          <w:b/>
          <w:bCs/>
          <w:sz w:val="24"/>
          <w:szCs w:val="24"/>
          <w:lang w:val="en-US"/>
        </w:rPr>
        <w:t>: Integrated Comparative Matrix of GT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8E47C8">
        <w:rPr>
          <w:rFonts w:ascii="Times New Roman" w:hAnsi="Times New Roman" w:cs="Times New Roman"/>
          <w:b/>
          <w:bCs/>
          <w:sz w:val="24"/>
          <w:szCs w:val="24"/>
          <w:lang w:val="en-US"/>
        </w:rPr>
        <w:t>GA Signatories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4059"/>
        <w:gridCol w:w="5477"/>
        <w:gridCol w:w="3316"/>
      </w:tblGrid>
      <w:tr w:rsidR="000660DA" w:rsidRPr="008E47C8" w14:paraId="1A9351BD" w14:textId="77777777" w:rsidTr="00F70F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118335" w14:textId="77777777" w:rsidR="000660DA" w:rsidRPr="008E47C8" w:rsidRDefault="000660DA" w:rsidP="00F70FE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Country</w:t>
            </w:r>
          </w:p>
        </w:tc>
        <w:tc>
          <w:tcPr>
            <w:tcW w:w="0" w:type="auto"/>
            <w:vAlign w:val="center"/>
            <w:hideMark/>
          </w:tcPr>
          <w:p w14:paraId="65E348D7" w14:textId="77777777" w:rsidR="000660DA" w:rsidRPr="008E47C8" w:rsidRDefault="000660DA" w:rsidP="00F70FE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pt-BR"/>
                <w14:ligatures w14:val="none"/>
              </w:rPr>
              <w:t>Normative/Strategic Level (Context + Clarity)</w:t>
            </w:r>
          </w:p>
        </w:tc>
        <w:tc>
          <w:tcPr>
            <w:tcW w:w="0" w:type="auto"/>
            <w:vAlign w:val="center"/>
            <w:hideMark/>
          </w:tcPr>
          <w:p w14:paraId="5B6E4FF9" w14:textId="77777777" w:rsidR="000660DA" w:rsidRPr="008E47C8" w:rsidRDefault="000660DA" w:rsidP="00F70FE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pt-BR"/>
                <w14:ligatures w14:val="none"/>
              </w:rPr>
              <w:t>Organizational/Programmatic Level (Complexity + Collaboration)</w:t>
            </w:r>
          </w:p>
        </w:tc>
        <w:tc>
          <w:tcPr>
            <w:tcW w:w="0" w:type="auto"/>
            <w:vAlign w:val="center"/>
            <w:hideMark/>
          </w:tcPr>
          <w:p w14:paraId="31FEE491" w14:textId="77777777" w:rsidR="000660DA" w:rsidRPr="008E47C8" w:rsidRDefault="000660DA" w:rsidP="00F70FE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Operational/Delivery Level (Capacity)</w:t>
            </w:r>
          </w:p>
        </w:tc>
      </w:tr>
      <w:tr w:rsidR="000660DA" w:rsidRPr="00C96A2A" w14:paraId="4CDD33B9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388F1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Chile</w:t>
            </w:r>
          </w:p>
        </w:tc>
        <w:tc>
          <w:tcPr>
            <w:tcW w:w="0" w:type="auto"/>
            <w:vAlign w:val="center"/>
            <w:hideMark/>
          </w:tcPr>
          <w:p w14:paraId="229951C1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Feminist Foreign Policy (2024); Beijing; Buenos Aires Agenda; CELAC Declaration on FFP; CEDAW; SDG 5; gender chapters in multiple FTAs; strong ministerial articulation (MFA, Ministry of Women, SUBREI).</w:t>
            </w:r>
          </w:p>
        </w:tc>
        <w:tc>
          <w:tcPr>
            <w:tcW w:w="0" w:type="auto"/>
            <w:vAlign w:val="center"/>
            <w:hideMark/>
          </w:tcPr>
          <w:p w14:paraId="6EE22889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Mature institutional coordination with ProChile and InvestChile; structured programs (Mujer Exporta, Aduana Conecta, Sello Mujer); low bureaucratic fragmentation.</w:t>
            </w:r>
          </w:p>
        </w:tc>
        <w:tc>
          <w:tcPr>
            <w:tcW w:w="0" w:type="auto"/>
            <w:vAlign w:val="center"/>
            <w:hideMark/>
          </w:tcPr>
          <w:p w14:paraId="7539FE49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High delivery capacity: continuous training, integration into GVCs, public–private Inclusive Trade Tables.</w:t>
            </w:r>
          </w:p>
        </w:tc>
      </w:tr>
      <w:tr w:rsidR="000660DA" w:rsidRPr="00C96A2A" w14:paraId="5BBBDD62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62E20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Mexico</w:t>
            </w:r>
          </w:p>
        </w:tc>
        <w:tc>
          <w:tcPr>
            <w:tcW w:w="0" w:type="auto"/>
            <w:vAlign w:val="center"/>
            <w:hideMark/>
          </w:tcPr>
          <w:p w14:paraId="36F46D5F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Feminist Foreign Policy (2020); CEDAW; GTAGA; SDG 5; strong mainstreaming legislation (General Equality Law 2006); institutional stability (INMUJERES;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 xml:space="preserve">PROIGUALDAD); NDP 2025–2030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emphasises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 gender.</w:t>
            </w:r>
          </w:p>
        </w:tc>
        <w:tc>
          <w:tcPr>
            <w:tcW w:w="0" w:type="auto"/>
            <w:vAlign w:val="center"/>
            <w:hideMark/>
          </w:tcPr>
          <w:p w14:paraId="5A14B6FE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>Robust programmatic architecture involving the Ministry of Economy, INMUJERES, and private sector; MujerExportaMx; international partnerships (IDB, UN Women).</w:t>
            </w:r>
          </w:p>
        </w:tc>
        <w:tc>
          <w:tcPr>
            <w:tcW w:w="0" w:type="auto"/>
            <w:vAlign w:val="center"/>
            <w:hideMark/>
          </w:tcPr>
          <w:p w14:paraId="67BD142C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High capacity: consistent support to women-led SMEs, export promotion, and public–private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internationalisation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 programs.</w:t>
            </w:r>
          </w:p>
        </w:tc>
      </w:tr>
      <w:tr w:rsidR="000660DA" w:rsidRPr="00C96A2A" w14:paraId="1EFE3BF3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8ED0A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Colombia</w:t>
            </w:r>
          </w:p>
        </w:tc>
        <w:tc>
          <w:tcPr>
            <w:tcW w:w="0" w:type="auto"/>
            <w:vAlign w:val="center"/>
            <w:hideMark/>
          </w:tcPr>
          <w:p w14:paraId="2A1A7CD0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Feminist Foreign Policy (2022); GTAGA; CEDAW; SDG 5; National Development Plan 2022–2026 integrates trade &amp; gender; institutional framework includes Fondo Mujer Libre y Productiva.</w:t>
            </w:r>
          </w:p>
        </w:tc>
        <w:tc>
          <w:tcPr>
            <w:tcW w:w="0" w:type="auto"/>
            <w:vAlign w:val="center"/>
            <w:hideMark/>
          </w:tcPr>
          <w:p w14:paraId="55330BC8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Strong coordination between MFA, MinComercio, and ProColombia; programs such as Ella Exporta,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Internationalisation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 Factories, and the Gender Parity Initiative.</w:t>
            </w:r>
          </w:p>
        </w:tc>
        <w:tc>
          <w:tcPr>
            <w:tcW w:w="0" w:type="auto"/>
            <w:vAlign w:val="center"/>
            <w:hideMark/>
          </w:tcPr>
          <w:p w14:paraId="2257D7CB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High capacity: support for diverse export pathways, SME upgrading, and value chain insertion.</w:t>
            </w:r>
          </w:p>
        </w:tc>
      </w:tr>
      <w:tr w:rsidR="000660DA" w:rsidRPr="00C96A2A" w14:paraId="4E67BA9F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E8B68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Brazil</w:t>
            </w:r>
          </w:p>
        </w:tc>
        <w:tc>
          <w:tcPr>
            <w:tcW w:w="0" w:type="auto"/>
            <w:vAlign w:val="center"/>
            <w:hideMark/>
          </w:tcPr>
          <w:p w14:paraId="5246DC1D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GTAGA; CEDAW; SDG 5; Beijing; Buenos Aires Agenda; PPA 2024–2027 (Transversal Agenda for Women);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>National Strategy for Female Entrepreneurship (Dec. 11,593/2023).</w:t>
            </w:r>
          </w:p>
        </w:tc>
        <w:tc>
          <w:tcPr>
            <w:tcW w:w="0" w:type="auto"/>
            <w:vAlign w:val="center"/>
            <w:hideMark/>
          </w:tcPr>
          <w:p w14:paraId="03771B62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 xml:space="preserve">Institutional rebuilding after 2023; increasing collaboration among MDIC, Ministry of Women, ApexBrasil, Sebrae, BB, UFRJ, INPI; key programs include Women and International Business, Elas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>Exportam, Global Women, First Export Program – Women in the World.</w:t>
            </w:r>
          </w:p>
        </w:tc>
        <w:tc>
          <w:tcPr>
            <w:tcW w:w="0" w:type="auto"/>
            <w:vAlign w:val="center"/>
            <w:hideMark/>
          </w:tcPr>
          <w:p w14:paraId="0B621FB9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 xml:space="preserve">Medium and uneven capacity: fragmentation persists, but delivery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is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improving;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lastRenderedPageBreak/>
              <w:t>recognition by WTO (2025) underscores advances.</w:t>
            </w:r>
          </w:p>
        </w:tc>
      </w:tr>
      <w:tr w:rsidR="000660DA" w:rsidRPr="00C96A2A" w14:paraId="28E8B040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F4B5C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Ecuador</w:t>
            </w:r>
          </w:p>
        </w:tc>
        <w:tc>
          <w:tcPr>
            <w:tcW w:w="0" w:type="auto"/>
            <w:vAlign w:val="center"/>
            <w:hideMark/>
          </w:tcPr>
          <w:p w14:paraId="54AB1450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CEDAW; GTAGA; SDG 5; Beijing; Buenos Aires Agenda; gender chapters in FTAs (Chile, Costa Rica); NDP 2021–2025; Equal Pay Law (2024).</w:t>
            </w:r>
          </w:p>
        </w:tc>
        <w:tc>
          <w:tcPr>
            <w:tcW w:w="0" w:type="auto"/>
            <w:vAlign w:val="center"/>
            <w:hideMark/>
          </w:tcPr>
          <w:p w14:paraId="42371FB2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Institutional framework anchored in ANI, Violet Economy Law, and Violet Seal; strong collaboration with UN agencies and international programs (SheTrades, Pro Mujer, AWE).</w:t>
            </w:r>
          </w:p>
        </w:tc>
        <w:tc>
          <w:tcPr>
            <w:tcW w:w="0" w:type="auto"/>
            <w:vAlign w:val="center"/>
            <w:hideMark/>
          </w:tcPr>
          <w:p w14:paraId="57C7D950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Medium capacity: strong certification and training mechanisms; improvements in GGGI ranking reflect impact.</w:t>
            </w:r>
          </w:p>
        </w:tc>
      </w:tr>
      <w:tr w:rsidR="000660DA" w:rsidRPr="00C96A2A" w14:paraId="03A33E9B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E4718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Peru</w:t>
            </w:r>
          </w:p>
        </w:tc>
        <w:tc>
          <w:tcPr>
            <w:tcW w:w="0" w:type="auto"/>
            <w:vAlign w:val="center"/>
            <w:hideMark/>
          </w:tcPr>
          <w:p w14:paraId="7BBA0DE6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CEDAW; GTAGA; SDG 5; PLANIG (2012–2022); PEMI (2020); National Women Entrepreneur Strategy; CONAIG.</w:t>
            </w:r>
          </w:p>
        </w:tc>
        <w:tc>
          <w:tcPr>
            <w:tcW w:w="0" w:type="auto"/>
            <w:vAlign w:val="center"/>
            <w:hideMark/>
          </w:tcPr>
          <w:p w14:paraId="2BB43AE0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PROMPERÚ-led programs (Ella Exporta); partnerships with TFO Canada and regional actors; broad but fragmented programmatic portfolio.</w:t>
            </w:r>
          </w:p>
        </w:tc>
        <w:tc>
          <w:tcPr>
            <w:tcW w:w="0" w:type="auto"/>
            <w:vAlign w:val="center"/>
            <w:hideMark/>
          </w:tcPr>
          <w:p w14:paraId="3C4379C5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Medium capacity: national coverage in 17 regions; inclusion of indigenous women; training and export visibility initiatives.</w:t>
            </w:r>
          </w:p>
        </w:tc>
      </w:tr>
      <w:tr w:rsidR="000660DA" w:rsidRPr="00C96A2A" w14:paraId="28024B62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57117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Costa Rica</w:t>
            </w:r>
          </w:p>
        </w:tc>
        <w:tc>
          <w:tcPr>
            <w:tcW w:w="0" w:type="auto"/>
            <w:vAlign w:val="center"/>
            <w:hideMark/>
          </w:tcPr>
          <w:p w14:paraId="6DF03C58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CEDAW; GTAGA; SDG 5; Beijing; PIEG 2018–2030; strong record in gender mainstreaming; 19th in Global Gender Gap 2024.</w:t>
            </w:r>
          </w:p>
        </w:tc>
        <w:tc>
          <w:tcPr>
            <w:tcW w:w="0" w:type="auto"/>
            <w:vAlign w:val="center"/>
            <w:hideMark/>
          </w:tcPr>
          <w:p w14:paraId="3447F6A1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High interinstitutional coordination (INAMU, Procomer, CINDE); established programs (IPG, IMPULSA, FOMUJERES, We3A, Win-Win).</w:t>
            </w:r>
          </w:p>
        </w:tc>
        <w:tc>
          <w:tcPr>
            <w:tcW w:w="0" w:type="auto"/>
            <w:vAlign w:val="center"/>
            <w:hideMark/>
          </w:tcPr>
          <w:p w14:paraId="47CD3F4D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High capacity: integration into GVCs, training, financing; systematic monitoring of gender impact in trade and climate policies.</w:t>
            </w:r>
          </w:p>
        </w:tc>
      </w:tr>
      <w:tr w:rsidR="000660DA" w:rsidRPr="00C96A2A" w14:paraId="21C308A5" w14:textId="77777777" w:rsidTr="00F70F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2C358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Argentina</w:t>
            </w:r>
          </w:p>
        </w:tc>
        <w:tc>
          <w:tcPr>
            <w:tcW w:w="0" w:type="auto"/>
            <w:vAlign w:val="center"/>
            <w:hideMark/>
          </w:tcPr>
          <w:p w14:paraId="19DCF185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CEDAW; GTAGA; SDG 5; Beijing; Buenos Aires Agenda; REPEF created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in 2022 and abolished in 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2023 (institutional reversal).</w:t>
            </w:r>
          </w:p>
        </w:tc>
        <w:tc>
          <w:tcPr>
            <w:tcW w:w="0" w:type="auto"/>
            <w:vAlign w:val="center"/>
            <w:hideMark/>
          </w:tcPr>
          <w:p w14:paraId="4C2A3A2E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Discontinuous structures; limited collaboration; existing programs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, including Argentinas al Mundo and Emprender Mujeres,</w:t>
            </w: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 face instability.</w:t>
            </w:r>
          </w:p>
        </w:tc>
        <w:tc>
          <w:tcPr>
            <w:tcW w:w="0" w:type="auto"/>
            <w:vAlign w:val="center"/>
            <w:hideMark/>
          </w:tcPr>
          <w:p w14:paraId="0B06DFC4" w14:textId="77777777" w:rsidR="000660DA" w:rsidRPr="008E47C8" w:rsidRDefault="000660DA" w:rsidP="00F70FE7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8E4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t-BR"/>
                <w14:ligatures w14:val="none"/>
              </w:rPr>
              <w:t>Low capacity: abrupt institutional changes reduce continuity and impact.</w:t>
            </w:r>
          </w:p>
        </w:tc>
      </w:tr>
    </w:tbl>
    <w:p w14:paraId="522F5C62" w14:textId="77777777" w:rsidR="000660DA" w:rsidRPr="008E47C8" w:rsidRDefault="000660DA" w:rsidP="000660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47C8">
        <w:rPr>
          <w:rFonts w:ascii="Times New Roman" w:hAnsi="Times New Roman" w:cs="Times New Roman"/>
          <w:sz w:val="24"/>
          <w:szCs w:val="24"/>
          <w:lang w:val="en-US"/>
        </w:rPr>
        <w:t xml:space="preserve">Source: Elaborated by the authors based on </w:t>
      </w:r>
      <w:r>
        <w:rPr>
          <w:rFonts w:ascii="Times New Roman" w:hAnsi="Times New Roman" w:cs="Times New Roman"/>
          <w:sz w:val="24"/>
          <w:szCs w:val="24"/>
          <w:lang w:val="en-US"/>
        </w:rPr>
        <w:t>Hill &amp; Hupe (2002); Hudson et. al. (2019) and empirical data from national agencies and international organisations</w:t>
      </w:r>
      <w:r w:rsidRPr="008E47C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F80F83" w14:textId="77777777" w:rsidR="000660DA" w:rsidRPr="008E47C8" w:rsidRDefault="000660DA" w:rsidP="000660DA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7814B8" w14:textId="77777777" w:rsidR="000660DA" w:rsidRPr="008E47C8" w:rsidRDefault="000660DA" w:rsidP="000660DA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BFA1B3" w14:textId="77777777" w:rsidR="000660DA" w:rsidRPr="008E47C8" w:rsidRDefault="000660DA" w:rsidP="000660DA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1AC9F5" w14:textId="77777777" w:rsidR="00DE6AE2" w:rsidRDefault="00DE6AE2"/>
    <w:sectPr w:rsidR="00DE6AE2" w:rsidSect="000660D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DA"/>
    <w:rsid w:val="000660DA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D4A1F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3DB66"/>
  <w15:chartTrackingRefBased/>
  <w15:docId w15:val="{2C77E33F-382A-43E9-B20B-18EE69DC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0DA"/>
    <w:pPr>
      <w:spacing w:line="259" w:lineRule="auto"/>
    </w:pPr>
    <w:rPr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0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0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0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0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0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0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0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0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0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66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0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66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0D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66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0DA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066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576</Words>
  <Characters>3285</Characters>
  <Application>Microsoft Office Word</Application>
  <DocSecurity>0</DocSecurity>
  <Lines>27</Lines>
  <Paragraphs>7</Paragraphs>
  <ScaleCrop>false</ScaleCrop>
  <Company>Springer Nature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2026-09-25T05:17:00Z</dcterms:created>
  <dcterms:modified xsi:type="dcterms:W3CDTF">2026-09-25T05:18:00Z</dcterms:modified>
</cp:coreProperties>
</file>