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EFB" w:rsidRDefault="00B92EFB" w:rsidP="00B92EFB">
      <w:pPr>
        <w:pStyle w:val="Heading1"/>
        <w:pageBreakBefore/>
      </w:pPr>
      <w:r>
        <w:t>Appendix A. Reproducible search and appraisal details</w:t>
      </w:r>
    </w:p>
    <w:p w:rsidR="00B92EFB" w:rsidRDefault="00B92EFB" w:rsidP="00B92EFB">
      <w:pPr>
        <w:pStyle w:val="Heading2"/>
      </w:pPr>
      <w:r>
        <w:t>A1. Query families</w:t>
      </w:r>
    </w:p>
    <w:p w:rsidR="00B92EFB" w:rsidRDefault="00B92EFB" w:rsidP="00B92EFB">
      <w:pPr>
        <w:pStyle w:val="ListBullet"/>
      </w:pPr>
      <w:r>
        <w:t>"federated learning" AND education</w:t>
      </w:r>
    </w:p>
    <w:p w:rsidR="00B92EFB" w:rsidRDefault="00B92EFB" w:rsidP="00B92EFB">
      <w:pPr>
        <w:pStyle w:val="ListBullet"/>
      </w:pPr>
      <w:r>
        <w:t>"federated learning" AND "student performance"</w:t>
      </w:r>
    </w:p>
    <w:p w:rsidR="00B92EFB" w:rsidRDefault="00B92EFB" w:rsidP="00B92EFB">
      <w:pPr>
        <w:pStyle w:val="ListBullet"/>
      </w:pPr>
      <w:r>
        <w:t>"federated learning" AND "learning analytics"</w:t>
      </w:r>
    </w:p>
    <w:p w:rsidR="00B92EFB" w:rsidRDefault="00B92EFB" w:rsidP="00B92EFB">
      <w:pPr>
        <w:pStyle w:val="ListBullet"/>
      </w:pPr>
      <w:r>
        <w:t>"differential privacy" AND education AND analytics</w:t>
      </w:r>
    </w:p>
    <w:p w:rsidR="00B92EFB" w:rsidRDefault="00B92EFB" w:rsidP="00B92EFB">
      <w:pPr>
        <w:pStyle w:val="ListBullet"/>
      </w:pPr>
      <w:r>
        <w:t>"differential privacy" AND "student performance"</w:t>
      </w:r>
    </w:p>
    <w:p w:rsidR="00B92EFB" w:rsidRDefault="00B92EFB" w:rsidP="00B92EFB">
      <w:pPr>
        <w:pStyle w:val="ListBullet"/>
      </w:pPr>
      <w:r>
        <w:t>"privacy-preserving" AND "learning analytics"</w:t>
      </w:r>
    </w:p>
    <w:p w:rsidR="00B92EFB" w:rsidRDefault="00B92EFB" w:rsidP="00B92EFB">
      <w:pPr>
        <w:pStyle w:val="ListBullet"/>
      </w:pPr>
      <w:r>
        <w:t>"privacy preserving" AND "educational data mining"</w:t>
      </w:r>
    </w:p>
    <w:p w:rsidR="00B92EFB" w:rsidRDefault="00B92EFB" w:rsidP="00B92EFB">
      <w:pPr>
        <w:pStyle w:val="ListBullet"/>
      </w:pPr>
      <w:r>
        <w:t>"synthetic data" AND "learning analytics" AND privacy</w:t>
      </w:r>
    </w:p>
    <w:p w:rsidR="00B92EFB" w:rsidRDefault="00B92EFB" w:rsidP="00B92EFB">
      <w:pPr>
        <w:pStyle w:val="ListBullet"/>
      </w:pPr>
      <w:r>
        <w:t>"secure multiparty computation" AND education AND analytics</w:t>
      </w:r>
    </w:p>
    <w:p w:rsidR="00B92EFB" w:rsidRDefault="00B92EFB" w:rsidP="00B92EFB">
      <w:pPr>
        <w:pStyle w:val="ListBullet"/>
      </w:pPr>
      <w:r>
        <w:t>"</w:t>
      </w:r>
      <w:proofErr w:type="spellStart"/>
      <w:r>
        <w:t>homomorphic</w:t>
      </w:r>
      <w:proofErr w:type="spellEnd"/>
      <w:r>
        <w:t xml:space="preserve"> encryption" AND education AND analytics</w:t>
      </w:r>
    </w:p>
    <w:p w:rsidR="00B92EFB" w:rsidRDefault="00B92EFB" w:rsidP="00B92EFB">
      <w:pPr>
        <w:pStyle w:val="ListBullet"/>
      </w:pPr>
      <w:r>
        <w:t>"privacy-preserving machine learning" AND student AND education</w:t>
      </w:r>
    </w:p>
    <w:p w:rsidR="00B92EFB" w:rsidRDefault="00B92EFB" w:rsidP="00B92EFB">
      <w:pPr>
        <w:spacing w:after="160"/>
      </w:pPr>
      <w:r>
        <w:t xml:space="preserve">Date limits: 1 January 2018 to 3 September 2026. Language: English. Eligible formats: peer-reviewed journal articles and full conference papers. </w:t>
      </w:r>
      <w:proofErr w:type="spellStart"/>
      <w:r>
        <w:t>OpenAlex</w:t>
      </w:r>
      <w:proofErr w:type="spellEnd"/>
      <w:r>
        <w:t xml:space="preserve"> returned up to 200 ranked records per query and </w:t>
      </w:r>
      <w:proofErr w:type="spellStart"/>
      <w:r>
        <w:t>Crossref</w:t>
      </w:r>
      <w:proofErr w:type="spellEnd"/>
      <w:r>
        <w:t xml:space="preserve"> up to 150. Targeted publisher and citation searches were used for verification and supplementary retrieval.</w:t>
      </w:r>
    </w:p>
    <w:p w:rsidR="00B92EFB" w:rsidRDefault="00B92EFB" w:rsidP="00B92EFB">
      <w:pPr>
        <w:pStyle w:val="Heading2"/>
      </w:pPr>
      <w:r>
        <w:t>A2. Evidence-readiness domains</w:t>
      </w:r>
    </w:p>
    <w:tbl>
      <w:tblPr>
        <w:tblStyle w:val="TableGrid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500"/>
        <w:gridCol w:w="6860"/>
      </w:tblGrid>
      <w:tr w:rsidR="00B92EFB" w:rsidTr="00D72E44">
        <w:trPr>
          <w:tblHeader/>
        </w:trPr>
        <w:tc>
          <w:tcPr>
            <w:tcW w:w="2500" w:type="dxa"/>
            <w:shd w:val="clear" w:color="auto" w:fill="1F4E7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92EFB" w:rsidRDefault="00B92EFB" w:rsidP="00D72E44"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Domain</w:t>
            </w:r>
          </w:p>
        </w:tc>
        <w:tc>
          <w:tcPr>
            <w:tcW w:w="6860" w:type="dxa"/>
            <w:shd w:val="clear" w:color="auto" w:fill="1F4E7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B92EFB" w:rsidRDefault="00B92EFB" w:rsidP="00D72E44"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 xml:space="preserve">Criterion for positive </w:t>
            </w:r>
            <w:proofErr w:type="spellStart"/>
            <w:r>
              <w:rPr>
                <w:rFonts w:ascii="Arial" w:hAnsi="Arial"/>
                <w:b/>
                <w:color w:val="FFFFFF"/>
                <w:sz w:val="16"/>
              </w:rPr>
              <w:t>judgement</w:t>
            </w:r>
            <w:proofErr w:type="spellEnd"/>
          </w:p>
        </w:tc>
      </w:tr>
      <w:tr w:rsidR="00B92EFB" w:rsidTr="00D72E44">
        <w:tc>
          <w:tcPr>
            <w:tcW w:w="2500" w:type="dxa"/>
          </w:tcPr>
          <w:p w:rsidR="00B92EFB" w:rsidRDefault="00B92EFB" w:rsidP="00D72E44"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Data provenance</w:t>
            </w:r>
          </w:p>
        </w:tc>
        <w:tc>
          <w:tcPr>
            <w:tcW w:w="6860" w:type="dxa"/>
          </w:tcPr>
          <w:p w:rsidR="00B92EFB" w:rsidRDefault="00B92EFB" w:rsidP="00D72E44"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Dataset, sample size, setting and partitioning were sufficiently described.</w:t>
            </w:r>
          </w:p>
        </w:tc>
      </w:tr>
      <w:tr w:rsidR="00B92EFB" w:rsidTr="00D72E44">
        <w:tc>
          <w:tcPr>
            <w:tcW w:w="2500" w:type="dxa"/>
            <w:shd w:val="clear" w:color="auto" w:fill="EDF5FA"/>
          </w:tcPr>
          <w:p w:rsidR="00B92EFB" w:rsidRDefault="00B92EFB" w:rsidP="00D72E44"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Comparator</w:t>
            </w:r>
          </w:p>
        </w:tc>
        <w:tc>
          <w:tcPr>
            <w:tcW w:w="6860" w:type="dxa"/>
            <w:shd w:val="clear" w:color="auto" w:fill="EDF5FA"/>
          </w:tcPr>
          <w:p w:rsidR="00B92EFB" w:rsidRDefault="00B92EFB" w:rsidP="00D72E44"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 xml:space="preserve">Protected method was compared with a </w:t>
            </w:r>
            <w:proofErr w:type="spellStart"/>
            <w:r>
              <w:rPr>
                <w:rFonts w:ascii="Arial" w:hAnsi="Arial"/>
                <w:sz w:val="16"/>
              </w:rPr>
              <w:t>centralised</w:t>
            </w:r>
            <w:proofErr w:type="spellEnd"/>
            <w:r>
              <w:rPr>
                <w:rFonts w:ascii="Arial" w:hAnsi="Arial"/>
                <w:sz w:val="16"/>
              </w:rPr>
              <w:t>, local, non-private or established baseline.</w:t>
            </w:r>
          </w:p>
        </w:tc>
      </w:tr>
      <w:tr w:rsidR="00B92EFB" w:rsidTr="00D72E44">
        <w:tc>
          <w:tcPr>
            <w:tcW w:w="2500" w:type="dxa"/>
          </w:tcPr>
          <w:p w:rsidR="00B92EFB" w:rsidRDefault="00B92EFB" w:rsidP="00D72E44"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Privacy specification</w:t>
            </w:r>
          </w:p>
        </w:tc>
        <w:tc>
          <w:tcPr>
            <w:tcW w:w="6860" w:type="dxa"/>
          </w:tcPr>
          <w:p w:rsidR="00B92EFB" w:rsidRDefault="00B92EFB" w:rsidP="00D72E44"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Mechanism and relevant parameters, cryptographic assumptions or data-</w:t>
            </w:r>
            <w:proofErr w:type="spellStart"/>
            <w:r>
              <w:rPr>
                <w:rFonts w:ascii="Arial" w:hAnsi="Arial"/>
                <w:sz w:val="16"/>
              </w:rPr>
              <w:t>minimisation</w:t>
            </w:r>
            <w:proofErr w:type="spellEnd"/>
            <w:r>
              <w:rPr>
                <w:rFonts w:ascii="Arial" w:hAnsi="Arial"/>
                <w:sz w:val="16"/>
              </w:rPr>
              <w:t xml:space="preserve"> rules were stated.</w:t>
            </w:r>
          </w:p>
        </w:tc>
      </w:tr>
      <w:tr w:rsidR="00B92EFB" w:rsidTr="00D72E44">
        <w:tc>
          <w:tcPr>
            <w:tcW w:w="2500" w:type="dxa"/>
            <w:shd w:val="clear" w:color="auto" w:fill="EDF5FA"/>
          </w:tcPr>
          <w:p w:rsidR="00B92EFB" w:rsidRDefault="00B92EFB" w:rsidP="00D72E44"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Threat evaluation</w:t>
            </w:r>
          </w:p>
        </w:tc>
        <w:tc>
          <w:tcPr>
            <w:tcW w:w="6860" w:type="dxa"/>
            <w:shd w:val="clear" w:color="auto" w:fill="EDF5FA"/>
          </w:tcPr>
          <w:p w:rsidR="00B92EFB" w:rsidRDefault="00B92EFB" w:rsidP="00D72E44"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Membership inference, re-identification, gradient leakage or another plausible disclosure test was conducted.</w:t>
            </w:r>
          </w:p>
        </w:tc>
      </w:tr>
      <w:tr w:rsidR="00B92EFB" w:rsidTr="00D72E44">
        <w:tc>
          <w:tcPr>
            <w:tcW w:w="2500" w:type="dxa"/>
          </w:tcPr>
          <w:p w:rsidR="00B92EFB" w:rsidRDefault="00B92EFB" w:rsidP="00D72E44"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Robustness</w:t>
            </w:r>
          </w:p>
        </w:tc>
        <w:tc>
          <w:tcPr>
            <w:tcW w:w="6860" w:type="dxa"/>
          </w:tcPr>
          <w:p w:rsidR="00B92EFB" w:rsidRDefault="00B92EFB" w:rsidP="00D72E44"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Non-IID, cross-dataset, temporal, holdout-course, sensitivity or repeated-seed evaluation was reported.</w:t>
            </w:r>
          </w:p>
        </w:tc>
      </w:tr>
      <w:tr w:rsidR="00B92EFB" w:rsidTr="00D72E44">
        <w:tc>
          <w:tcPr>
            <w:tcW w:w="2500" w:type="dxa"/>
            <w:shd w:val="clear" w:color="auto" w:fill="EDF5FA"/>
          </w:tcPr>
          <w:p w:rsidR="00B92EFB" w:rsidRDefault="00B92EFB" w:rsidP="00D72E44"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Fairness/interpretability</w:t>
            </w:r>
          </w:p>
        </w:tc>
        <w:tc>
          <w:tcPr>
            <w:tcW w:w="6860" w:type="dxa"/>
            <w:shd w:val="clear" w:color="auto" w:fill="EDF5FA"/>
          </w:tcPr>
          <w:p w:rsidR="00B92EFB" w:rsidRDefault="00B92EFB" w:rsidP="00D72E44"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Subgroup performance, fairness, calibration or explanation stability was assessed.</w:t>
            </w:r>
          </w:p>
        </w:tc>
      </w:tr>
      <w:tr w:rsidR="00B92EFB" w:rsidTr="00D72E44">
        <w:tc>
          <w:tcPr>
            <w:tcW w:w="2500" w:type="dxa"/>
          </w:tcPr>
          <w:p w:rsidR="00B92EFB" w:rsidRDefault="00B92EFB" w:rsidP="00D72E44"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Reproducibility</w:t>
            </w:r>
          </w:p>
        </w:tc>
        <w:tc>
          <w:tcPr>
            <w:tcW w:w="6860" w:type="dxa"/>
          </w:tcPr>
          <w:p w:rsidR="00B92EFB" w:rsidRDefault="00B92EFB" w:rsidP="00D72E44"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 xml:space="preserve">Code, data, detailed </w:t>
            </w:r>
            <w:proofErr w:type="spellStart"/>
            <w:r>
              <w:rPr>
                <w:rFonts w:ascii="Arial" w:hAnsi="Arial"/>
                <w:sz w:val="16"/>
              </w:rPr>
              <w:t>hyperparameters</w:t>
            </w:r>
            <w:proofErr w:type="spellEnd"/>
            <w:r>
              <w:rPr>
                <w:rFonts w:ascii="Arial" w:hAnsi="Arial"/>
                <w:sz w:val="16"/>
              </w:rPr>
              <w:t xml:space="preserve"> or an executable/open </w:t>
            </w:r>
            <w:proofErr w:type="spellStart"/>
            <w:r>
              <w:rPr>
                <w:rFonts w:ascii="Arial" w:hAnsi="Arial"/>
                <w:sz w:val="16"/>
              </w:rPr>
              <w:t>artefact</w:t>
            </w:r>
            <w:proofErr w:type="spellEnd"/>
            <w:r>
              <w:rPr>
                <w:rFonts w:ascii="Arial" w:hAnsi="Arial"/>
                <w:sz w:val="16"/>
              </w:rPr>
              <w:t xml:space="preserve"> was provided.</w:t>
            </w:r>
          </w:p>
        </w:tc>
      </w:tr>
    </w:tbl>
    <w:p w:rsidR="00B92EFB" w:rsidRDefault="00B92EFB" w:rsidP="00B92EFB">
      <w:pPr>
        <w:spacing w:after="20"/>
      </w:pPr>
    </w:p>
    <w:p w:rsidR="00B92EFB" w:rsidRDefault="00B92EFB" w:rsidP="00B92EFB"/>
    <w:p w:rsidR="00DA5E68" w:rsidRDefault="00B92EFB">
      <w:bookmarkStart w:id="0" w:name="_GoBack"/>
      <w:bookmarkEnd w:id="0"/>
    </w:p>
    <w:sectPr w:rsidR="00DA5E68" w:rsidSect="00034616">
      <w:headerReference w:type="default" r:id="rId6"/>
      <w:footerReference w:type="default" r:id="rId7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063" w:rsidRDefault="00B92EFB">
    <w:pPr>
      <w:pStyle w:val="Footer"/>
      <w:jc w:val="right"/>
    </w:pPr>
    <w:r>
      <w:rPr>
        <w:rFonts w:ascii="Arial" w:hAnsi="Arial"/>
        <w:color w:val="5E6873"/>
        <w:sz w:val="18"/>
      </w:rPr>
      <w:fldChar w:fldCharType="begin"/>
    </w:r>
    <w:r>
      <w:rPr>
        <w:rFonts w:ascii="Arial" w:hAnsi="Arial"/>
        <w:color w:val="5E6873"/>
        <w:sz w:val="18"/>
      </w:rPr>
      <w:instrText xml:space="preserve"> PAGE </w:instrText>
    </w:r>
    <w:r>
      <w:rPr>
        <w:rFonts w:ascii="Arial" w:hAnsi="Arial"/>
        <w:color w:val="5E6873"/>
        <w:sz w:val="18"/>
      </w:rPr>
      <w:fldChar w:fldCharType="separate"/>
    </w:r>
    <w:r>
      <w:rPr>
        <w:rFonts w:ascii="Arial" w:hAnsi="Arial"/>
        <w:noProof/>
        <w:color w:val="5E6873"/>
        <w:sz w:val="18"/>
      </w:rPr>
      <w:t>1</w:t>
    </w:r>
    <w:r>
      <w:rPr>
        <w:rFonts w:ascii="Arial" w:hAnsi="Arial"/>
        <w:color w:val="5E6873"/>
        <w:sz w:val="18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063" w:rsidRDefault="00B92EFB">
    <w:pPr>
      <w:pStyle w:val="Header"/>
      <w:pBdr>
        <w:bottom w:val="single" w:sz="6" w:space="2" w:color="D6DCE4"/>
      </w:pBdr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5AB071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EFB"/>
    <w:rsid w:val="00332A6C"/>
    <w:rsid w:val="005C2FD7"/>
    <w:rsid w:val="008F1612"/>
    <w:rsid w:val="009B3E5D"/>
    <w:rsid w:val="00B92EFB"/>
    <w:rsid w:val="00C42D44"/>
    <w:rsid w:val="00D4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EFB"/>
    <w:pPr>
      <w:spacing w:after="120" w:line="276" w:lineRule="auto"/>
      <w:jc w:val="both"/>
    </w:pPr>
    <w:rPr>
      <w:rFonts w:ascii="Times New Roman" w:eastAsiaTheme="minorEastAsia" w:hAnsi="Times New Roman"/>
      <w:color w:val="111111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92EFB"/>
    <w:pPr>
      <w:keepNext/>
      <w:keepLines/>
      <w:spacing w:before="300" w:after="140"/>
      <w:outlineLvl w:val="0"/>
    </w:pPr>
    <w:rPr>
      <w:rFonts w:asciiTheme="majorHAnsi" w:eastAsiaTheme="majorEastAsia" w:hAnsiTheme="majorHAnsi" w:cstheme="majorBidi"/>
      <w:b/>
      <w:bCs/>
      <w:color w:val="1F4E78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92EFB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/>
      <w:b/>
      <w:bCs/>
      <w:color w:val="1F4E78"/>
      <w:sz w:val="25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2EFB"/>
    <w:rPr>
      <w:rFonts w:asciiTheme="majorHAnsi" w:eastAsiaTheme="majorEastAsia" w:hAnsiTheme="majorHAnsi" w:cstheme="majorBidi"/>
      <w:b/>
      <w:bCs/>
      <w:color w:val="1F4E78"/>
      <w:sz w:val="30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B92EFB"/>
    <w:rPr>
      <w:rFonts w:asciiTheme="majorHAnsi" w:eastAsiaTheme="majorEastAsia" w:hAnsiTheme="majorHAnsi" w:cstheme="majorBidi"/>
      <w:b/>
      <w:bCs/>
      <w:color w:val="1F4E78"/>
      <w:sz w:val="25"/>
      <w:szCs w:val="2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92E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2EFB"/>
    <w:rPr>
      <w:rFonts w:ascii="Times New Roman" w:eastAsiaTheme="minorEastAsia" w:hAnsi="Times New Roman"/>
      <w:color w:val="111111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92E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2EFB"/>
    <w:rPr>
      <w:rFonts w:ascii="Times New Roman" w:eastAsiaTheme="minorEastAsia" w:hAnsi="Times New Roman"/>
      <w:color w:val="111111"/>
      <w:lang w:val="en-US"/>
    </w:rPr>
  </w:style>
  <w:style w:type="paragraph" w:styleId="ListBullet">
    <w:name w:val="List Bullet"/>
    <w:basedOn w:val="Normal"/>
    <w:uiPriority w:val="99"/>
    <w:unhideWhenUsed/>
    <w:rsid w:val="00B92EFB"/>
    <w:pPr>
      <w:numPr>
        <w:numId w:val="1"/>
      </w:numPr>
      <w:spacing w:after="80"/>
      <w:ind w:left="540" w:hanging="279"/>
      <w:contextualSpacing/>
    </w:pPr>
  </w:style>
  <w:style w:type="table" w:styleId="TableGrid">
    <w:name w:val="Table Grid"/>
    <w:basedOn w:val="TableNormal"/>
    <w:uiPriority w:val="59"/>
    <w:rsid w:val="00B92EFB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EFB"/>
    <w:pPr>
      <w:spacing w:after="120" w:line="276" w:lineRule="auto"/>
      <w:jc w:val="both"/>
    </w:pPr>
    <w:rPr>
      <w:rFonts w:ascii="Times New Roman" w:eastAsiaTheme="minorEastAsia" w:hAnsi="Times New Roman"/>
      <w:color w:val="111111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92EFB"/>
    <w:pPr>
      <w:keepNext/>
      <w:keepLines/>
      <w:spacing w:before="300" w:after="140"/>
      <w:outlineLvl w:val="0"/>
    </w:pPr>
    <w:rPr>
      <w:rFonts w:asciiTheme="majorHAnsi" w:eastAsiaTheme="majorEastAsia" w:hAnsiTheme="majorHAnsi" w:cstheme="majorBidi"/>
      <w:b/>
      <w:bCs/>
      <w:color w:val="1F4E78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92EFB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/>
      <w:b/>
      <w:bCs/>
      <w:color w:val="1F4E78"/>
      <w:sz w:val="25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2EFB"/>
    <w:rPr>
      <w:rFonts w:asciiTheme="majorHAnsi" w:eastAsiaTheme="majorEastAsia" w:hAnsiTheme="majorHAnsi" w:cstheme="majorBidi"/>
      <w:b/>
      <w:bCs/>
      <w:color w:val="1F4E78"/>
      <w:sz w:val="30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B92EFB"/>
    <w:rPr>
      <w:rFonts w:asciiTheme="majorHAnsi" w:eastAsiaTheme="majorEastAsia" w:hAnsiTheme="majorHAnsi" w:cstheme="majorBidi"/>
      <w:b/>
      <w:bCs/>
      <w:color w:val="1F4E78"/>
      <w:sz w:val="25"/>
      <w:szCs w:val="2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92E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2EFB"/>
    <w:rPr>
      <w:rFonts w:ascii="Times New Roman" w:eastAsiaTheme="minorEastAsia" w:hAnsi="Times New Roman"/>
      <w:color w:val="111111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92E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2EFB"/>
    <w:rPr>
      <w:rFonts w:ascii="Times New Roman" w:eastAsiaTheme="minorEastAsia" w:hAnsi="Times New Roman"/>
      <w:color w:val="111111"/>
      <w:lang w:val="en-US"/>
    </w:rPr>
  </w:style>
  <w:style w:type="paragraph" w:styleId="ListBullet">
    <w:name w:val="List Bullet"/>
    <w:basedOn w:val="Normal"/>
    <w:uiPriority w:val="99"/>
    <w:unhideWhenUsed/>
    <w:rsid w:val="00B92EFB"/>
    <w:pPr>
      <w:numPr>
        <w:numId w:val="1"/>
      </w:numPr>
      <w:spacing w:after="80"/>
      <w:ind w:left="540" w:hanging="279"/>
      <w:contextualSpacing/>
    </w:pPr>
  </w:style>
  <w:style w:type="table" w:styleId="TableGrid">
    <w:name w:val="Table Grid"/>
    <w:basedOn w:val="TableNormal"/>
    <w:uiPriority w:val="59"/>
    <w:rsid w:val="00B92EFB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1532</Characters>
  <Application>Microsoft Office Word</Application>
  <DocSecurity>0</DocSecurity>
  <Lines>12</Lines>
  <Paragraphs>3</Paragraphs>
  <ScaleCrop>false</ScaleCrop>
  <Company>HP</Company>
  <LinksUpToDate>false</LinksUpToDate>
  <CharactersWithSpaces>1797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ADESEGUN OSIJIRIN</dc:creator>
  <cp:lastModifiedBy>ADESEGUN OSIJIRIN</cp:lastModifiedBy>
  <cp:revision>1</cp:revision>
  <dcterms:created xsi:type="dcterms:W3CDTF">2026-09-03T17:24:00Z</dcterms:created>
  <dcterms:modified xsi:type="dcterms:W3CDTF">2026-09-03T17:28:00Z</dcterms:modified>
</cp:coreProperties>
</file>