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F6B19" w14:textId="07AC0E08" w:rsidR="00EA2C37" w:rsidRPr="00EA2C37" w:rsidRDefault="00EA2C37" w:rsidP="00EA2C37">
      <w:pPr>
        <w:spacing w:after="220" w:line="259" w:lineRule="auto"/>
        <w:jc w:val="center"/>
        <w:rPr>
          <w:rFonts w:ascii="Arial" w:hAnsi="Arial" w:cs="Arial"/>
          <w:sz w:val="22"/>
          <w:szCs w:val="22"/>
        </w:rPr>
      </w:pPr>
      <w:r w:rsidRPr="00EA2C37">
        <w:rPr>
          <w:rFonts w:ascii="Arial" w:hAnsi="Arial" w:cs="Arial"/>
          <w:b/>
          <w:bCs/>
          <w:sz w:val="22"/>
          <w:szCs w:val="22"/>
        </w:rPr>
        <w:t>Supplemental Table 1 — GAP Study ICD-10 Codes for Initial i2b2 Data Query on 4/11/2018</w:t>
      </w:r>
    </w:p>
    <w:p w14:paraId="64AD8BA5" w14:textId="77777777" w:rsidR="00EA2C37" w:rsidRPr="00EA2C37" w:rsidRDefault="00EA2C37" w:rsidP="00EA2C37">
      <w:pPr>
        <w:spacing w:after="220" w:line="259" w:lineRule="auto"/>
        <w:jc w:val="center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5"/>
        <w:gridCol w:w="8365"/>
      </w:tblGrid>
      <w:tr w:rsidR="00EA2C37" w:rsidRPr="00EA2C37" w14:paraId="27A4994C" w14:textId="77777777" w:rsidTr="00EA2C37">
        <w:tc>
          <w:tcPr>
            <w:tcW w:w="2425" w:type="dxa"/>
            <w:shd w:val="clear" w:color="auto" w:fill="808080" w:themeFill="background1" w:themeFillShade="80"/>
          </w:tcPr>
          <w:p w14:paraId="1B418394" w14:textId="0BF20D49" w:rsidR="00EA2C37" w:rsidRPr="00EA2C37" w:rsidRDefault="00EA2C37" w:rsidP="00EA2C37">
            <w:pPr>
              <w:spacing w:after="22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A2C37">
              <w:rPr>
                <w:rFonts w:ascii="Arial" w:hAnsi="Arial" w:cs="Arial"/>
                <w:b/>
                <w:bCs/>
                <w:sz w:val="22"/>
                <w:szCs w:val="22"/>
              </w:rPr>
              <w:t>ICD-10 Code</w:t>
            </w:r>
          </w:p>
        </w:tc>
        <w:tc>
          <w:tcPr>
            <w:tcW w:w="8365" w:type="dxa"/>
            <w:shd w:val="clear" w:color="auto" w:fill="808080" w:themeFill="background1" w:themeFillShade="80"/>
          </w:tcPr>
          <w:p w14:paraId="3B6187D4" w14:textId="772A8593" w:rsidR="00EA2C37" w:rsidRPr="00EA2C37" w:rsidRDefault="00EA2C37" w:rsidP="00EA2C37">
            <w:pPr>
              <w:spacing w:after="22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A2C37">
              <w:rPr>
                <w:rFonts w:ascii="Arial" w:hAnsi="Arial" w:cs="Arial"/>
                <w:b/>
                <w:bCs/>
                <w:sz w:val="22"/>
                <w:szCs w:val="22"/>
              </w:rPr>
              <w:t>Condition</w:t>
            </w:r>
          </w:p>
        </w:tc>
      </w:tr>
      <w:tr w:rsidR="00EA2C37" w:rsidRPr="00EA2C37" w14:paraId="7A28DD62" w14:textId="77777777" w:rsidTr="00EA2C37">
        <w:tc>
          <w:tcPr>
            <w:tcW w:w="2425" w:type="dxa"/>
          </w:tcPr>
          <w:p w14:paraId="75A8C682" w14:textId="3A2E1744" w:rsidR="00EA2C37" w:rsidRPr="00EA2C37" w:rsidRDefault="00EA2C37" w:rsidP="00EA2C37">
            <w:pPr>
              <w:spacing w:after="220" w:line="259" w:lineRule="auto"/>
              <w:rPr>
                <w:rFonts w:ascii="Arial" w:hAnsi="Arial" w:cs="Arial"/>
                <w:sz w:val="22"/>
                <w:szCs w:val="22"/>
              </w:rPr>
            </w:pPr>
            <w:r w:rsidRPr="00EA2C37">
              <w:rPr>
                <w:rFonts w:ascii="Arial" w:hAnsi="Arial" w:cs="Arial"/>
                <w:sz w:val="22"/>
                <w:szCs w:val="22"/>
              </w:rPr>
              <w:t>E55.0</w:t>
            </w:r>
          </w:p>
        </w:tc>
        <w:tc>
          <w:tcPr>
            <w:tcW w:w="8365" w:type="dxa"/>
          </w:tcPr>
          <w:p w14:paraId="66D450B3" w14:textId="153F6CE3" w:rsidR="00EA2C37" w:rsidRPr="00EA2C37" w:rsidRDefault="00EA2C37" w:rsidP="00EA2C37">
            <w:pPr>
              <w:spacing w:after="220" w:line="259" w:lineRule="auto"/>
              <w:rPr>
                <w:rFonts w:ascii="Arial" w:hAnsi="Arial" w:cs="Arial"/>
                <w:sz w:val="22"/>
                <w:szCs w:val="22"/>
              </w:rPr>
            </w:pPr>
            <w:r w:rsidRPr="00EA2C37">
              <w:rPr>
                <w:rFonts w:ascii="Arial" w:hAnsi="Arial" w:cs="Arial"/>
                <w:sz w:val="22"/>
                <w:szCs w:val="22"/>
              </w:rPr>
              <w:t>Rickets, active</w:t>
            </w:r>
          </w:p>
        </w:tc>
      </w:tr>
      <w:tr w:rsidR="00EA2C37" w:rsidRPr="00EA2C37" w14:paraId="735B62FF" w14:textId="77777777" w:rsidTr="00EA2C37">
        <w:tc>
          <w:tcPr>
            <w:tcW w:w="2425" w:type="dxa"/>
            <w:shd w:val="clear" w:color="auto" w:fill="D9D9D9" w:themeFill="background1" w:themeFillShade="D9"/>
          </w:tcPr>
          <w:p w14:paraId="500B048C" w14:textId="3D410A7F" w:rsidR="00EA2C37" w:rsidRPr="00EA2C37" w:rsidRDefault="00EA2C37" w:rsidP="00EA2C37">
            <w:pPr>
              <w:spacing w:after="220" w:line="259" w:lineRule="auto"/>
              <w:rPr>
                <w:rFonts w:ascii="Arial" w:hAnsi="Arial" w:cs="Arial"/>
                <w:sz w:val="22"/>
                <w:szCs w:val="22"/>
              </w:rPr>
            </w:pPr>
            <w:r w:rsidRPr="00EA2C37">
              <w:rPr>
                <w:rFonts w:ascii="Arial" w:hAnsi="Arial" w:cs="Arial"/>
                <w:sz w:val="22"/>
                <w:szCs w:val="22"/>
              </w:rPr>
              <w:t>E64.3</w:t>
            </w:r>
          </w:p>
        </w:tc>
        <w:tc>
          <w:tcPr>
            <w:tcW w:w="8365" w:type="dxa"/>
            <w:shd w:val="clear" w:color="auto" w:fill="D9D9D9" w:themeFill="background1" w:themeFillShade="D9"/>
          </w:tcPr>
          <w:p w14:paraId="51BA4E51" w14:textId="033C6F4D" w:rsidR="00EA2C37" w:rsidRPr="00EA2C37" w:rsidRDefault="00EA2C37" w:rsidP="00EA2C37">
            <w:pPr>
              <w:spacing w:after="220" w:line="259" w:lineRule="auto"/>
              <w:rPr>
                <w:rFonts w:ascii="Arial" w:hAnsi="Arial" w:cs="Arial"/>
                <w:sz w:val="22"/>
                <w:szCs w:val="22"/>
              </w:rPr>
            </w:pPr>
            <w:r w:rsidRPr="00EA2C37">
              <w:rPr>
                <w:rFonts w:ascii="Arial" w:hAnsi="Arial" w:cs="Arial"/>
                <w:sz w:val="22"/>
                <w:szCs w:val="22"/>
              </w:rPr>
              <w:t>Inactive rickets</w:t>
            </w:r>
          </w:p>
        </w:tc>
      </w:tr>
      <w:tr w:rsidR="00EA2C37" w:rsidRPr="00EA2C37" w14:paraId="2BB76811" w14:textId="77777777" w:rsidTr="00EA2C37">
        <w:tc>
          <w:tcPr>
            <w:tcW w:w="2425" w:type="dxa"/>
          </w:tcPr>
          <w:p w14:paraId="7099C4CF" w14:textId="6003EABB" w:rsidR="00EA2C37" w:rsidRPr="00EA2C37" w:rsidRDefault="00EA2C37" w:rsidP="00EA2C37">
            <w:pPr>
              <w:spacing w:after="220" w:line="259" w:lineRule="auto"/>
              <w:rPr>
                <w:rFonts w:ascii="Arial" w:hAnsi="Arial" w:cs="Arial"/>
                <w:sz w:val="22"/>
                <w:szCs w:val="22"/>
              </w:rPr>
            </w:pPr>
            <w:r w:rsidRPr="00EA2C37">
              <w:rPr>
                <w:rFonts w:ascii="Arial" w:hAnsi="Arial" w:cs="Arial"/>
                <w:sz w:val="22"/>
                <w:szCs w:val="22"/>
              </w:rPr>
              <w:t>E83.30</w:t>
            </w:r>
          </w:p>
        </w:tc>
        <w:tc>
          <w:tcPr>
            <w:tcW w:w="8365" w:type="dxa"/>
          </w:tcPr>
          <w:p w14:paraId="56202EFC" w14:textId="1150FA5A" w:rsidR="00EA2C37" w:rsidRPr="00EA2C37" w:rsidRDefault="00EA2C37" w:rsidP="00EA2C37">
            <w:pPr>
              <w:spacing w:after="220" w:line="259" w:lineRule="auto"/>
              <w:rPr>
                <w:rFonts w:ascii="Arial" w:hAnsi="Arial" w:cs="Arial"/>
                <w:sz w:val="22"/>
                <w:szCs w:val="22"/>
              </w:rPr>
            </w:pPr>
            <w:r w:rsidRPr="00EA2C37">
              <w:rPr>
                <w:rFonts w:ascii="Arial" w:hAnsi="Arial" w:cs="Arial"/>
                <w:sz w:val="22"/>
                <w:szCs w:val="22"/>
              </w:rPr>
              <w:t>Disorder of phosphorus metabolism, unspecified</w:t>
            </w:r>
          </w:p>
        </w:tc>
      </w:tr>
      <w:tr w:rsidR="00EA2C37" w:rsidRPr="00EA2C37" w14:paraId="56C6AC7F" w14:textId="77777777" w:rsidTr="00EA2C37">
        <w:tc>
          <w:tcPr>
            <w:tcW w:w="2425" w:type="dxa"/>
            <w:shd w:val="clear" w:color="auto" w:fill="D9D9D9" w:themeFill="background1" w:themeFillShade="D9"/>
          </w:tcPr>
          <w:p w14:paraId="36202AF2" w14:textId="5A0C98C3" w:rsidR="00EA2C37" w:rsidRPr="00EA2C37" w:rsidRDefault="00EA2C37" w:rsidP="00EA2C37">
            <w:pPr>
              <w:spacing w:after="220" w:line="259" w:lineRule="auto"/>
              <w:rPr>
                <w:rFonts w:ascii="Arial" w:hAnsi="Arial" w:cs="Arial"/>
                <w:sz w:val="22"/>
                <w:szCs w:val="22"/>
              </w:rPr>
            </w:pPr>
            <w:r w:rsidRPr="00EA2C37">
              <w:rPr>
                <w:rFonts w:ascii="Arial" w:hAnsi="Arial" w:cs="Arial"/>
                <w:sz w:val="22"/>
                <w:szCs w:val="22"/>
              </w:rPr>
              <w:t>E83.31</w:t>
            </w:r>
          </w:p>
        </w:tc>
        <w:tc>
          <w:tcPr>
            <w:tcW w:w="8365" w:type="dxa"/>
            <w:shd w:val="clear" w:color="auto" w:fill="D9D9D9" w:themeFill="background1" w:themeFillShade="D9"/>
          </w:tcPr>
          <w:p w14:paraId="0B1C466E" w14:textId="304D492E" w:rsidR="00EA2C37" w:rsidRPr="00EA2C37" w:rsidRDefault="00EA2C37" w:rsidP="00EA2C37">
            <w:pPr>
              <w:spacing w:after="220" w:line="259" w:lineRule="auto"/>
              <w:rPr>
                <w:rFonts w:ascii="Arial" w:hAnsi="Arial" w:cs="Arial"/>
                <w:sz w:val="22"/>
                <w:szCs w:val="22"/>
              </w:rPr>
            </w:pPr>
            <w:r w:rsidRPr="00EA2C37">
              <w:rPr>
                <w:rFonts w:ascii="Arial" w:hAnsi="Arial" w:cs="Arial"/>
                <w:sz w:val="22"/>
                <w:szCs w:val="22"/>
              </w:rPr>
              <w:t>Familial hypophosphatemia</w:t>
            </w:r>
          </w:p>
        </w:tc>
      </w:tr>
      <w:tr w:rsidR="00EA2C37" w:rsidRPr="00EA2C37" w14:paraId="4D48C78B" w14:textId="77777777" w:rsidTr="00EA2C37">
        <w:tc>
          <w:tcPr>
            <w:tcW w:w="2425" w:type="dxa"/>
          </w:tcPr>
          <w:p w14:paraId="1ED4695E" w14:textId="1FFD4979" w:rsidR="00EA2C37" w:rsidRPr="00EA2C37" w:rsidRDefault="00EA2C37" w:rsidP="00EA2C37">
            <w:pPr>
              <w:spacing w:after="220" w:line="259" w:lineRule="auto"/>
              <w:rPr>
                <w:rFonts w:ascii="Arial" w:hAnsi="Arial" w:cs="Arial"/>
                <w:sz w:val="22"/>
                <w:szCs w:val="22"/>
              </w:rPr>
            </w:pPr>
            <w:r w:rsidRPr="00EA2C37">
              <w:rPr>
                <w:rFonts w:ascii="Arial" w:hAnsi="Arial" w:cs="Arial"/>
                <w:sz w:val="22"/>
                <w:szCs w:val="22"/>
              </w:rPr>
              <w:t>E83.32</w:t>
            </w:r>
          </w:p>
        </w:tc>
        <w:tc>
          <w:tcPr>
            <w:tcW w:w="8365" w:type="dxa"/>
          </w:tcPr>
          <w:p w14:paraId="55DAFDD5" w14:textId="52F85FAD" w:rsidR="00EA2C37" w:rsidRPr="00EA2C37" w:rsidRDefault="00EA2C37" w:rsidP="00EA2C37">
            <w:pPr>
              <w:spacing w:after="220" w:line="259" w:lineRule="auto"/>
              <w:rPr>
                <w:rFonts w:ascii="Arial" w:hAnsi="Arial" w:cs="Arial"/>
                <w:sz w:val="22"/>
                <w:szCs w:val="22"/>
              </w:rPr>
            </w:pPr>
            <w:r w:rsidRPr="00EA2C37">
              <w:rPr>
                <w:rFonts w:ascii="Arial" w:hAnsi="Arial" w:cs="Arial"/>
                <w:sz w:val="22"/>
                <w:szCs w:val="22"/>
              </w:rPr>
              <w:t>Hereditary vitamin D-dependent rickets (type 1) (type 2)</w:t>
            </w:r>
          </w:p>
        </w:tc>
      </w:tr>
      <w:tr w:rsidR="00EA2C37" w:rsidRPr="00EA2C37" w14:paraId="339E474E" w14:textId="77777777" w:rsidTr="00EA2C37">
        <w:tc>
          <w:tcPr>
            <w:tcW w:w="2425" w:type="dxa"/>
            <w:shd w:val="clear" w:color="auto" w:fill="D9D9D9" w:themeFill="background1" w:themeFillShade="D9"/>
            <w:vAlign w:val="bottom"/>
          </w:tcPr>
          <w:p w14:paraId="7C1C004D" w14:textId="19740C52" w:rsidR="00EA2C37" w:rsidRPr="00EA2C37" w:rsidRDefault="00EA2C37" w:rsidP="00EA2C37">
            <w:pPr>
              <w:spacing w:after="220" w:line="259" w:lineRule="auto"/>
              <w:rPr>
                <w:rFonts w:ascii="Arial" w:hAnsi="Arial" w:cs="Arial"/>
                <w:sz w:val="22"/>
                <w:szCs w:val="22"/>
              </w:rPr>
            </w:pPr>
            <w:r w:rsidRPr="00EA2C37">
              <w:rPr>
                <w:rFonts w:ascii="Arial" w:hAnsi="Arial" w:cs="Arial"/>
                <w:color w:val="000000"/>
                <w:sz w:val="22"/>
                <w:szCs w:val="22"/>
              </w:rPr>
              <w:t>E83.39</w:t>
            </w:r>
          </w:p>
        </w:tc>
        <w:tc>
          <w:tcPr>
            <w:tcW w:w="8365" w:type="dxa"/>
            <w:shd w:val="clear" w:color="auto" w:fill="D9D9D9" w:themeFill="background1" w:themeFillShade="D9"/>
            <w:vAlign w:val="bottom"/>
          </w:tcPr>
          <w:p w14:paraId="59447DE3" w14:textId="14096D6C" w:rsidR="00EA2C37" w:rsidRPr="00EA2C37" w:rsidRDefault="00EA2C37" w:rsidP="00EA2C37">
            <w:pPr>
              <w:spacing w:after="220" w:line="259" w:lineRule="auto"/>
              <w:rPr>
                <w:rFonts w:ascii="Arial" w:hAnsi="Arial" w:cs="Arial"/>
                <w:sz w:val="22"/>
                <w:szCs w:val="22"/>
              </w:rPr>
            </w:pPr>
            <w:r w:rsidRPr="00EA2C37">
              <w:rPr>
                <w:rFonts w:ascii="Arial" w:hAnsi="Arial" w:cs="Arial"/>
                <w:color w:val="000000"/>
                <w:sz w:val="22"/>
                <w:szCs w:val="22"/>
              </w:rPr>
              <w:t>Other disorders of phosphorus metabolism</w:t>
            </w:r>
          </w:p>
        </w:tc>
      </w:tr>
      <w:tr w:rsidR="00EA2C37" w:rsidRPr="00EA2C37" w14:paraId="6D43901F" w14:textId="77777777" w:rsidTr="00EA2C37">
        <w:tc>
          <w:tcPr>
            <w:tcW w:w="2425" w:type="dxa"/>
          </w:tcPr>
          <w:p w14:paraId="5A224D02" w14:textId="60986C2B" w:rsidR="00EA2C37" w:rsidRPr="00EA2C37" w:rsidRDefault="00EA2C37" w:rsidP="00EA2C37">
            <w:pPr>
              <w:spacing w:after="220" w:line="259" w:lineRule="auto"/>
              <w:rPr>
                <w:rFonts w:ascii="Arial" w:hAnsi="Arial" w:cs="Arial"/>
                <w:sz w:val="22"/>
                <w:szCs w:val="22"/>
              </w:rPr>
            </w:pPr>
            <w:r w:rsidRPr="00EA2C37">
              <w:rPr>
                <w:rFonts w:ascii="Arial" w:hAnsi="Arial" w:cs="Arial"/>
                <w:sz w:val="22"/>
                <w:szCs w:val="22"/>
              </w:rPr>
              <w:t>M90.80</w:t>
            </w:r>
          </w:p>
        </w:tc>
        <w:tc>
          <w:tcPr>
            <w:tcW w:w="8365" w:type="dxa"/>
          </w:tcPr>
          <w:p w14:paraId="70F11F1D" w14:textId="527A99D1" w:rsidR="00EA2C37" w:rsidRPr="00EA2C37" w:rsidRDefault="00EA2C37" w:rsidP="00EA2C37">
            <w:pPr>
              <w:spacing w:after="220" w:line="259" w:lineRule="auto"/>
              <w:rPr>
                <w:rFonts w:ascii="Arial" w:hAnsi="Arial" w:cs="Arial"/>
                <w:sz w:val="22"/>
                <w:szCs w:val="22"/>
              </w:rPr>
            </w:pPr>
            <w:r w:rsidRPr="00EA2C37">
              <w:rPr>
                <w:rFonts w:ascii="Arial" w:hAnsi="Arial" w:cs="Arial"/>
                <w:sz w:val="22"/>
                <w:szCs w:val="22"/>
              </w:rPr>
              <w:t>Osteopathy in diseases classified elsewhere, unspecified site</w:t>
            </w:r>
          </w:p>
        </w:tc>
      </w:tr>
      <w:tr w:rsidR="00EA2C37" w:rsidRPr="00EA2C37" w14:paraId="112A3C51" w14:textId="77777777" w:rsidTr="00EA2C37">
        <w:tc>
          <w:tcPr>
            <w:tcW w:w="2425" w:type="dxa"/>
            <w:shd w:val="clear" w:color="auto" w:fill="D9D9D9" w:themeFill="background1" w:themeFillShade="D9"/>
          </w:tcPr>
          <w:p w14:paraId="04FDF9CB" w14:textId="77777777" w:rsidR="00EA2C37" w:rsidRPr="00EA2C37" w:rsidRDefault="00EA2C37" w:rsidP="006D4FED">
            <w:pPr>
              <w:spacing w:after="220" w:line="259" w:lineRule="auto"/>
              <w:rPr>
                <w:rFonts w:ascii="Arial" w:hAnsi="Arial" w:cs="Arial"/>
                <w:sz w:val="22"/>
                <w:szCs w:val="22"/>
              </w:rPr>
            </w:pPr>
            <w:r w:rsidRPr="00EA2C37">
              <w:rPr>
                <w:rFonts w:ascii="Arial" w:hAnsi="Arial" w:cs="Arial"/>
                <w:sz w:val="22"/>
                <w:szCs w:val="22"/>
              </w:rPr>
              <w:t>Q78.1</w:t>
            </w:r>
          </w:p>
        </w:tc>
        <w:tc>
          <w:tcPr>
            <w:tcW w:w="8365" w:type="dxa"/>
            <w:shd w:val="clear" w:color="auto" w:fill="D9D9D9" w:themeFill="background1" w:themeFillShade="D9"/>
          </w:tcPr>
          <w:p w14:paraId="1E64840A" w14:textId="77777777" w:rsidR="00EA2C37" w:rsidRPr="00EA2C37" w:rsidRDefault="00EA2C37" w:rsidP="006D4FED">
            <w:pPr>
              <w:spacing w:after="220" w:line="259" w:lineRule="auto"/>
              <w:rPr>
                <w:rFonts w:ascii="Arial" w:hAnsi="Arial" w:cs="Arial"/>
                <w:sz w:val="22"/>
                <w:szCs w:val="22"/>
              </w:rPr>
            </w:pPr>
            <w:r w:rsidRPr="00EA2C37">
              <w:rPr>
                <w:rFonts w:ascii="Arial" w:hAnsi="Arial" w:cs="Arial"/>
                <w:sz w:val="22"/>
                <w:szCs w:val="22"/>
              </w:rPr>
              <w:t>Polyostotic fibrous dysplasia</w:t>
            </w:r>
          </w:p>
        </w:tc>
      </w:tr>
      <w:tr w:rsidR="00EA2C37" w:rsidRPr="00EA2C37" w14:paraId="065AED34" w14:textId="77777777" w:rsidTr="00EA2C37">
        <w:tc>
          <w:tcPr>
            <w:tcW w:w="2425" w:type="dxa"/>
          </w:tcPr>
          <w:p w14:paraId="02B0D296" w14:textId="6B6EABBE" w:rsidR="00EA2C37" w:rsidRPr="00EA2C37" w:rsidRDefault="00EA2C37" w:rsidP="00EA2C37">
            <w:pPr>
              <w:spacing w:after="220" w:line="259" w:lineRule="auto"/>
              <w:rPr>
                <w:rFonts w:ascii="Arial" w:hAnsi="Arial" w:cs="Arial"/>
                <w:sz w:val="22"/>
                <w:szCs w:val="22"/>
              </w:rPr>
            </w:pPr>
            <w:r w:rsidRPr="00EA2C37">
              <w:rPr>
                <w:rFonts w:ascii="Arial" w:hAnsi="Arial" w:cs="Arial"/>
                <w:sz w:val="22"/>
                <w:szCs w:val="22"/>
              </w:rPr>
              <w:t>Q78.5</w:t>
            </w:r>
          </w:p>
        </w:tc>
        <w:tc>
          <w:tcPr>
            <w:tcW w:w="8365" w:type="dxa"/>
          </w:tcPr>
          <w:p w14:paraId="548B7D83" w14:textId="0FBF84A3" w:rsidR="00EA2C37" w:rsidRPr="00EA2C37" w:rsidRDefault="00EA2C37" w:rsidP="00EA2C37">
            <w:pPr>
              <w:spacing w:after="220" w:line="259" w:lineRule="auto"/>
              <w:rPr>
                <w:rFonts w:ascii="Arial" w:hAnsi="Arial" w:cs="Arial"/>
                <w:sz w:val="22"/>
                <w:szCs w:val="22"/>
              </w:rPr>
            </w:pPr>
            <w:r w:rsidRPr="00EA2C37">
              <w:rPr>
                <w:rFonts w:ascii="Arial" w:hAnsi="Arial" w:cs="Arial"/>
                <w:sz w:val="22"/>
                <w:szCs w:val="22"/>
              </w:rPr>
              <w:t>Metaphyseal dysplasia</w:t>
            </w:r>
          </w:p>
        </w:tc>
      </w:tr>
    </w:tbl>
    <w:p w14:paraId="60E7E73A" w14:textId="77777777" w:rsidR="00EA2C37" w:rsidRPr="00EA2C37" w:rsidRDefault="00EA2C37" w:rsidP="00EA2C37">
      <w:pPr>
        <w:spacing w:after="220" w:line="259" w:lineRule="auto"/>
        <w:rPr>
          <w:rFonts w:ascii="Arial" w:hAnsi="Arial" w:cs="Arial"/>
          <w:sz w:val="22"/>
          <w:szCs w:val="22"/>
        </w:rPr>
      </w:pPr>
    </w:p>
    <w:p w14:paraId="568D9E8A" w14:textId="5D1A1FCA" w:rsidR="00EA2C37" w:rsidRPr="00EA2C37" w:rsidRDefault="00EA2C37" w:rsidP="00EA2C37">
      <w:pPr>
        <w:spacing w:after="220" w:line="259" w:lineRule="auto"/>
        <w:rPr>
          <w:rFonts w:ascii="Arial" w:hAnsi="Arial" w:cs="Arial"/>
          <w:sz w:val="22"/>
          <w:szCs w:val="22"/>
        </w:rPr>
      </w:pPr>
      <w:r w:rsidRPr="00EA2C37">
        <w:rPr>
          <w:rFonts w:ascii="Arial" w:hAnsi="Arial" w:cs="Arial"/>
          <w:sz w:val="22"/>
          <w:szCs w:val="22"/>
        </w:rPr>
        <w:t>ICD-10, International Classification of Diseases, 10</w:t>
      </w:r>
      <w:r w:rsidRPr="00EA2C37">
        <w:rPr>
          <w:rFonts w:ascii="Arial" w:hAnsi="Arial" w:cs="Arial"/>
          <w:sz w:val="22"/>
          <w:szCs w:val="22"/>
          <w:vertAlign w:val="superscript"/>
        </w:rPr>
        <w:t>th</w:t>
      </w:r>
      <w:r w:rsidRPr="00EA2C37">
        <w:rPr>
          <w:rFonts w:ascii="Arial" w:hAnsi="Arial" w:cs="Arial"/>
          <w:sz w:val="22"/>
          <w:szCs w:val="22"/>
        </w:rPr>
        <w:t xml:space="preserve"> Revision</w:t>
      </w:r>
    </w:p>
    <w:sectPr w:rsidR="00EA2C37" w:rsidRPr="00EA2C37" w:rsidSect="00ED011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615FA"/>
    <w:multiLevelType w:val="multilevel"/>
    <w:tmpl w:val="245C577C"/>
    <w:lvl w:ilvl="0">
      <w:start w:val="1"/>
      <w:numFmt w:val="decimal"/>
      <w:pStyle w:val="HeaderCenteredArial11BoldAllCap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4D503FC"/>
    <w:multiLevelType w:val="hybridMultilevel"/>
    <w:tmpl w:val="60C60A0A"/>
    <w:lvl w:ilvl="0" w:tplc="930A7EEC">
      <w:start w:val="1"/>
      <w:numFmt w:val="upperLetter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B34197C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4384797">
    <w:abstractNumId w:val="1"/>
  </w:num>
  <w:num w:numId="2" w16cid:durableId="996568257">
    <w:abstractNumId w:val="0"/>
  </w:num>
  <w:num w:numId="3" w16cid:durableId="1664973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comments="0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37"/>
    <w:rsid w:val="00031CF1"/>
    <w:rsid w:val="001B1328"/>
    <w:rsid w:val="001B2911"/>
    <w:rsid w:val="00210AA5"/>
    <w:rsid w:val="00315797"/>
    <w:rsid w:val="00505671"/>
    <w:rsid w:val="00737280"/>
    <w:rsid w:val="00747448"/>
    <w:rsid w:val="00EA2C37"/>
    <w:rsid w:val="00EB3D19"/>
    <w:rsid w:val="00ED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F7740"/>
  <w15:chartTrackingRefBased/>
  <w15:docId w15:val="{BAB4332B-4162-4B3C-8EC6-018E5C38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115"/>
  </w:style>
  <w:style w:type="paragraph" w:styleId="Heading1">
    <w:name w:val="heading 1"/>
    <w:basedOn w:val="Normal"/>
    <w:next w:val="Normal"/>
    <w:link w:val="Heading1Char"/>
    <w:uiPriority w:val="9"/>
    <w:qFormat/>
    <w:rsid w:val="00ED0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0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01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0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01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01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01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01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01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enteredArial11BoldAllCaps">
    <w:name w:val="Header Centered Arial 11 Bold All Caps"/>
    <w:basedOn w:val="ListParagraph"/>
    <w:link w:val="HeaderCenteredArial11BoldAllCapsChar"/>
    <w:qFormat/>
    <w:rsid w:val="00ED0115"/>
    <w:pPr>
      <w:numPr>
        <w:numId w:val="3"/>
      </w:numPr>
      <w:spacing w:after="220" w:line="259" w:lineRule="auto"/>
      <w:jc w:val="center"/>
    </w:pPr>
    <w:rPr>
      <w:rFonts w:ascii="Arial" w:hAnsi="Arial" w:cs="Arial"/>
      <w:b/>
      <w:bCs/>
    </w:rPr>
  </w:style>
  <w:style w:type="character" w:customStyle="1" w:styleId="HeaderCenteredArial11BoldAllCapsChar">
    <w:name w:val="Header Centered Arial 11 Bold All Caps Char"/>
    <w:basedOn w:val="DefaultParagraphFont"/>
    <w:link w:val="HeaderCenteredArial11BoldAllCaps"/>
    <w:rsid w:val="00ED0115"/>
    <w:rPr>
      <w:rFonts w:ascii="Arial" w:hAnsi="Arial" w:cs="Arial"/>
      <w:b/>
      <w:bCs/>
    </w:rPr>
  </w:style>
  <w:style w:type="paragraph" w:styleId="ListParagraph">
    <w:name w:val="List Paragraph"/>
    <w:basedOn w:val="Normal"/>
    <w:uiPriority w:val="34"/>
    <w:qFormat/>
    <w:rsid w:val="00ED0115"/>
    <w:pPr>
      <w:ind w:left="720"/>
      <w:contextualSpacing/>
    </w:pPr>
  </w:style>
  <w:style w:type="paragraph" w:styleId="TOC1">
    <w:name w:val="toc 1"/>
    <w:aliases w:val="TOC Arial 11"/>
    <w:basedOn w:val="Normal"/>
    <w:next w:val="Normal"/>
    <w:autoRedefine/>
    <w:uiPriority w:val="39"/>
    <w:unhideWhenUsed/>
    <w:rsid w:val="00737280"/>
    <w:pPr>
      <w:spacing w:after="100" w:line="259" w:lineRule="auto"/>
    </w:pPr>
    <w:rPr>
      <w:rFonts w:ascii="Arial" w:hAnsi="Arial"/>
      <w:kern w:val="0"/>
      <w:sz w:val="22"/>
      <w:szCs w:val="22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ED01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01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01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01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01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01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01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01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01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0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0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01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0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0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011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1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115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ED01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011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2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 Forest Baptist Medical Center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South, Andrew Michael</dc:creator>
  <cp:keywords/>
  <dc:description/>
  <cp:lastModifiedBy>South, Andrew Michael</cp:lastModifiedBy>
  <cp:revision>1</cp:revision>
  <dcterms:created xsi:type="dcterms:W3CDTF">2026-05-19T19:46:00Z</dcterms:created>
  <dcterms:modified xsi:type="dcterms:W3CDTF">2026-05-19T19:52:00Z</dcterms:modified>
</cp:coreProperties>
</file>