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left"/>
        <w:rPr>
          <w:rFonts w:ascii="Times New Roman" w:hAnsi="Times New Roman" w:eastAsia="Songti SC" w:cs="Times New Roman"/>
          <w:kern w:val="0"/>
          <w:sz w:val="24"/>
        </w:rPr>
      </w:pPr>
      <w:bookmarkStart w:id="2" w:name="_GoBack"/>
      <w:bookmarkEnd w:id="2"/>
      <w:r>
        <w:rPr>
          <w:rFonts w:ascii="Times New Roman" w:hAnsi="Times New Roman" w:eastAsia="AdvTTa9c1b374" w:cs="Times New Roman"/>
          <w:kern w:val="0"/>
          <w:sz w:val="24"/>
          <w:lang w:bidi="ar"/>
        </w:rPr>
        <w:t>Supplementary</w:t>
      </w:r>
    </w:p>
    <w:p>
      <w:r>
        <w:rPr>
          <w:rFonts w:hint="eastAsia"/>
        </w:rPr>
        <w:drawing>
          <wp:inline distT="0" distB="0" distL="114300" distR="114300">
            <wp:extent cx="3019425" cy="4962525"/>
            <wp:effectExtent l="0" t="0" r="9525" b="9525"/>
            <wp:docPr id="1" name="图片 1" descr="Risk of bias summ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Risk of bias summary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宋体" w:cs="Times New Roman"/>
          <w:kern w:val="0"/>
          <w:sz w:val="24"/>
          <w:lang w:eastAsia="en-GB"/>
        </w:rPr>
      </w:pPr>
      <w:bookmarkStart w:id="0" w:name="OLE_LINK22"/>
      <w:bookmarkStart w:id="1" w:name="OLE_LINK21"/>
      <w:r>
        <w:rPr>
          <w:rFonts w:ascii="Times New Roman" w:hAnsi="Times New Roman" w:eastAsia="AdvTTa9c1b374" w:cs="Times New Roman"/>
          <w:kern w:val="0"/>
          <w:sz w:val="24"/>
          <w:lang w:bidi="ar"/>
        </w:rPr>
        <w:t>Supplementary</w:t>
      </w:r>
      <w:r>
        <w:rPr>
          <w:rFonts w:ascii="Times New Roman" w:hAnsi="Times New Roman" w:eastAsia="宋体" w:cs="Times New Roman"/>
          <w:kern w:val="0"/>
          <w:sz w:val="24"/>
          <w:lang w:val="en-GB" w:eastAsia="en-GB"/>
        </w:rPr>
        <w:t xml:space="preserve"> Figure 1</w:t>
      </w:r>
      <w:bookmarkEnd w:id="0"/>
      <w:bookmarkEnd w:id="1"/>
      <w:r>
        <w:rPr>
          <w:rFonts w:ascii="Times New Roman" w:hAnsi="Times New Roman" w:eastAsia="宋体" w:cs="Times New Roman"/>
          <w:kern w:val="0"/>
          <w:sz w:val="24"/>
          <w:lang w:val="en-GB" w:eastAsia="en-GB"/>
        </w:rPr>
        <w:t xml:space="preserve">. </w:t>
      </w:r>
      <w:r>
        <w:rPr>
          <w:rFonts w:ascii="Times New Roman" w:hAnsi="Times New Roman" w:eastAsia="宋体" w:cs="Times New Roman"/>
          <w:kern w:val="0"/>
          <w:sz w:val="24"/>
          <w:lang w:eastAsia="en-GB"/>
        </w:rPr>
        <w:t xml:space="preserve">The risk </w:t>
      </w:r>
      <w:r>
        <w:rPr>
          <w:rFonts w:ascii="Times New Roman" w:hAnsi="Times New Roman" w:eastAsia="宋体" w:cs="Times New Roman"/>
          <w:kern w:val="0"/>
          <w:sz w:val="24"/>
          <w:lang w:val="en-GB" w:eastAsia="en-GB"/>
        </w:rPr>
        <w:t>assessment of bias for randomized controlled trial included.</w:t>
      </w:r>
    </w:p>
    <w:p>
      <w:pPr>
        <w:rPr>
          <w:rFonts w:ascii="Times New Roman" w:hAnsi="Times New Roman" w:eastAsia="宋体" w:cs="Times New Roman"/>
          <w:kern w:val="0"/>
          <w:sz w:val="24"/>
          <w:lang w:val="en-GB"/>
        </w:rPr>
      </w:pPr>
    </w:p>
    <w:p>
      <w:pPr>
        <w:rPr>
          <w:rFonts w:ascii="Times New Roman" w:hAnsi="Times New Roman" w:eastAsia="宋体" w:cs="Times New Roman"/>
          <w:kern w:val="0"/>
          <w:sz w:val="24"/>
          <w:lang w:val="en-GB"/>
        </w:rPr>
      </w:pPr>
      <w:r>
        <w:rPr>
          <w:rFonts w:hint="eastAsia" w:ascii="Times New Roman" w:hAnsi="Times New Roman" w:eastAsia="宋体" w:cs="Times New Roman"/>
          <w:kern w:val="0"/>
          <w:sz w:val="24"/>
        </w:rPr>
        <w:drawing>
          <wp:inline distT="0" distB="0" distL="114300" distR="114300">
            <wp:extent cx="4332605" cy="6459220"/>
            <wp:effectExtent l="0" t="0" r="10795" b="17780"/>
            <wp:docPr id="3" name="图片 3" descr="TSA 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TSA 总"/>
                    <pic:cNvPicPr>
                      <a:picLocks noChangeAspect="1"/>
                    </pic:cNvPicPr>
                  </pic:nvPicPr>
                  <pic:blipFill>
                    <a:blip r:embed="rId5"/>
                    <a:srcRect l="8737" t="5855" r="9038" b="7457"/>
                    <a:stretch>
                      <a:fillRect/>
                    </a:stretch>
                  </pic:blipFill>
                  <pic:spPr>
                    <a:xfrm>
                      <a:off x="0" y="0"/>
                      <a:ext cx="4332605" cy="6459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Songti SC" w:cs="Times New Roman"/>
          <w:kern w:val="0"/>
          <w:sz w:val="24"/>
        </w:rPr>
      </w:pPr>
      <w:r>
        <w:rPr>
          <w:rFonts w:ascii="Times New Roman" w:hAnsi="Times New Roman" w:eastAsia="Songti SC" w:cs="Times New Roman"/>
          <w:kern w:val="0"/>
          <w:sz w:val="24"/>
        </w:rPr>
        <w:t xml:space="preserve">Supplementary Figure 2. The size of information required for each endpoint. (A) the </w:t>
      </w:r>
      <w:r>
        <w:rPr>
          <w:rFonts w:hint="eastAsia" w:ascii="Times New Roman" w:hAnsi="Times New Roman" w:eastAsia="Songti SC" w:cs="Times New Roman"/>
          <w:kern w:val="0"/>
          <w:sz w:val="24"/>
        </w:rPr>
        <w:t>composite endpoint</w:t>
      </w:r>
      <w:r>
        <w:rPr>
          <w:rFonts w:ascii="Times New Roman" w:hAnsi="Times New Roman" w:eastAsia="Songti SC" w:cs="Times New Roman"/>
          <w:kern w:val="0"/>
          <w:sz w:val="24"/>
        </w:rPr>
        <w:t>, (B)</w:t>
      </w:r>
      <w:r>
        <w:rPr>
          <w:rFonts w:hint="eastAsia" w:ascii="Times New Roman" w:hAnsi="Times New Roman" w:eastAsia="Songti SC" w:cs="Times New Roman"/>
          <w:kern w:val="0"/>
          <w:sz w:val="24"/>
        </w:rPr>
        <w:t xml:space="preserve"> cardiovascular death</w:t>
      </w:r>
      <w:r>
        <w:rPr>
          <w:rFonts w:ascii="Times New Roman" w:hAnsi="Times New Roman" w:eastAsia="Songti SC" w:cs="Times New Roman"/>
          <w:kern w:val="0"/>
          <w:sz w:val="24"/>
        </w:rPr>
        <w:t xml:space="preserve">, (C) </w:t>
      </w:r>
      <w:r>
        <w:rPr>
          <w:rFonts w:hint="eastAsia" w:ascii="Times New Roman" w:hAnsi="Times New Roman" w:eastAsia="Songti SC" w:cs="Times New Roman"/>
          <w:kern w:val="0"/>
          <w:sz w:val="24"/>
        </w:rPr>
        <w:t>myocardial infarction</w:t>
      </w:r>
      <w:r>
        <w:rPr>
          <w:rFonts w:ascii="Times New Roman" w:hAnsi="Times New Roman" w:eastAsia="Songti SC" w:cs="Times New Roman"/>
          <w:kern w:val="0"/>
          <w:sz w:val="24"/>
        </w:rPr>
        <w:t xml:space="preserve">, (D) </w:t>
      </w:r>
      <w:r>
        <w:rPr>
          <w:rFonts w:hint="eastAsia" w:ascii="Times New Roman" w:hAnsi="Times New Roman" w:eastAsia="Songti SC" w:cs="Times New Roman"/>
          <w:kern w:val="0"/>
          <w:sz w:val="24"/>
        </w:rPr>
        <w:t>stroke</w:t>
      </w:r>
      <w:r>
        <w:rPr>
          <w:rFonts w:ascii="Times New Roman" w:hAnsi="Times New Roman" w:eastAsia="Songti SC" w:cs="Times New Roman"/>
          <w:kern w:val="0"/>
          <w:sz w:val="24"/>
        </w:rPr>
        <w:t xml:space="preserve">, (E) </w:t>
      </w:r>
      <w:r>
        <w:rPr>
          <w:rFonts w:hint="eastAsia" w:ascii="Times New Roman" w:hAnsi="Times New Roman" w:eastAsia="Songti SC" w:cs="Times New Roman"/>
          <w:kern w:val="0"/>
          <w:sz w:val="24"/>
        </w:rPr>
        <w:t>revascularization</w:t>
      </w:r>
      <w:r>
        <w:rPr>
          <w:rFonts w:ascii="Times New Roman" w:hAnsi="Times New Roman" w:eastAsia="Songti SC" w:cs="Times New Roman"/>
          <w:kern w:val="0"/>
          <w:sz w:val="24"/>
        </w:rPr>
        <w:t xml:space="preserve">, (F) </w:t>
      </w:r>
      <w:r>
        <w:rPr>
          <w:rFonts w:hint="eastAsia" w:ascii="Times New Roman" w:hAnsi="Times New Roman" w:eastAsia="Songti SC" w:cs="Times New Roman"/>
          <w:kern w:val="0"/>
          <w:sz w:val="24"/>
        </w:rPr>
        <w:t>all-cause death</w:t>
      </w:r>
      <w:r>
        <w:rPr>
          <w:rFonts w:ascii="Times New Roman" w:hAnsi="Times New Roman" w:eastAsia="Songti SC" w:cs="Times New Roman"/>
          <w:kern w:val="0"/>
          <w:sz w:val="24"/>
        </w:rPr>
        <w:t xml:space="preserve">, (G) </w:t>
      </w:r>
      <w:r>
        <w:rPr>
          <w:rFonts w:hint="eastAsia" w:ascii="Times New Roman" w:hAnsi="Times New Roman" w:eastAsia="Songti SC" w:cs="Times New Roman"/>
          <w:kern w:val="0"/>
          <w:sz w:val="24"/>
        </w:rPr>
        <w:t>stent thrombosis</w:t>
      </w:r>
      <w:r>
        <w:rPr>
          <w:rFonts w:ascii="Times New Roman" w:hAnsi="Times New Roman" w:eastAsia="Songti SC" w:cs="Times New Roman"/>
          <w:kern w:val="0"/>
          <w:sz w:val="24"/>
        </w:rPr>
        <w:t xml:space="preserve">, (H) </w:t>
      </w:r>
      <w:r>
        <w:rPr>
          <w:rFonts w:hint="eastAsia" w:ascii="Times New Roman" w:hAnsi="Times New Roman" w:eastAsia="Songti SC" w:cs="Times New Roman"/>
          <w:kern w:val="0"/>
          <w:sz w:val="24"/>
        </w:rPr>
        <w:t>bleeding</w:t>
      </w:r>
      <w:r>
        <w:rPr>
          <w:rFonts w:ascii="Times New Roman" w:hAnsi="Times New Roman" w:eastAsia="Songti SC" w:cs="Times New Roman"/>
          <w:kern w:val="0"/>
          <w:sz w:val="24"/>
        </w:rPr>
        <w:t>.</w:t>
      </w:r>
    </w:p>
    <w:p>
      <w:pPr>
        <w:rPr>
          <w:rFonts w:ascii="Times New Roman" w:hAnsi="Times New Roman" w:eastAsia="Songti SC" w:cs="Times New Roman"/>
          <w:kern w:val="0"/>
          <w:sz w:val="24"/>
          <w:lang w:val="en-GB"/>
        </w:rPr>
      </w:pPr>
      <w:r>
        <w:rPr>
          <w:rFonts w:hint="eastAsia" w:ascii="Times New Roman" w:hAnsi="Times New Roman" w:eastAsia="Songti SC" w:cs="Times New Roman"/>
          <w:kern w:val="0"/>
          <w:sz w:val="24"/>
        </w:rPr>
        <w:drawing>
          <wp:inline distT="0" distB="0" distL="114300" distR="114300">
            <wp:extent cx="4284980" cy="3371215"/>
            <wp:effectExtent l="0" t="0" r="1270" b="635"/>
            <wp:docPr id="4" name="图片 4" descr="敏感性分析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敏感性分析总"/>
                    <pic:cNvPicPr>
                      <a:picLocks noChangeAspect="1"/>
                    </pic:cNvPicPr>
                  </pic:nvPicPr>
                  <pic:blipFill>
                    <a:blip r:embed="rId6"/>
                    <a:srcRect l="9641" t="6494" r="9038" b="48261"/>
                    <a:stretch>
                      <a:fillRect/>
                    </a:stretch>
                  </pic:blipFill>
                  <pic:spPr>
                    <a:xfrm>
                      <a:off x="0" y="0"/>
                      <a:ext cx="4284980" cy="3371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Songti SC" w:cs="Times New Roman"/>
          <w:kern w:val="0"/>
          <w:sz w:val="24"/>
          <w:lang w:val="en-GB"/>
        </w:rPr>
      </w:pPr>
      <w:r>
        <w:rPr>
          <w:rFonts w:ascii="Times New Roman" w:hAnsi="Times New Roman" w:eastAsia="Songti SC" w:cs="Times New Roman"/>
          <w:kern w:val="0"/>
          <w:sz w:val="24"/>
        </w:rPr>
        <w:t xml:space="preserve">Supplementary Figure </w:t>
      </w:r>
      <w:r>
        <w:rPr>
          <w:rFonts w:hint="eastAsia" w:ascii="Times New Roman" w:hAnsi="Times New Roman" w:eastAsia="Songti SC" w:cs="Times New Roman"/>
          <w:kern w:val="0"/>
          <w:sz w:val="24"/>
        </w:rPr>
        <w:t>3</w:t>
      </w:r>
      <w:r>
        <w:rPr>
          <w:rFonts w:ascii="Times New Roman" w:hAnsi="Times New Roman" w:eastAsia="Songti SC" w:cs="Times New Roman"/>
          <w:kern w:val="0"/>
          <w:sz w:val="24"/>
        </w:rPr>
        <w:t>. Sensitivity analys</w:t>
      </w:r>
      <w:r>
        <w:rPr>
          <w:rFonts w:hint="eastAsia" w:ascii="Times New Roman" w:hAnsi="Times New Roman" w:eastAsia="Songti SC" w:cs="Times New Roman"/>
          <w:kern w:val="0"/>
          <w:sz w:val="24"/>
        </w:rPr>
        <w:t>e</w:t>
      </w:r>
      <w:r>
        <w:rPr>
          <w:rFonts w:ascii="Times New Roman" w:hAnsi="Times New Roman" w:eastAsia="Songti SC" w:cs="Times New Roman"/>
          <w:kern w:val="0"/>
          <w:sz w:val="24"/>
        </w:rPr>
        <w:t>s</w:t>
      </w:r>
      <w:r>
        <w:rPr>
          <w:rFonts w:hint="eastAsia" w:ascii="Times New Roman" w:hAnsi="Times New Roman" w:eastAsia="Songti SC" w:cs="Times New Roman"/>
          <w:kern w:val="0"/>
          <w:sz w:val="24"/>
        </w:rPr>
        <w:t xml:space="preserve"> </w:t>
      </w:r>
      <w:r>
        <w:rPr>
          <w:rFonts w:ascii="Times New Roman" w:hAnsi="Times New Roman" w:eastAsia="Songti SC" w:cs="Times New Roman"/>
          <w:kern w:val="0"/>
          <w:sz w:val="24"/>
        </w:rPr>
        <w:t xml:space="preserve">from (A) </w:t>
      </w:r>
      <w:r>
        <w:rPr>
          <w:rFonts w:ascii="Times New Roman" w:hAnsi="Times New Roman" w:eastAsia="AdvTTa9c1b374" w:cs="Times New Roman"/>
          <w:kern w:val="0"/>
          <w:sz w:val="24"/>
        </w:rPr>
        <w:t xml:space="preserve">the </w:t>
      </w:r>
      <w:r>
        <w:rPr>
          <w:rFonts w:hint="eastAsia" w:ascii="Times New Roman" w:hAnsi="Times New Roman" w:eastAsia="AdvTTa9c1b374" w:cs="Times New Roman"/>
          <w:kern w:val="0"/>
          <w:sz w:val="24"/>
        </w:rPr>
        <w:t>composite</w:t>
      </w:r>
      <w:r>
        <w:rPr>
          <w:rFonts w:hint="eastAsia" w:ascii="Times New Roman" w:hAnsi="Times New Roman" w:eastAsia="Songti SC" w:cs="Times New Roman"/>
          <w:kern w:val="0"/>
          <w:sz w:val="24"/>
        </w:rPr>
        <w:t xml:space="preserve"> endpoint</w:t>
      </w:r>
      <w:r>
        <w:rPr>
          <w:rFonts w:ascii="Times New Roman" w:hAnsi="Times New Roman" w:eastAsia="Songti SC" w:cs="Times New Roman"/>
          <w:kern w:val="0"/>
          <w:sz w:val="24"/>
        </w:rPr>
        <w:t xml:space="preserve">, (B) </w:t>
      </w:r>
      <w:r>
        <w:rPr>
          <w:rFonts w:hint="eastAsia" w:ascii="Times New Roman" w:hAnsi="Times New Roman" w:eastAsia="Songti SC" w:cs="Times New Roman"/>
          <w:kern w:val="0"/>
          <w:sz w:val="24"/>
        </w:rPr>
        <w:t>revascularization</w:t>
      </w:r>
      <w:r>
        <w:rPr>
          <w:rFonts w:ascii="Times New Roman" w:hAnsi="Times New Roman" w:eastAsia="Songti SC" w:cs="Times New Roman"/>
          <w:kern w:val="0"/>
          <w:sz w:val="24"/>
        </w:rPr>
        <w:t xml:space="preserve"> endpoint, and</w:t>
      </w:r>
      <w:r>
        <w:rPr>
          <w:rFonts w:hint="eastAsia" w:ascii="Times New Roman" w:hAnsi="Times New Roman" w:eastAsia="Songti SC" w:cs="Times New Roman"/>
          <w:kern w:val="0"/>
          <w:sz w:val="24"/>
        </w:rPr>
        <w:t xml:space="preserve"> </w:t>
      </w:r>
      <w:r>
        <w:rPr>
          <w:rFonts w:ascii="Times New Roman" w:hAnsi="Times New Roman" w:eastAsia="Songti SC" w:cs="Times New Roman"/>
          <w:kern w:val="0"/>
          <w:sz w:val="24"/>
        </w:rPr>
        <w:t xml:space="preserve">(C) </w:t>
      </w:r>
      <w:r>
        <w:rPr>
          <w:rFonts w:hint="eastAsia" w:ascii="Times New Roman" w:hAnsi="Times New Roman" w:eastAsia="Songti SC" w:cs="Times New Roman"/>
          <w:kern w:val="0"/>
          <w:sz w:val="24"/>
        </w:rPr>
        <w:t>bleeding</w:t>
      </w:r>
      <w:r>
        <w:rPr>
          <w:rFonts w:ascii="Times New Roman" w:hAnsi="Times New Roman" w:eastAsia="Songti SC" w:cs="Times New Roman"/>
          <w:kern w:val="0"/>
          <w:sz w:val="24"/>
        </w:rPr>
        <w:t xml:space="preserve"> endpoint</w:t>
      </w:r>
      <w:r>
        <w:rPr>
          <w:rFonts w:hint="eastAsia" w:ascii="Times New Roman" w:hAnsi="Times New Roman" w:eastAsia="Songti SC" w:cs="Times New Roman"/>
          <w:kern w:val="0"/>
          <w:sz w:val="24"/>
        </w:rPr>
        <w:t>.</w:t>
      </w:r>
    </w:p>
    <w:p>
      <w:pPr>
        <w:rPr>
          <w:rFonts w:ascii="Times New Roman" w:hAnsi="Times New Roman" w:eastAsia="Songti SC" w:cs="Times New Roman"/>
          <w:kern w:val="0"/>
          <w:sz w:val="24"/>
          <w:lang w:val="en-GB"/>
        </w:rPr>
      </w:pPr>
    </w:p>
    <w:p>
      <w:pPr>
        <w:rPr>
          <w:rFonts w:ascii="Times New Roman" w:hAnsi="Times New Roman" w:eastAsia="Songti SC" w:cs="Times New Roman"/>
          <w:kern w:val="0"/>
          <w:sz w:val="24"/>
        </w:rPr>
      </w:pPr>
    </w:p>
    <w:p>
      <w:pPr>
        <w:rPr>
          <w:rFonts w:ascii="Times New Roman" w:hAnsi="Times New Roman" w:eastAsia="Songti SC" w:cs="Times New Roman"/>
          <w:kern w:val="0"/>
          <w:sz w:val="24"/>
        </w:rPr>
      </w:pPr>
      <w:r>
        <w:rPr>
          <w:rFonts w:hint="eastAsia" w:ascii="Times New Roman" w:hAnsi="Times New Roman" w:eastAsia="Songti SC" w:cs="Times New Roman"/>
          <w:kern w:val="0"/>
          <w:sz w:val="24"/>
        </w:rPr>
        <w:drawing>
          <wp:inline distT="0" distB="0" distL="114300" distR="114300">
            <wp:extent cx="4514215" cy="7317740"/>
            <wp:effectExtent l="0" t="0" r="635" b="16510"/>
            <wp:docPr id="5" name="图片 5" descr="亚组总，大异质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亚组总，大异质性"/>
                    <pic:cNvPicPr>
                      <a:picLocks noChangeAspect="1"/>
                    </pic:cNvPicPr>
                  </pic:nvPicPr>
                  <pic:blipFill>
                    <a:blip r:embed="rId7"/>
                    <a:srcRect l="7098" t="4396" r="7086" b="3501"/>
                    <a:stretch>
                      <a:fillRect/>
                    </a:stretch>
                  </pic:blipFill>
                  <pic:spPr>
                    <a:xfrm>
                      <a:off x="0" y="0"/>
                      <a:ext cx="4514215" cy="731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eastAsia="Songti SC" w:cs="Times New Roman"/>
          <w:kern w:val="0"/>
          <w:sz w:val="24"/>
        </w:rPr>
      </w:pPr>
      <w:r>
        <w:rPr>
          <w:rFonts w:ascii="Times New Roman" w:hAnsi="Times New Roman" w:eastAsia="Songti SC" w:cs="Times New Roman"/>
          <w:kern w:val="0"/>
          <w:sz w:val="24"/>
        </w:rPr>
        <w:t xml:space="preserve">Supplementary Figure </w:t>
      </w:r>
      <w:r>
        <w:rPr>
          <w:rFonts w:hint="eastAsia" w:ascii="Times New Roman" w:hAnsi="Times New Roman" w:eastAsia="Songti SC" w:cs="Times New Roman"/>
          <w:kern w:val="0"/>
          <w:sz w:val="24"/>
        </w:rPr>
        <w:t>4</w:t>
      </w:r>
      <w:r>
        <w:rPr>
          <w:rFonts w:ascii="Times New Roman" w:hAnsi="Times New Roman" w:eastAsia="Songti SC" w:cs="Times New Roman"/>
          <w:kern w:val="0"/>
          <w:sz w:val="24"/>
        </w:rPr>
        <w:t>.</w:t>
      </w:r>
      <w:r>
        <w:rPr>
          <w:rFonts w:hint="eastAsia" w:ascii="Times New Roman" w:hAnsi="Times New Roman" w:eastAsia="Songti SC" w:cs="Times New Roman"/>
          <w:kern w:val="0"/>
          <w:sz w:val="24"/>
        </w:rPr>
        <w:t xml:space="preserve"> </w:t>
      </w:r>
      <w:r>
        <w:rPr>
          <w:rFonts w:ascii="Times New Roman" w:hAnsi="Times New Roman" w:eastAsia="Songti SC" w:cs="Times New Roman"/>
          <w:kern w:val="0"/>
          <w:sz w:val="24"/>
        </w:rPr>
        <w:t>Subgroup analy</w:t>
      </w:r>
      <w:r>
        <w:rPr>
          <w:rFonts w:hint="eastAsia" w:ascii="Times New Roman" w:hAnsi="Times New Roman" w:eastAsia="Songti SC" w:cs="Times New Roman"/>
          <w:kern w:val="0"/>
          <w:sz w:val="24"/>
        </w:rPr>
        <w:t xml:space="preserve">ses from the composite endpoint of </w:t>
      </w:r>
      <w:r>
        <w:rPr>
          <w:rFonts w:ascii="Times New Roman" w:hAnsi="Times New Roman" w:eastAsia="Songti SC" w:cs="Times New Roman"/>
          <w:kern w:val="0"/>
          <w:sz w:val="24"/>
        </w:rPr>
        <w:t xml:space="preserve">(A) prasugrel and ticagrelor, (B) </w:t>
      </w:r>
      <w:r>
        <w:rPr>
          <w:rFonts w:hint="eastAsia" w:ascii="Times New Roman" w:hAnsi="Times New Roman" w:eastAsia="Songti SC" w:cs="Times New Roman"/>
          <w:kern w:val="0"/>
          <w:sz w:val="24"/>
        </w:rPr>
        <w:t>patients with ST elevation myocardial infarction and non-ST elevation myocardial infarction, (</w:t>
      </w:r>
      <w:r>
        <w:rPr>
          <w:rFonts w:ascii="Times New Roman" w:hAnsi="Times New Roman" w:eastAsia="Songti SC" w:cs="Times New Roman"/>
          <w:kern w:val="0"/>
          <w:sz w:val="24"/>
        </w:rPr>
        <w:t>C</w:t>
      </w:r>
      <w:r>
        <w:rPr>
          <w:rFonts w:hint="eastAsia" w:ascii="Times New Roman" w:hAnsi="Times New Roman" w:eastAsia="Songti SC" w:cs="Times New Roman"/>
          <w:kern w:val="0"/>
          <w:sz w:val="24"/>
        </w:rPr>
        <w:t>) yellow and white race and (D) switching drugs at 1 month and less than 1 month.</w:t>
      </w:r>
    </w:p>
    <w:p>
      <w:pPr>
        <w:rPr>
          <w:rFonts w:ascii="Times New Roman" w:hAnsi="Times New Roman" w:eastAsia="Songti SC" w:cs="Times New Roman"/>
          <w:kern w:val="0"/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left"/>
        <w:rPr>
          <w:rFonts w:ascii="Times New Roman" w:hAnsi="Times New Roman" w:cs="Times New Roman"/>
          <w:color w:val="FF0000"/>
          <w:sz w:val="24"/>
        </w:rPr>
      </w:pPr>
    </w:p>
    <w:p>
      <w:pPr>
        <w:rPr>
          <w:rFonts w:hint="eastAsia" w:ascii="Times New Roman" w:hAnsi="Times New Roman" w:cs="Times New Roman"/>
          <w:color w:val="FF0000"/>
          <w:sz w:val="24"/>
        </w:rPr>
      </w:pPr>
      <w:r>
        <w:rPr>
          <w:rFonts w:ascii="Times New Roman" w:hAnsi="Times New Roman" w:eastAsia="Songti SC" w:cs="Times New Roman"/>
          <w:kern w:val="0"/>
          <w:sz w:val="24"/>
        </w:rPr>
        <w:t>Supplementary</w:t>
      </w:r>
      <w:r>
        <w:rPr>
          <w:rFonts w:ascii="Times New Roman" w:hAnsi="Times New Roman" w:cs="Times New Roman"/>
          <w:sz w:val="24"/>
        </w:rPr>
        <w:t xml:space="preserve"> Table </w:t>
      </w:r>
      <w:r>
        <w:rPr>
          <w:rFonts w:hint="eastAsia" w:ascii="Times New Roman" w:hAnsi="Times New Roman" w:cs="Times New Roman"/>
          <w:sz w:val="24"/>
        </w:rPr>
        <w:t>1</w:t>
      </w:r>
      <w:r>
        <w:rPr>
          <w:rFonts w:ascii="Times New Roman" w:hAnsi="Times New Roman" w:cs="Times New Roman"/>
          <w:sz w:val="24"/>
        </w:rPr>
        <w:t>.</w:t>
      </w:r>
      <w:r>
        <w:rPr>
          <w:rFonts w:hint="eastAsia" w:ascii="Times New Roman" w:hAnsi="Times New Roman" w:cs="Times New Roman"/>
          <w:sz w:val="24"/>
          <w:lang w:val="en-US" w:eastAsia="zh-CN"/>
        </w:rPr>
        <w:t xml:space="preserve"> </w:t>
      </w:r>
      <w:r>
        <w:rPr>
          <w:rFonts w:ascii="Times New Roman" w:hAnsi="Times New Roman" w:cs="Times New Roman"/>
          <w:color w:val="auto"/>
          <w:sz w:val="24"/>
        </w:rPr>
        <w:t>Search strategy of Pubmed database.</w:t>
      </w:r>
    </w:p>
    <w:tbl>
      <w:tblPr>
        <w:tblStyle w:val="4"/>
        <w:tblW w:w="129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11050"/>
        <w:gridCol w:w="11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</w:t>
            </w:r>
          </w:p>
        </w:tc>
        <w:tc>
          <w:tcPr>
            <w:tcW w:w="1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Searches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Results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#1</w:t>
            </w:r>
          </w:p>
        </w:tc>
        <w:tc>
          <w:tcPr>
            <w:tcW w:w="1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(((((Acute Coronary Syndrome) OR (Acute Coronary Syndromes)) OR (Coronary Syndrome, Acute)) OR (Coronary Syndromes, Acute)) OR (Syndrome, Acute Coronary)) OR (Syndromes, Acute Coronary)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</w:rPr>
              <w:t>680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#2</w:t>
            </w:r>
          </w:p>
        </w:tc>
        <w:tc>
          <w:tcPr>
            <w:tcW w:w="1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((((((((((((((Prasugrel Hydrochloride) OR (Hydrochloride, Prasugrel)) OR (Prasugrel HCl)) OR (HCl, Prasugrel)) OR (CS 747)) OR (747, CS)) OR (CS-747)) OR (CS747)) OR (Prasugrel)) OR (Efient)) OR (Effient)) OR (LY 640315)) OR (640315, LY)) OR (LY640315)) OR (LY-640315)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334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#3</w:t>
            </w:r>
          </w:p>
        </w:tc>
        <w:tc>
          <w:tcPr>
            <w:tcW w:w="1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((((((Ticagrelor) OR (Brilique)) OR (AZD 6140)) OR (AZD6140)) OR (AZD-6140)) OR (Brilinta)) OR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(3-(7-((2-(3,4-Difluorophenyl) cyclopropyl) amino)-5-(propylthio)-3H-(1-3)-triazolo(4,5-d) pyrimidin-3-yl)-5-(2-hydroxyethoxy) cyclopentane-1,2-diol)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469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2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#4</w:t>
            </w:r>
          </w:p>
        </w:tc>
        <w:tc>
          <w:tcPr>
            <w:tcW w:w="1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((((((((((((((((Clopidogrel) OR (SC 25989C)) OR (SC 25990C)) OR (SR 25989)) OR (Clopidogrel-Mepha)) OR (Clopidogrel Mepha)) OR (Clopidogrel Sandoz)) OR (Iscover)) OR (Clopidogrel Napadisilate)) OR (Clopidogrel Hydrochloride)) OR (PCR 4099)) OR (PCR-4099)) OR (Clopidogrel Besylate)) OR (Clopidogrel Besilate)) OR (Clopidogrel, (+) (S)-isomer)) OR (Plavix)) OR (Clopidogrel Bisulfate)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1692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</w:t>
            </w:r>
            <w:r>
              <w:rPr>
                <w:rFonts w:hint="eastAsia" w:ascii="Times New Roman" w:hAnsi="Times New Roman" w:cs="Times New Roman"/>
                <w:sz w:val="24"/>
              </w:rPr>
              <w:t>5</w:t>
            </w:r>
          </w:p>
        </w:tc>
        <w:tc>
          <w:tcPr>
            <w:tcW w:w="1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de-escalation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84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#6</w:t>
            </w:r>
          </w:p>
        </w:tc>
        <w:tc>
          <w:tcPr>
            <w:tcW w:w="1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Switch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5073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#7</w:t>
            </w:r>
          </w:p>
        </w:tc>
        <w:tc>
          <w:tcPr>
            <w:tcW w:w="1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#1 AND #2 OR #3 AND #4 AND #5 OR #6 AND (randomizedcontrolledtrial[Filter]))</w:t>
            </w:r>
          </w:p>
        </w:tc>
        <w:tc>
          <w:tcPr>
            <w:tcW w:w="11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5077</w:t>
            </w:r>
          </w:p>
        </w:tc>
      </w:tr>
    </w:tbl>
    <w:p>
      <w:pPr>
        <w:jc w:val="left"/>
        <w:rPr>
          <w:rFonts w:ascii="Times New Roman" w:hAnsi="Times New Roman" w:cs="Times New Roman"/>
          <w:sz w:val="24"/>
        </w:rPr>
      </w:pPr>
    </w:p>
    <w:p>
      <w:pPr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Songti SC" w:cs="Times New Roman"/>
          <w:kern w:val="0"/>
          <w:sz w:val="24"/>
        </w:rPr>
        <w:t>Supplementary</w:t>
      </w:r>
      <w:r>
        <w:rPr>
          <w:rFonts w:ascii="Times New Roman" w:hAnsi="Times New Roman" w:cs="Times New Roman"/>
          <w:sz w:val="24"/>
        </w:rPr>
        <w:t xml:space="preserve"> Table </w:t>
      </w:r>
      <w:r>
        <w:rPr>
          <w:rFonts w:hint="eastAsia"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eastAsia="宋体" w:cs="Times New Roman"/>
          <w:kern w:val="0"/>
          <w:sz w:val="24"/>
        </w:rPr>
        <w:t xml:space="preserve"> </w:t>
      </w:r>
      <w:r>
        <w:rPr>
          <w:rFonts w:ascii="Times New Roman" w:hAnsi="Times New Roman" w:cs="Times New Roman"/>
          <w:color w:val="auto"/>
          <w:sz w:val="24"/>
        </w:rPr>
        <w:t xml:space="preserve">Search strategy of </w:t>
      </w:r>
      <w:r>
        <w:rPr>
          <w:rFonts w:ascii="Times New Roman" w:hAnsi="Times New Roman" w:eastAsia="宋体" w:cs="Times New Roman"/>
          <w:color w:val="auto"/>
          <w:kern w:val="0"/>
          <w:sz w:val="24"/>
        </w:rPr>
        <w:t>Cochrane Library database</w:t>
      </w:r>
      <w:r>
        <w:rPr>
          <w:rFonts w:ascii="Times New Roman" w:hAnsi="Times New Roman" w:cs="Times New Roman"/>
          <w:color w:val="auto"/>
          <w:sz w:val="24"/>
        </w:rPr>
        <w:t>.</w:t>
      </w:r>
    </w:p>
    <w:tbl>
      <w:tblPr>
        <w:tblStyle w:val="4"/>
        <w:tblW w:w="1296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11050"/>
        <w:gridCol w:w="11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</w:t>
            </w:r>
          </w:p>
        </w:tc>
        <w:tc>
          <w:tcPr>
            <w:tcW w:w="1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Searches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Results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#1</w:t>
            </w:r>
          </w:p>
        </w:tc>
        <w:tc>
          <w:tcPr>
            <w:tcW w:w="1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MeSH descriptor: [Acute Coronary Syndrome] this term only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>
              <w:rPr>
                <w:rFonts w:hint="eastAsia" w:ascii="Times New Roman" w:hAnsi="Times New Roman" w:cs="Times New Roman"/>
                <w:sz w:val="24"/>
              </w:rPr>
              <w:t>118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#2</w:t>
            </w:r>
          </w:p>
        </w:tc>
        <w:tc>
          <w:tcPr>
            <w:tcW w:w="1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 xml:space="preserve">Acute Coronary Syndromes OR Coronary Syndrome, Acute OR Coronary Syndromes, Acute OR Syndrome, Acute Coronary OR Syndromes, Acute Coronary: ti, ab, kw   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8154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#3</w:t>
            </w:r>
          </w:p>
        </w:tc>
        <w:tc>
          <w:tcPr>
            <w:tcW w:w="1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#1 OR #2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8154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#4</w:t>
            </w:r>
          </w:p>
        </w:tc>
        <w:tc>
          <w:tcPr>
            <w:tcW w:w="1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MeSH descriptor: [Prasugrel Hydrochloride] this term only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454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</w:t>
            </w:r>
            <w:r>
              <w:rPr>
                <w:rFonts w:hint="eastAsia" w:ascii="Times New Roman" w:hAnsi="Times New Roman" w:cs="Times New Roman"/>
                <w:sz w:val="24"/>
              </w:rPr>
              <w:t>5</w:t>
            </w:r>
          </w:p>
        </w:tc>
        <w:tc>
          <w:tcPr>
            <w:tcW w:w="1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Hydrochloride, Prasugrel OR Prasugrel HCl OR HCl, Prasugrel OR CS 747 OR 747, CS OR CS-747 OR CS747 OR Prasugre OR Efient OR Effient OR LY 640315 OR 640315, LY OR LY640315 OR LY-640315: ti, ab, kw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1308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#6</w:t>
            </w:r>
          </w:p>
        </w:tc>
        <w:tc>
          <w:tcPr>
            <w:tcW w:w="1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#4 OR #5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1308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#7</w:t>
            </w:r>
          </w:p>
        </w:tc>
        <w:tc>
          <w:tcPr>
            <w:tcW w:w="1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MeSH descriptor: [Ticagrelor] this term only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788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#8</w:t>
            </w:r>
          </w:p>
        </w:tc>
        <w:tc>
          <w:tcPr>
            <w:tcW w:w="1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MeSH descriptor: [Clopidogrel] this term only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2076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#9</w:t>
            </w:r>
          </w:p>
        </w:tc>
        <w:tc>
          <w:tcPr>
            <w:tcW w:w="1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De-escalation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585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#10</w:t>
            </w:r>
          </w:p>
        </w:tc>
        <w:tc>
          <w:tcPr>
            <w:tcW w:w="1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switch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6823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#11</w:t>
            </w:r>
          </w:p>
        </w:tc>
        <w:tc>
          <w:tcPr>
            <w:tcW w:w="1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#3 AND #6 OR #7 AND #8 AND #9 OR #10</w:t>
            </w:r>
          </w:p>
        </w:tc>
        <w:tc>
          <w:tcPr>
            <w:tcW w:w="11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7335</w:t>
            </w:r>
          </w:p>
        </w:tc>
      </w:tr>
    </w:tbl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</w:p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Songti SC" w:cs="Times New Roman"/>
          <w:kern w:val="0"/>
          <w:sz w:val="24"/>
        </w:rPr>
        <w:t>Supplementary</w:t>
      </w:r>
      <w:r>
        <w:rPr>
          <w:rFonts w:ascii="Times New Roman" w:hAnsi="Times New Roman" w:cs="Times New Roman"/>
          <w:sz w:val="24"/>
        </w:rPr>
        <w:t xml:space="preserve"> Table </w:t>
      </w:r>
      <w:r>
        <w:rPr>
          <w:rFonts w:hint="eastAsia"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color w:val="auto"/>
          <w:sz w:val="24"/>
        </w:rPr>
        <w:t xml:space="preserve"> Search strategy for Web of science database.</w:t>
      </w:r>
    </w:p>
    <w:tbl>
      <w:tblPr>
        <w:tblStyle w:val="4"/>
        <w:tblW w:w="129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11050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</w:t>
            </w:r>
          </w:p>
        </w:tc>
        <w:tc>
          <w:tcPr>
            <w:tcW w:w="1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Searches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Results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#1</w:t>
            </w:r>
          </w:p>
        </w:tc>
        <w:tc>
          <w:tcPr>
            <w:tcW w:w="1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TS=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Acute Coronary Syndrome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OR Acute Coronary Syndromes OR </w:t>
            </w:r>
            <w:r>
              <w:rPr>
                <w:rFonts w:ascii="Times New Roman" w:hAnsi="Times New Roman" w:cs="Times New Roman"/>
                <w:sz w:val="24"/>
              </w:rPr>
              <w:t>Coronary Syndrome, Acute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</w:rPr>
              <w:t>Coronary Syndromes, Acute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</w:rPr>
              <w:t>Syndrome, Acute Coronary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</w:rPr>
              <w:t>Syndromes, Acute Coronary</w:t>
            </w:r>
            <w:r>
              <w:rPr>
                <w:rFonts w:hint="eastAsia" w:ascii="Times New Roman" w:hAnsi="Times New Roman" w:cs="Times New Roman"/>
                <w:sz w:val="24"/>
              </w:rPr>
              <w:t>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78738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#2</w:t>
            </w:r>
          </w:p>
        </w:tc>
        <w:tc>
          <w:tcPr>
            <w:tcW w:w="1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TS=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Prasugrel Hydrochloride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OR Hydrochloride,</w:t>
            </w:r>
            <w:r>
              <w:rPr>
                <w:rFonts w:ascii="Times New Roman" w:hAnsi="Times New Roman" w:cs="Times New Roman"/>
                <w:sz w:val="24"/>
              </w:rPr>
              <w:t> Prasugrel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</w:rPr>
              <w:t>Prasugrel HCl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</w:rPr>
              <w:t>HCl, Prasugrel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</w:rPr>
              <w:t>CS 747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</w:rPr>
              <w:t>747, CS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</w:rPr>
              <w:t>CS-747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</w:rPr>
              <w:t>CS747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</w:rPr>
              <w:t>Prasugrel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</w:rPr>
              <w:t>Efient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</w:rPr>
              <w:t>Effient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</w:rPr>
              <w:t>LY 640315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</w:rPr>
              <w:t>640315, LY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</w:rPr>
              <w:t>LY640315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</w:rPr>
              <w:t>LY-640315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)  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5040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#3</w:t>
            </w:r>
          </w:p>
        </w:tc>
        <w:tc>
          <w:tcPr>
            <w:tcW w:w="1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TS=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Ticagrelor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OR Brilique OR </w:t>
            </w:r>
            <w:r>
              <w:rPr>
                <w:rFonts w:ascii="Times New Roman" w:hAnsi="Times New Roman" w:cs="Times New Roman"/>
                <w:sz w:val="24"/>
              </w:rPr>
              <w:t>AZD 6140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</w:rPr>
              <w:t>AZD6140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</w:rPr>
              <w:t>AZD-6140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</w:rPr>
              <w:t>Brilinta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</w:rPr>
              <w:t>3-(7-((2-(3,4-Difluorophenyl) cyclopropyl) amino)-5-(propylthio) -3H-(1-3)-triazolo (4,5-d) pyrimidin-3-yl)-5-(2-hydroxyethoxy) cyclopentane-1, 2-diol</w:t>
            </w:r>
            <w:r>
              <w:rPr>
                <w:rFonts w:hint="eastAsia" w:ascii="Times New Roman" w:hAnsi="Times New Roman" w:cs="Times New Roman"/>
                <w:sz w:val="24"/>
              </w:rPr>
              <w:t>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5606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#4</w:t>
            </w:r>
          </w:p>
        </w:tc>
        <w:tc>
          <w:tcPr>
            <w:tcW w:w="1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TS=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Clopidogrel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OR SC 25989C OR </w:t>
            </w:r>
            <w:r>
              <w:rPr>
                <w:rFonts w:ascii="Times New Roman" w:hAnsi="Times New Roman" w:cs="Times New Roman"/>
                <w:sz w:val="24"/>
              </w:rPr>
              <w:t>SC 25990C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</w:rPr>
              <w:t>SR 25989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</w:rPr>
              <w:t>Clopidogrel-Mepha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</w:rPr>
              <w:t>Clopidogrel Mepha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</w:rPr>
              <w:t>Clopidogrel Sandoz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</w:rPr>
              <w:t>Iscover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</w:rPr>
              <w:t>Clopidogrel Napadisilate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</w:rPr>
              <w:t>Clopidogrel Hydrochloride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</w:rPr>
              <w:t>PCR 4099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</w:rPr>
              <w:t>PCR-4099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</w:rPr>
              <w:t>Clopidogrel Besylate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</w:rPr>
              <w:t>Clopidogrel Besilate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</w:rPr>
              <w:t>Clopidogrel, (+) (S)-isomer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</w:rPr>
              <w:t>Plavix</w:t>
            </w:r>
            <w:r>
              <w:rPr>
                <w:rFonts w:hint="eastAsia" w:ascii="Times New Roman" w:hAnsi="Times New Roman" w:cs="Times New Roman"/>
                <w:sz w:val="24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</w:rPr>
              <w:t>Clopidogrel Bisulfate</w:t>
            </w:r>
            <w:r>
              <w:rPr>
                <w:rFonts w:hint="eastAsia" w:ascii="Times New Roman" w:hAnsi="Times New Roman" w:cs="Times New Roman"/>
                <w:sz w:val="24"/>
              </w:rPr>
              <w:t>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29927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#</w:t>
            </w:r>
            <w:r>
              <w:rPr>
                <w:rFonts w:hint="eastAsia" w:ascii="Times New Roman" w:hAnsi="Times New Roman" w:cs="Times New Roman"/>
                <w:sz w:val="24"/>
              </w:rPr>
              <w:t>5</w:t>
            </w:r>
          </w:p>
        </w:tc>
        <w:tc>
          <w:tcPr>
            <w:tcW w:w="1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TS=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</w:rPr>
              <w:t>(de-escalation or switch)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951057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#6</w:t>
            </w:r>
          </w:p>
        </w:tc>
        <w:tc>
          <w:tcPr>
            <w:tcW w:w="1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#3 OR #2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8129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#7</w:t>
            </w:r>
          </w:p>
        </w:tc>
        <w:tc>
          <w:tcPr>
            <w:tcW w:w="1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TS=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hint="eastAsia" w:ascii="Times New Roman" w:hAnsi="Times New Roman" w:cs="Times New Roman"/>
                <w:sz w:val="24"/>
              </w:rPr>
              <w:t>(randomized controlled trial OR random)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1696279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7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#8</w:t>
            </w:r>
          </w:p>
        </w:tc>
        <w:tc>
          <w:tcPr>
            <w:tcW w:w="1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#7 AND #6 AND #5 AND #4 AND #1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jc w:val="left"/>
              <w:rPr>
                <w:rFonts w:ascii="Times New Roman" w:hAnsi="Times New Roman" w:cs="Times New Roman"/>
                <w:sz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31</w:t>
            </w:r>
          </w:p>
        </w:tc>
      </w:tr>
    </w:tbl>
    <w:p>
      <w:pPr>
        <w:spacing w:line="480" w:lineRule="auto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Songti SC" w:cs="Times New Roman"/>
          <w:kern w:val="0"/>
          <w:sz w:val="24"/>
        </w:rPr>
        <w:t>Supplementary</w:t>
      </w:r>
      <w:r>
        <w:rPr>
          <w:rFonts w:ascii="Times New Roman" w:hAnsi="Times New Roman" w:cs="Times New Roman"/>
          <w:sz w:val="24"/>
        </w:rPr>
        <w:t xml:space="preserve"> Table 4. Summary of GRADE evidence quality for endpoints.</w:t>
      </w:r>
    </w:p>
    <w:tbl>
      <w:tblPr>
        <w:tblStyle w:val="3"/>
        <w:tblW w:w="5000" w:type="pct"/>
        <w:tblInd w:w="0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auto" w:sz="0" w:space="0"/>
          <w:insideV w:val="none" w:color="auto" w:sz="0" w:space="0"/>
        </w:tblBorders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651"/>
        <w:gridCol w:w="626"/>
        <w:gridCol w:w="982"/>
        <w:gridCol w:w="1648"/>
        <w:gridCol w:w="2177"/>
        <w:gridCol w:w="2475"/>
        <w:gridCol w:w="1489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7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2"/>
              <w:widowControl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Efficacy and safety of de-escalation of anti-platelet</w:t>
            </w:r>
            <w:r>
              <w:rPr>
                <w:rFonts w:ascii="Times New Roman" w:hAnsi="Times New Roman"/>
                <w:b/>
                <w:bCs/>
                <w:color w:val="FF0000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therapy after percutaneous coronary intervention in patients with acute coronary syndrome</w:t>
            </w:r>
            <w:r>
              <w:rPr>
                <w:rFonts w:ascii="Times New Roman" w:hAnsi="Times New Roman"/>
                <w:b/>
                <w:bCs/>
                <w:color w:val="FF0000"/>
                <w:sz w:val="26"/>
                <w:szCs w:val="26"/>
              </w:rPr>
              <w:t>.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69" w:hRule="atLeast"/>
        </w:trPr>
        <w:tc>
          <w:tcPr>
            <w:tcW w:w="0" w:type="auto"/>
            <w:gridSpan w:val="7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widowControl/>
              <w:spacing w:after="160"/>
              <w:jc w:val="left"/>
              <w:rPr>
                <w:rFonts w:ascii="Times New Roman" w:hAnsi="Times New Roman" w:eastAsia="宋体" w:cs="Times New Roman"/>
                <w:szCs w:val="21"/>
              </w:rPr>
            </w:pPr>
            <w:r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  <w:lang w:bidi="ar"/>
              </w:rPr>
              <w:t>Patient or population: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 xml:space="preserve"> patients with ACS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Cs w:val="21"/>
                <w:lang w:bidi="ar"/>
              </w:rPr>
              <w:t>Intervention:</w:t>
            </w:r>
            <w:r>
              <w:rPr>
                <w:rFonts w:ascii="Times New Roman" w:hAnsi="Times New Roman" w:eastAsia="宋体" w:cs="Times New Roman"/>
                <w:kern w:val="0"/>
                <w:szCs w:val="21"/>
                <w:lang w:bidi="ar"/>
              </w:rPr>
              <w:t xml:space="preserve"> de-escalation and </w:t>
            </w:r>
            <w:r>
              <w:rPr>
                <w:rFonts w:hint="eastAsia" w:ascii="Times New Roman" w:hAnsi="Times New Roman" w:eastAsia="宋体" w:cs="Times New Roman"/>
                <w:kern w:val="0"/>
                <w:szCs w:val="21"/>
                <w:lang w:bidi="ar"/>
              </w:rPr>
              <w:t>non-de-escalation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4682B4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 Endpoints</w:t>
            </w:r>
          </w:p>
        </w:tc>
        <w:tc>
          <w:tcPr>
            <w:tcW w:w="0" w:type="auto"/>
            <w:gridSpan w:val="2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Illustrative comparative risks* (95% CI)</w:t>
            </w:r>
          </w:p>
        </w:tc>
        <w:tc>
          <w:tcPr>
            <w:tcW w:w="0" w:type="auto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4682B4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Relative effect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(95% CI)</w:t>
            </w:r>
          </w:p>
        </w:tc>
        <w:tc>
          <w:tcPr>
            <w:tcW w:w="0" w:type="auto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4682B4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No of Participants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(studies)</w:t>
            </w:r>
          </w:p>
        </w:tc>
        <w:tc>
          <w:tcPr>
            <w:tcW w:w="0" w:type="auto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4682B4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Quality of the evidence</w:t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(GRADE)</w:t>
            </w:r>
          </w:p>
        </w:tc>
        <w:tc>
          <w:tcPr>
            <w:tcW w:w="0" w:type="auto"/>
            <w:vMerge w:val="restart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4682B4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Comments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4682B4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Assumed risk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Corresponding risk</w:t>
            </w:r>
          </w:p>
        </w:tc>
        <w:tc>
          <w:tcPr>
            <w:tcW w:w="0" w:type="auto"/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4682B4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4682B4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4682B4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4682B4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4682B4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Control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De-escalation and control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4682B4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4682B4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4682B4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4682B4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4682B4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4682B4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4682B4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4682B4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4682B4"/>
            <w:vAlign w:val="center"/>
          </w:tcPr>
          <w:p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4730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composite of ischemic and bleeding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Follow-up: mean 12 months</w:t>
            </w:r>
          </w:p>
        </w:tc>
        <w:tc>
          <w:tcPr>
            <w:tcW w:w="1608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D3D3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Study population</w:t>
            </w:r>
          </w:p>
        </w:tc>
        <w:tc>
          <w:tcPr>
            <w:tcW w:w="1640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RR 0.67 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(0.58 to 0.78)</w:t>
            </w:r>
          </w:p>
        </w:tc>
        <w:tc>
          <w:tcPr>
            <w:tcW w:w="2145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5953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(3 studies)</w:t>
            </w:r>
          </w:p>
        </w:tc>
        <w:tc>
          <w:tcPr>
            <w:tcW w:w="2501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MS Mincho" w:hAnsi="MS Mincho" w:eastAsia="MS Mincho" w:cs="MS Mincho"/>
                <w:sz w:val="16"/>
                <w:szCs w:val="16"/>
              </w:rPr>
              <w:t>⊕⊕⊝⊝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low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1,2</w:t>
            </w:r>
          </w:p>
        </w:tc>
        <w:tc>
          <w:tcPr>
            <w:tcW w:w="1424" w:type="dxa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  <w:bottom w:val="single" w:color="000000" w:sz="6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111 per 1000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70 per 1000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(61 to 81)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D3D3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Moderate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  <w:bottom w:val="single" w:color="000000" w:sz="6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85 per 1000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54 per 1000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(47 to 62)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  <w:bottom w:val="single" w:color="000000" w:sz="6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50 per 1000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27 per 1000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(19 to 38)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D3D3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Moderate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  <w:bottom w:val="single" w:color="000000" w:sz="6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32 per 1000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17 per 1000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(12 to 24)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Cardiovascular death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Follow-up: mean 12 months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D3D3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Study population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RR 0.69 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(0.36 to 1.32)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6266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(4 studies)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MS Mincho" w:hAnsi="MS Mincho" w:eastAsia="MS Mincho" w:cs="MS Mincho"/>
                <w:sz w:val="16"/>
                <w:szCs w:val="16"/>
              </w:rPr>
              <w:t>⊕⊕⊕⊝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moderate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  <w:bottom w:val="single" w:color="000000" w:sz="6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 per 1000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 per 1000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(3 to 9)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D3D3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Moderate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  <w:bottom w:val="single" w:color="000000" w:sz="6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10 per 1000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 per 1000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(4 to 13)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Myocardial infarction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Follow-up: mean 12 months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D3D3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Study population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RR 0.82 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(0.54 to 1.24)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5620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(3 studies)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MS Mincho" w:hAnsi="MS Mincho" w:eastAsia="MS Mincho" w:cs="MS Mincho"/>
                <w:sz w:val="16"/>
                <w:szCs w:val="16"/>
              </w:rPr>
              <w:t>⊕⊕⊕⊝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moderate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  <w:bottom w:val="single" w:color="000000" w:sz="6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17 per 1000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14 per 1000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(9 to 21)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D3D3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Moderate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  <w:bottom w:val="single" w:color="000000" w:sz="6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15 per 1000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12 per 1000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(8 to 19)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Stroke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Follow-up: mean 12 months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D3D3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Study population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RR 0.59 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(0.3 to 1.13)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6266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(4 studies)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MS Mincho" w:hAnsi="MS Mincho" w:eastAsia="MS Mincho" w:cs="MS Mincho"/>
                <w:sz w:val="16"/>
                <w:szCs w:val="16"/>
              </w:rPr>
              <w:t>⊕⊕⊕⊝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moderate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  <w:bottom w:val="single" w:color="000000" w:sz="6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 per 1000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 per 1000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(2 to 9)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D3D3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Moderate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  <w:bottom w:val="single" w:color="000000" w:sz="6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 per 1000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5 per 1000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(2 to 9)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Revascularization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Follow-up: mean 12 months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D3D3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Study population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RR 1.16 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(0.90 to 1.51)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6266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(4 studies)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MS Mincho" w:hAnsi="MS Mincho" w:eastAsia="MS Mincho" w:cs="MS Mincho"/>
                <w:sz w:val="16"/>
                <w:szCs w:val="16"/>
              </w:rPr>
              <w:t>⊕⊕⊝⊝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low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1,3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  <w:bottom w:val="single" w:color="000000" w:sz="6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33 per 1000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38 per 1000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(29 to 49)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D3D3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Moderate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  <w:bottom w:val="single" w:color="000000" w:sz="6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27 per 1000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31 per 1000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(24 to 41)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All-cause death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Follow-up: mean 12 months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D3D3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Study population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RR 1 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(0.56 to 1.8)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5307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(2 studies)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MS Mincho" w:hAnsi="MS Mincho" w:eastAsia="MS Mincho" w:cs="MS Mincho"/>
                <w:sz w:val="16"/>
                <w:szCs w:val="16"/>
              </w:rPr>
              <w:t>⊕⊕⊕⊝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moderate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  <w:bottom w:val="single" w:color="000000" w:sz="6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 per 1000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 per 1000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(5 to 15)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D3D3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Moderate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  <w:bottom w:val="single" w:color="000000" w:sz="6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 per 1000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8 per 1000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(4 to 14)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Stent thrombosis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Follow-up: mean 12 months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D3D3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Study population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RR 1 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(0.4 to 2.51)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6266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(4 studies)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MS Mincho" w:hAnsi="MS Mincho" w:eastAsia="MS Mincho" w:cs="MS Mincho"/>
                <w:sz w:val="16"/>
                <w:szCs w:val="16"/>
              </w:rPr>
              <w:t>⊕⊕⊕⊝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moderate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  <w:bottom w:val="single" w:color="000000" w:sz="6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 per 1000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3 per 1000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(1 to 7)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D3D3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Moderate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  <w:bottom w:val="single" w:color="000000" w:sz="6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 per 1000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2 per 1000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(1 to 5)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Bleeding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Follow-up: mean 12 months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D3D3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Study population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RR 0.61 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(0.52 to 0.71)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7632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(6 studies)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MS Mincho" w:hAnsi="MS Mincho" w:eastAsia="MS Mincho" w:cs="MS Mincho"/>
                <w:sz w:val="16"/>
                <w:szCs w:val="16"/>
              </w:rPr>
              <w:t>⊕⊕⊝⊝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low</w:t>
            </w:r>
            <w:r>
              <w:rPr>
                <w:rFonts w:ascii="Times New Roman" w:hAnsi="Times New Roman"/>
                <w:sz w:val="16"/>
                <w:szCs w:val="16"/>
                <w:vertAlign w:val="superscript"/>
              </w:rPr>
              <w:t>1,4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  <w:bottom w:val="single" w:color="000000" w:sz="6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107 per 1000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65 per 1000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(55 to 76)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D3D3D3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Moderate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tcBorders>
              <w:left w:val="nil"/>
              <w:bottom w:val="single" w:color="000000" w:sz="6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119 per 1000</w:t>
            </w:r>
          </w:p>
        </w:tc>
        <w:tc>
          <w:tcPr>
            <w:tcW w:w="0" w:type="auto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D3D3D3"/>
          </w:tcPr>
          <w:p>
            <w:pPr>
              <w:pStyle w:val="2"/>
              <w:widowControl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73 per 1000</w:t>
            </w:r>
            <w:r>
              <w:rPr>
                <w:rFonts w:ascii="Times New Roman" w:hAnsi="Times New Roman"/>
                <w:sz w:val="16"/>
                <w:szCs w:val="16"/>
              </w:rPr>
              <w:br w:type="textWrapping"/>
            </w:r>
            <w:r>
              <w:rPr>
                <w:rFonts w:ascii="Times New Roman" w:hAnsi="Times New Roman"/>
                <w:sz w:val="16"/>
                <w:szCs w:val="16"/>
              </w:rPr>
              <w:t>(62 to 84)</w:t>
            </w: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0" w:type="auto"/>
            <w:vMerge w:val="continue"/>
            <w:tcBorders>
              <w:top w:val="single" w:color="000000" w:sz="6" w:space="0"/>
              <w:left w:val="nil"/>
              <w:bottom w:val="single" w:color="000000" w:sz="6" w:space="0"/>
              <w:right w:val="nil"/>
            </w:tcBorders>
            <w:shd w:val="clear" w:color="auto" w:fill="auto"/>
          </w:tcPr>
          <w:p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7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*The basis for the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6"/>
                <w:szCs w:val="16"/>
                <w:lang w:bidi="ar"/>
              </w:rPr>
              <w:t>assumed risk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(e.g. the median control group risk across studies) is provided in footnotes. The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6"/>
                <w:szCs w:val="16"/>
                <w:lang w:bidi="ar"/>
              </w:rPr>
              <w:t>corresponding risk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(and its 95% confidence interval) is based on the assumed risk in the comparison group and the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6"/>
                <w:szCs w:val="16"/>
                <w:lang w:bidi="ar"/>
              </w:rPr>
              <w:t>relative effect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of the intervention (and its 95% CI).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6"/>
                <w:szCs w:val="16"/>
                <w:lang w:bidi="ar"/>
              </w:rPr>
              <w:t>CI: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Confidence interval; </w:t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6"/>
                <w:szCs w:val="16"/>
                <w:lang w:bidi="ar"/>
              </w:rPr>
              <w:t>RR: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Risk ratio; 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7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GRADE Working Group grades of evidence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6"/>
                <w:szCs w:val="16"/>
                <w:lang w:bidi="ar"/>
              </w:rPr>
              <w:t>High quality: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Further research is very unlikely to change our confidence in the estimate of effect. 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6"/>
                <w:szCs w:val="16"/>
                <w:lang w:bidi="ar"/>
              </w:rPr>
              <w:t>Moderate quality: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Further research is likely to have an important impact on our confidence in the estimate of effect and may change the estimate.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6"/>
                <w:szCs w:val="16"/>
                <w:lang w:bidi="ar"/>
              </w:rPr>
              <w:t>Low quality: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Further research is very likely to have an important impact on our confidence in the estimate of effect and is likely to change the estimate.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b/>
                <w:bCs/>
                <w:kern w:val="0"/>
                <w:sz w:val="16"/>
                <w:szCs w:val="16"/>
                <w:lang w:bidi="ar"/>
              </w:rPr>
              <w:t>Very low quality: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We are very uncertain about the estimate.</w:t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0" w:type="auto"/>
            <w:gridSpan w:val="7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vertAlign w:val="superscript"/>
                <w:lang w:bidi="ar"/>
              </w:rPr>
              <w:t>1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non-blinded design</w:t>
            </w:r>
          </w:p>
          <w:p>
            <w:pPr>
              <w:widowControl/>
              <w:jc w:val="left"/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vertAlign w:val="superscript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i/>
                <w:kern w:val="0"/>
                <w:sz w:val="16"/>
                <w:szCs w:val="16"/>
                <w:lang w:bidi="ar"/>
              </w:rPr>
              <w:t xml:space="preserve"> I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vertAlign w:val="superscript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=73% and 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  <w:lang w:bidi="ar"/>
              </w:rPr>
              <w:t>P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vertAlign w:val="subscript"/>
                <w:lang w:bidi="ar"/>
              </w:rPr>
              <w:t>heterogeneity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=0.02</w:t>
            </w:r>
          </w:p>
          <w:p>
            <w:pPr>
              <w:widowControl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vertAlign w:val="superscript"/>
                <w:lang w:bidi="ar"/>
              </w:rPr>
              <w:t>3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i/>
                <w:kern w:val="0"/>
                <w:sz w:val="16"/>
                <w:szCs w:val="16"/>
                <w:lang w:bidi="ar"/>
              </w:rPr>
              <w:t>I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vertAlign w:val="superscript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=71% and 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  <w:lang w:bidi="ar"/>
              </w:rPr>
              <w:t xml:space="preserve">P 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vertAlign w:val="subscript"/>
                <w:lang w:bidi="ar"/>
              </w:rPr>
              <w:t>heterogeneity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=0.02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br w:type="textWrapping"/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vertAlign w:val="superscript"/>
                <w:lang w:bidi="ar"/>
              </w:rPr>
              <w:t>4</w:t>
            </w:r>
            <w:r>
              <w:rPr>
                <w:rFonts w:ascii="Times New Roman" w:hAnsi="Times New Roman" w:eastAsia="宋体" w:cs="Times New Roman"/>
                <w:i/>
                <w:kern w:val="0"/>
                <w:sz w:val="16"/>
                <w:szCs w:val="16"/>
                <w:lang w:bidi="ar"/>
              </w:rPr>
              <w:t xml:space="preserve"> I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vertAlign w:val="superscript"/>
                <w:lang w:bidi="ar"/>
              </w:rPr>
              <w:t>2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 xml:space="preserve">=61% and </w:t>
            </w:r>
            <w:r>
              <w:rPr>
                <w:rFonts w:ascii="Times New Roman" w:hAnsi="Times New Roman" w:eastAsia="宋体" w:cs="Times New Roman"/>
                <w:i/>
                <w:iCs/>
                <w:kern w:val="0"/>
                <w:sz w:val="16"/>
                <w:szCs w:val="16"/>
                <w:lang w:bidi="ar"/>
              </w:rPr>
              <w:t xml:space="preserve">P 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vertAlign w:val="subscript"/>
                <w:lang w:bidi="ar"/>
              </w:rPr>
              <w:t>heterogeneity</w:t>
            </w:r>
            <w:r>
              <w:rPr>
                <w:rFonts w:ascii="Times New Roman" w:hAnsi="Times New Roman" w:eastAsia="宋体" w:cs="Times New Roman"/>
                <w:kern w:val="0"/>
                <w:sz w:val="16"/>
                <w:szCs w:val="16"/>
                <w:lang w:bidi="ar"/>
              </w:rPr>
              <w:t>=0.02</w:t>
            </w:r>
          </w:p>
        </w:tc>
      </w:tr>
    </w:tbl>
    <w:p>
      <w:pPr>
        <w:spacing w:line="360" w:lineRule="auto"/>
        <w:jc w:val="left"/>
        <w:rPr>
          <w:rFonts w:ascii="Times New Roman" w:hAnsi="Times New Roman" w:cs="Times New Roman"/>
          <w:sz w:val="24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Songti SC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AdvTTa9c1b374">
    <w:altName w:val="Arial Unicode MS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MS Mincho">
    <w:panose1 w:val="02020609040205080304"/>
    <w:charset w:val="80"/>
    <w:family w:val="auto"/>
    <w:pitch w:val="default"/>
    <w:sig w:usb0="A00002BF" w:usb1="68C7FCFB" w:usb2="00000010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7027C66"/>
    <w:rsid w:val="00095148"/>
    <w:rsid w:val="000B0105"/>
    <w:rsid w:val="00121E69"/>
    <w:rsid w:val="00166DE1"/>
    <w:rsid w:val="002A707E"/>
    <w:rsid w:val="0036759D"/>
    <w:rsid w:val="003F0A22"/>
    <w:rsid w:val="0050032A"/>
    <w:rsid w:val="00560192"/>
    <w:rsid w:val="005F59EA"/>
    <w:rsid w:val="0065545A"/>
    <w:rsid w:val="00676EF8"/>
    <w:rsid w:val="00752286"/>
    <w:rsid w:val="007F1CFD"/>
    <w:rsid w:val="008F4010"/>
    <w:rsid w:val="00912C94"/>
    <w:rsid w:val="0092272A"/>
    <w:rsid w:val="009D01BA"/>
    <w:rsid w:val="00A16E64"/>
    <w:rsid w:val="00B94D6C"/>
    <w:rsid w:val="00BC3E04"/>
    <w:rsid w:val="00CF129C"/>
    <w:rsid w:val="00D57ACF"/>
    <w:rsid w:val="00DD064C"/>
    <w:rsid w:val="00DD682E"/>
    <w:rsid w:val="00E17630"/>
    <w:rsid w:val="00E926A2"/>
    <w:rsid w:val="00EF0087"/>
    <w:rsid w:val="00F56620"/>
    <w:rsid w:val="00FD7151"/>
    <w:rsid w:val="0C8E2BDE"/>
    <w:rsid w:val="0DEE3623"/>
    <w:rsid w:val="35EF7658"/>
    <w:rsid w:val="37027C66"/>
    <w:rsid w:val="470C411A"/>
    <w:rsid w:val="4ABE641A"/>
    <w:rsid w:val="55FD2084"/>
    <w:rsid w:val="5CC121B4"/>
    <w:rsid w:val="60C61FF2"/>
    <w:rsid w:val="6189022F"/>
    <w:rsid w:val="6DD84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4">
    <w:name w:val="Table Grid"/>
    <w:basedOn w:val="3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1117</Words>
  <Characters>6370</Characters>
  <Lines>53</Lines>
  <Paragraphs>14</Paragraphs>
  <TotalTime>39</TotalTime>
  <ScaleCrop>false</ScaleCrop>
  <LinksUpToDate>false</LinksUpToDate>
  <CharactersWithSpaces>7473</CharactersWithSpaces>
  <Application>WPS Office_11.1.0.11045_F1E327BC-269C-435d-A152-05C5408002CA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2021-10-24T11:43:00Z</dcterms:created>
  <dc:creator>型略杜案瞧</dc:creator>
  <cp:lastModifiedBy>Administrator</cp:lastModifiedBy>
  <dcterms:modified xsi:type="dcterms:W3CDTF">2021-11-17T09:01:30Z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9A4925F386BF43C2BC4B3B4126BDA473</vt:lpwstr>
  </property>
</Properties>
</file>