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Supplementary Material</w:t>
      </w:r>
    </w:p>
    <w:p>
      <w:pPr>
        <w:jc w:val="center"/>
      </w:pPr>
      <w:r>
        <w:t>Recovered but Not Reset: Longitudinal Health History and Future Vulnerability Across Three National Cohorts</w:t>
      </w:r>
    </w:p>
    <w:p>
      <w:r>
        <w:rPr>
          <w:b/>
          <w:sz w:val="24"/>
        </w:rPr>
        <w:t>Contents</w:t>
      </w:r>
    </w:p>
    <w:p>
      <w:pPr>
        <w:spacing w:line="240" w:lineRule="auto"/>
        <w:ind w:left="288"/>
      </w:pPr>
      <w:r>
        <w:t>eMethods. Supplementary analytic details</w:t>
      </w:r>
    </w:p>
    <w:p>
      <w:pPr>
        <w:spacing w:line="240" w:lineRule="auto"/>
        <w:ind w:left="288"/>
      </w:pPr>
      <w:r>
        <w:t>eTable 1. Cohort harmonization and analysis waves</w:t>
      </w:r>
    </w:p>
    <w:p>
      <w:pPr>
        <w:spacing w:line="240" w:lineRule="auto"/>
        <w:ind w:left="288"/>
      </w:pPr>
      <w:r>
        <w:t>eTable 2. State discovery and three-cohort transportability</w:t>
      </w:r>
    </w:p>
    <w:p>
      <w:pPr>
        <w:spacing w:line="240" w:lineRule="auto"/>
        <w:ind w:left="288"/>
      </w:pPr>
      <w:r>
        <w:t>eTable 3. Cluster-free temporal replication</w:t>
      </w:r>
    </w:p>
    <w:p>
      <w:pPr>
        <w:spacing w:line="240" w:lineRule="auto"/>
        <w:ind w:left="288"/>
      </w:pPr>
      <w:r>
        <w:t>eTable 4. Five-wave multistep history depth</w:t>
      </w:r>
    </w:p>
    <w:p>
      <w:pPr>
        <w:spacing w:line="240" w:lineRule="auto"/>
        <w:ind w:left="288"/>
      </w:pPr>
      <w:r>
        <w:t>eTable 5. Information added by previous state</w:t>
      </w:r>
    </w:p>
    <w:p>
      <w:pPr>
        <w:spacing w:line="240" w:lineRule="auto"/>
        <w:ind w:left="288"/>
      </w:pPr>
      <w:r>
        <w:t>eTable 6. Fixed two-assessment history patterns</w:t>
      </w:r>
    </w:p>
    <w:p>
      <w:pPr>
        <w:spacing w:line="240" w:lineRule="auto"/>
        <w:ind w:left="288"/>
      </w:pPr>
      <w:r>
        <w:t>eTable 7. Persistence after one isolated vulnerable episode</w:t>
      </w:r>
    </w:p>
    <w:p>
      <w:pPr>
        <w:spacing w:line="240" w:lineRule="auto"/>
        <w:ind w:left="288"/>
      </w:pPr>
      <w:r>
        <w:t>eTable 8. Domain specificity and external functional outcome</w:t>
      </w:r>
    </w:p>
    <w:p>
      <w:pPr>
        <w:spacing w:line="240" w:lineRule="auto"/>
        <w:ind w:left="288"/>
      </w:pPr>
      <w:r>
        <w:t>eTable 9. Selected robustness analyses</w:t>
      </w:r>
    </w:p>
    <w:p>
      <w:pPr>
        <w:spacing w:line="240" w:lineRule="auto"/>
        <w:ind w:left="288"/>
      </w:pPr>
      <w:r>
        <w:t>eTable 10. Non-overlapping-indicator temporal replication</w:t>
      </w:r>
    </w:p>
    <w:p>
      <w:pPr>
        <w:spacing w:line="240" w:lineRule="auto"/>
        <w:ind w:left="288"/>
      </w:pPr>
      <w:r>
        <w:t>eTable 11. Saturated-current non-overlapping-indicator validation</w:t>
      </w:r>
    </w:p>
    <w:p>
      <w:pPr>
        <w:pStyle w:val="Heading1"/>
      </w:pPr>
      <w:r>
        <w:t>eMethods</w:t>
      </w:r>
    </w:p>
    <w:p>
      <w:pPr>
        <w:spacing w:line="240" w:lineRule="auto"/>
      </w:pPr>
      <w:r>
        <w:t>Independent ELSA replication. The HRS-CHARLS state-history framework and principal contrasts were established before ELSA was added. ELSA was subsequently accessed through UK Data Service study 5050 and mapped to the same four-domain framework. No HRS or CHARLS model specification was changed in response to the ELSA results.</w:t>
      </w:r>
    </w:p>
    <w:p>
      <w:pPr>
        <w:spacing w:line="240" w:lineRule="auto"/>
      </w:pPr>
      <w:r>
        <w:t>Domain harmonization. Mobility used four repeated difficulty indicators spanning walking, climbing stairs, stooping/kneeling, and lifting/carrying. IADL covered preparing meals, shopping, managing money, and taking medications. Episodic memory combined immediate and delayed word recall. Depressive symptoms used cohort-standard repeated symptom measures. Higher values were oriented to worse health before within-cohort standardization.</w:t>
      </w:r>
    </w:p>
    <w:p>
      <w:pPr>
        <w:spacing w:line="240" w:lineRule="auto"/>
      </w:pPr>
      <w:r>
        <w:t>Robustness framework. The locked analysis included cluster-free temporal replication, multistep history depth, first- versus second-order state prediction, fixed history patterns, isolated-episode persistence, domain recurrence, incident basic-ADL limitation, overlap weighting, central-cluster restriction, one-landmark-per-participant analysis, history-label permutation, fully nested validation, frozen HRS centroids, and non-overlapping-item measurement stress tests.</w:t>
      </w:r>
    </w:p>
    <w:p>
      <w:r>
        <w:br w:type="page"/>
      </w: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1. Cohort harmonization and analysis waves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Component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HRS (US)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ELSA (England)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CHARLS (China)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Principal observation period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2010–2018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2010–2018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2011–2018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Harmonized waves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10–14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5–9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2011, 2013, 2015, 2018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Mobility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Walking several blocks; stairs; stooping/kneeling; lifting 10 lb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Walking 100 yards; stairs; stooping/kneeling; lifting 10 lb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Conceptually matched walking; stairs; stooping; lifting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IADL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Meals; shopping; money; medications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Same 4-item core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Same 4-item core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Episodic memory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Immediate + delayed recall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Immediate + delayed recall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Immediate + delayed recall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Depressive symptoms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Cohort-standard repeated score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Cohort-standard repeated score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Cohort-standard repeated score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Minimum age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≥60 years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≥60 years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≥60 years</w:t>
            </w:r>
          </w:p>
        </w:tc>
      </w:tr>
    </w:tbl>
    <w:p>
      <w:r>
        <w:br w:type="page"/>
      </w: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2. State discovery and three-cohort transportability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Metric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CHARLS / pairwise comparison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State-discovery person-waves / people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54,545 / 17,893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34,054 / 10,004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26,637 / 12,135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States independently recovered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Preserved; cognitive; mobility; affective; multidomain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Same five states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Same five states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Centroid correlation: HRS–ELSA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—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0.993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—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Centroid correlation: HRS–CHARLS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0.986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—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0.986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Centroid correlation: ELSA–CHARLS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—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0.981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0.981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Transition correlation: HRS–ELSA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—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0.983 overall; 0.935 off-diagonal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—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Transition correlation: HRS–CHARLS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0.951 overall; 0.872 off-diagonal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—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0.951 / 0.872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Transition correlation: ELSA–CHARLS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—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0.973 overall; 0.916 off-diagonal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0.973 / 0.916</w:t>
            </w:r>
          </w:p>
        </w:tc>
      </w:tr>
    </w:tbl>
    <w:p>
      <w:r>
        <w:br w:type="page"/>
      </w: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3. Cluster-free temporal replication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Cohort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Window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N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Previous-burden coefficient (95% CI)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Out-of-fold R²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ΔR²</w:t>
            </w:r>
          </w:p>
        </w:tc>
      </w:tr>
      <w:t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2010→2012→2014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7,120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0.366 (0.334–0.398)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0.609→0.650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+0.042</w:t>
            </w:r>
          </w:p>
        </w:tc>
      </w:tr>
      <w:t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2012→2014→2016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6,946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0.344 (0.310–0.378)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0.618→0.655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+0.037</w:t>
            </w:r>
          </w:p>
        </w:tc>
      </w:tr>
      <w:t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2014→2016→2018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6,687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0.349 (0.316–0.383)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0.593→0.634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+0.040</w:t>
            </w:r>
          </w:p>
        </w:tc>
      </w:tr>
      <w:t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2010→2012→2014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5,141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0.328 (0.289–0.367)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0.631→0.664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+0.033</w:t>
            </w:r>
          </w:p>
        </w:tc>
      </w:tr>
      <w:t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2012→2014→2016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5,053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0.379 (0.333–0.424)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0.569→0.604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+0.035</w:t>
            </w:r>
          </w:p>
        </w:tc>
      </w:tr>
      <w:t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2014→2016→2018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4,870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0.401 (0.331–0.471)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0.507→0.581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+0.074</w:t>
            </w:r>
          </w:p>
        </w:tc>
      </w:tr>
      <w:t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2013→2015→2018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5,106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0.332 (0.274–0.390)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0.434→0.459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+0.025</w:t>
            </w:r>
          </w:p>
        </w:tc>
      </w:tr>
    </w:tbl>
    <w:p>
      <w:r>
        <w:br w:type="page"/>
      </w: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4. Five-wave multistep history depth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Cohort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N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t−1 coefficient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t−2 coefficient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t−3 coefficient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R² current → +t−1 → +t−2 → +t−3</w:t>
            </w:r>
          </w:p>
        </w:tc>
      </w:tr>
      <w:t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4,517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0.249 (0.203–0.295)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0.136 (0.090–0.181)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0.118 (0.074–0.162)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0.590→0.629→0.637→0.641</w:t>
            </w:r>
          </w:p>
        </w:tc>
      </w:tr>
      <w:tr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3,627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0.234 (0.172–0.296)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0.155 (0.096–0.213)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0.198 (0.145–0.251)</w:t>
            </w:r>
          </w:p>
        </w:tc>
        <w:tc>
          <w:tcPr>
            <w:tcW w:type="dxa" w:w="1728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0.481→0.562→0.579→0.591</w:t>
            </w:r>
          </w:p>
        </w:tc>
      </w:tr>
    </w:tbl>
    <w:p>
      <w:r>
        <w:br w:type="page"/>
      </w: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5. Information added by previous state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Cohort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Current state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Triplets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Relative reduction in out-of-fold log loss (95% CI)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Overall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20,807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7.0% (6.5–7.5)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Overall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15,063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6.1% (5.5–6.7)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Overall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5,898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3.1% (2.4–3.7)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Preserved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6,233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6.8% (5.9–7.8)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Cognitive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6,173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7.2% (6.2–8.2)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Mobility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5,584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6.5% (5.5–7.3)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Affective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1,941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8.0% (6.3–9.7)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Multidomain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876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5.5% (2.8–8.4)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Preserved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6,090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5.2% (4.3–6.2)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Cognitive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4,213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6.3% (5.2–7.4)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Mobility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2,920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6.6% (5.3–8.0)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Affective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1,394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7.5% (5.7–9.4)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Multidomain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446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2.8% (−0.8–6.7)</w:t>
            </w:r>
          </w:p>
        </w:tc>
      </w:tr>
    </w:tbl>
    <w:p>
      <w:r>
        <w:br w:type="page"/>
      </w: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6. Fixed two-assessment history patterns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Cohort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History pattern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N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Standardized deterioration risk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RR vs durable (95% CI)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Durable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1,531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31.9%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Reference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Remote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548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43.3%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1.36 (1.20–1.54)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Recent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676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48.9%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1.53 (1.38–1.71)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Recurrent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611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59.3%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1.86 (1.68–2.06)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Durable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1,889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26.8%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Reference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Remote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551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42.5%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1.58 (1.39–1.80)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Recent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484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41.9%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1.56 (1.36–1.79)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Recurrent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435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51.3%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1.91 (1.67–2.19)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Durable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257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30.4%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Reference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Remote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117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44.3%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1.46 (1.11–1.92)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Recent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104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50.8%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1.67 (1.27–2.19)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Recurrent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134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61.7%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2.03 (1.60–2.58)</w:t>
            </w:r>
          </w:p>
        </w:tc>
      </w:tr>
    </w:tbl>
    <w:p>
      <w:r>
        <w:br w:type="page"/>
      </w: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7. Persistence after one isolated vulnerable episode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Cohort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History depth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N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Standardized risk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RR vs durable (95% CI)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Durable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479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26.6%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Reference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 preserved after episode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131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40.0%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1.50 (1.17–1.93)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 preserved after episode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166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37.2%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1.40 (1.10–1.78)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 preserved after episode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120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38.7%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1.46 (1.12–1.90)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Durable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628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26.7%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Reference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 preserved after episode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134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34.3%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1.29 (1.00–1.65)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 preserved after episode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110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38.8%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1.45 (1.12–1.89)</w:t>
            </w:r>
          </w:p>
        </w:tc>
      </w:tr>
      <w:tr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 preserved after episode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174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37.6%</w:t>
            </w:r>
          </w:p>
        </w:tc>
        <w:tc>
          <w:tcPr>
            <w:tcW w:type="dxa" w:w="2074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1.41 (1.12–1.77)</w:t>
            </w:r>
          </w:p>
        </w:tc>
      </w:tr>
    </w:tbl>
    <w:p>
      <w:r>
        <w:br w:type="page"/>
      </w: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8. Domain specificity and external functional outcome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Cohort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Outcome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N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Adjusted RR (95% CI)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Cognitive recurrence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5,440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1.79 (1.64–1.97)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Mobility recurrence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4,440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1.91 (1.64–2.23)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Affective recurrence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4,024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4.47 (2.79–7.18)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Cognitive recurrence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5,469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1.53 (1.38–1.69)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Mobility recurrence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4,657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2.14 (1.71–2.68)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Affective recurrence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4,562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2.89 (2.03–4.10)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Cognitive recurrence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1,681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1.39 (1.18–1.62)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Mobility recurrence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1,310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1.96 (1.40–2.76)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Affective recurrence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1,280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2.88 (1.74–4.77)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Incident basic-ADL limitation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6,059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1.44 (1.08–1.93)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Incident basic-ADL limitation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5,806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1.35 (1.03–1.76)</w:t>
            </w:r>
          </w:p>
        </w:tc>
      </w:tr>
      <w:tr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Incident basic-ADL limitation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1,841</w:t>
            </w:r>
          </w:p>
        </w:tc>
        <w:tc>
          <w:tcPr>
            <w:tcW w:type="dxa" w:w="259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1.26 (0.92–1.73)</w:t>
            </w:r>
          </w:p>
        </w:tc>
      </w:tr>
    </w:tbl>
    <w:p>
      <w:r>
        <w:br w:type="page"/>
      </w: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9. Selected robustness analyses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Cohort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Analysis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Result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Overlap weighting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RR 1.55 (1.46–1.65)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Overlap weighting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RR 1.39 (1.26–1.53)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Central 25% of preserved cluster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RR 1.67 (1.49–1.87)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Central 25% of preserved cluster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RR 1.59 (1.30–1.95)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One landmark per participant (first)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RR 1.64 (1.51–1.78)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One landmark per participant (first)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RR 1.37 (1.24–1.52)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History-label permutation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Observed RR 1.56; empirical P=0.003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History-label permutation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Observed RR 1.40; empirical P=0.003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Fully nested validation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AUC 0.689→0.719; Δ 0.030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Fully nested validation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AUC 0.713→0.724; Δ 0.010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CHARLS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Frozen HRS-centroid assignment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RR 1.35 (1.23–1.48)</w:t>
            </w:r>
          </w:p>
        </w:tc>
      </w:tr>
      <w:tr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Frozen HRS-centroid assignment</w:t>
            </w:r>
          </w:p>
        </w:tc>
        <w:tc>
          <w:tcPr>
            <w:tcW w:type="dxa" w:w="3456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90.5% agreement; ARI 0.741; RR 1.38 (1.28–1.48)</w:t>
            </w:r>
          </w:p>
        </w:tc>
      </w:tr>
    </w:tbl>
    <w:p>
      <w:pPr>
        <w:sectPr>
          <w:footerReference w:type="default" r:id="rId9"/>
          <w:pgSz w:w="12240" w:h="15840"/>
          <w:pgMar w:top="1008" w:right="936" w:bottom="1008" w:left="936" w:header="720" w:footer="720" w:gutter="0"/>
          <w:cols w:space="720"/>
          <w:docGrid w:linePitch="360"/>
        </w:sectPr>
      </w:pP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10. Non-overlapping-indicator temporal replication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82"/>
        <w:gridCol w:w="1782"/>
        <w:gridCol w:w="1782"/>
        <w:gridCol w:w="1782"/>
        <w:gridCol w:w="1782"/>
        <w:gridCol w:w="1782"/>
        <w:gridCol w:w="1782"/>
        <w:gridCol w:w="1782"/>
      </w:tblGrid>
      <w:tr>
        <w:trPr>
          <w:tblHeader w:val="true"/>
        </w:trP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Cohort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Window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Rotation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N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History coefficient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95% CI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P value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Δ out-of-fold R²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2010→2012→2014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A→B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9,130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0.244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0.216–0.271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4.7e−68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+0.021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2010→2012→2014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B→A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9,130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0.256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0.230–0.283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9.2e−81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+0.026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2012→2014→2016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A→B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8,707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0.221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0.193–0.250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1.5e−51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+0.017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2012→2014→2016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B→A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8,707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0.230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0.202–0.258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5.1e−58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+0.021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2014→2016→2018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A→B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7,972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0.232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0.202–0.262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4.4e−51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+0.019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2014→2016→2018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B→A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7,972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0.229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0.200–0.259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3.0e−53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+0.021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2010→2012→2014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A→B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5,039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0.190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0.153–0.228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2.7e−23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+0.012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2010→2012→2014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B→A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5,039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0.204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0.166–0.243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2.3e−25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+0.016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2012→2014→2016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A→B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4,967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0.229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0.189–0.269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6.2e−29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+0.015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2012→2014→2016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B→A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4,967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0.220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0.178–0.263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1.1e−24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+0.016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2014→2016→2018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A→B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4,800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0.218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0.178–0.259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6.8e−26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+0.014</w:t>
            </w:r>
          </w:p>
        </w:tc>
      </w:tr>
      <w:tr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2014→2016→2018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B→A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4,800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0.204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0.159–0.249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9.8e−19</w:t>
            </w:r>
          </w:p>
        </w:tc>
        <w:tc>
          <w:tcPr>
            <w:tcW w:type="dxa" w:w="178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+0.015</w:t>
            </w:r>
          </w:p>
        </w:tc>
      </w:tr>
    </w:tbl>
    <w:p>
      <w:pPr>
        <w:sectPr>
          <w:pgSz w:w="15840" w:h="12240" w:orient="landscape"/>
          <w:pgMar w:top="792" w:right="792" w:bottom="792" w:left="792" w:header="720" w:footer="720" w:gutter="0"/>
          <w:cols w:space="720"/>
          <w:docGrid w:linePitch="360"/>
        </w:sectPr>
      </w:pPr>
    </w:p>
    <w:p>
      <w:pPr>
        <w:spacing w:line="240" w:lineRule="auto"/>
      </w:pPr>
      <w:r>
        <w:rPr>
          <w:rFonts w:ascii="Arial" w:hAnsi="Arial" w:eastAsia="Arial"/>
          <w:b/>
          <w:sz w:val="24"/>
        </w:rPr>
        <w:t>eTable 11. Saturated-current non-overlapping-indicator validation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rPr>
          <w:tblHeader w:val="true"/>
        </w:trPr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Cohort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Rotation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N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Current item controls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History coefficient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95% CI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P value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/>
                <w:sz w:val="20"/>
              </w:rPr>
              <w:t>Δ out-of-fold R²</w:t>
            </w:r>
          </w:p>
        </w:tc>
      </w:tr>
      <w:tr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A→B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6,487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18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0.247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0.213–0.280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5.9e−46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+0.021</w:t>
            </w:r>
          </w:p>
        </w:tc>
      </w:tr>
      <w:tr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HRS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B→A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6,487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18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0.239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0.205–0.273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3.8e−43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+0.023</w:t>
            </w:r>
          </w:p>
        </w:tc>
      </w:tr>
      <w:tr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A→B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4,800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18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0.222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0.181–0.263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2.3e−26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+0.015</w:t>
            </w:r>
          </w:p>
        </w:tc>
      </w:tr>
      <w:tr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ELSA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B→A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4,800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18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0.214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0.169–0.259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2.9e−20</w:t>
            </w:r>
          </w:p>
        </w:tc>
        <w:tc>
          <w:tcPr>
            <w:tcW w:type="dxa" w:w="1332"/>
          </w:tcPr>
          <w:p>
            <w:pPr>
              <w:spacing w:line="240" w:lineRule="auto" w:after="0"/>
            </w:pPr>
            <w:r>
              <w:rPr>
                <w:rFonts w:ascii="Arial" w:hAnsi="Arial" w:eastAsia="Arial"/>
                <w:b w:val="0"/>
                <w:sz w:val="20"/>
              </w:rPr>
              <w:t>+0.016</w:t>
            </w:r>
          </w:p>
        </w:tc>
      </w:tr>
    </w:tbl>
    <w:p>
      <w:pPr>
        <w:pStyle w:val="Heading1"/>
      </w:pPr>
      <w:r>
        <w:t>Supplementary Notes</w:t>
      </w:r>
    </w:p>
    <w:p>
      <w:pPr>
        <w:spacing w:line="240" w:lineRule="auto"/>
      </w:pPr>
      <w:r>
        <w:t>The exact remote-versus-recent ordering was not invariant across cohorts: ELSA showed similar risk after remote and recent vulnerability, whereas recurrent vulnerability was consistently the highest-risk history in all three cohorts. Multistep coefficients also did not decline monotonically with historical depth in ELSA. Accordingly, the estimand is prognostic information conditional on the measured current phenotype; no claim is made of a universal decay kernel, biological memory, or causal path dependence.</w:t>
      </w:r>
    </w:p>
    <w:p>
      <w:pPr>
        <w:spacing w:line="240" w:lineRule="auto"/>
      </w:pPr>
      <w:r>
        <w:t>All tables contain aggregate derived results only. Individual-level HRS, ELSA, and CHARLS data remain subject to the access conditions of their parent studies and are not redistributed.</w:t>
      </w:r>
    </w:p>
    <w:sectPr w:rsidR="00FC693F" w:rsidRPr="0006063C" w:rsidSect="00034616">
      <w:pgSz w:w="12240" w:h="158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sz w:val="18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0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