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5C7A" w14:textId="1BF94FE0" w:rsidR="00364A98" w:rsidRPr="00677982" w:rsidRDefault="00677982">
      <w:pPr>
        <w:spacing w:after="120"/>
        <w:rPr>
          <w:sz w:val="24"/>
          <w:szCs w:val="24"/>
        </w:rPr>
      </w:pPr>
      <w:r w:rsidRPr="00677982">
        <w:rPr>
          <w:rFonts w:cs="Times New Roman"/>
          <w:b/>
          <w:sz w:val="24"/>
          <w:szCs w:val="24"/>
        </w:rPr>
        <w:t>Supplementary Table S</w:t>
      </w:r>
      <w:r w:rsidRPr="00677982">
        <w:rPr>
          <w:rFonts w:cs="Times New Roman"/>
          <w:b/>
          <w:sz w:val="24"/>
          <w:szCs w:val="24"/>
        </w:rPr>
        <w:t>1</w:t>
      </w:r>
      <w:r w:rsidR="00000000" w:rsidRPr="00677982">
        <w:rPr>
          <w:b/>
          <w:sz w:val="24"/>
          <w:szCs w:val="24"/>
        </w:rPr>
        <w:t>. Univariable logistic regression analysis for 28-day mortality</w:t>
      </w:r>
    </w:p>
    <w:tbl>
      <w:tblPr>
        <w:tblW w:w="10166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824"/>
        <w:gridCol w:w="2114"/>
        <w:gridCol w:w="2114"/>
        <w:gridCol w:w="2114"/>
      </w:tblGrid>
      <w:tr w:rsidR="00364A98" w14:paraId="04F4024F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68E098F2" w14:textId="77777777" w:rsidR="00364A98" w:rsidRDefault="00000000">
            <w:pPr>
              <w:spacing w:after="0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2114" w:type="dxa"/>
            <w:vAlign w:val="center"/>
          </w:tcPr>
          <w:p w14:paraId="0B5879F2" w14:textId="77777777" w:rsidR="00364A98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OR</w:t>
            </w:r>
          </w:p>
        </w:tc>
        <w:tc>
          <w:tcPr>
            <w:tcW w:w="2114" w:type="dxa"/>
            <w:vAlign w:val="center"/>
          </w:tcPr>
          <w:p w14:paraId="5C4B0052" w14:textId="77777777" w:rsidR="00364A98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2114" w:type="dxa"/>
            <w:vAlign w:val="center"/>
          </w:tcPr>
          <w:p w14:paraId="44582799" w14:textId="77777777" w:rsidR="00364A98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4A98" w14:paraId="3F521B28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20094F7E" w14:textId="77777777" w:rsidR="00364A98" w:rsidRDefault="00000000">
            <w:pPr>
              <w:spacing w:after="0"/>
            </w:pPr>
            <w:r>
              <w:rPr>
                <w:sz w:val="17"/>
              </w:rPr>
              <w:t>GNRI risk present (Group 2) vs. no risk (Group 1)</w:t>
            </w:r>
          </w:p>
        </w:tc>
        <w:tc>
          <w:tcPr>
            <w:tcW w:w="2114" w:type="dxa"/>
            <w:vAlign w:val="center"/>
          </w:tcPr>
          <w:p w14:paraId="203B507E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6.83</w:t>
            </w:r>
          </w:p>
        </w:tc>
        <w:tc>
          <w:tcPr>
            <w:tcW w:w="2114" w:type="dxa"/>
            <w:vAlign w:val="center"/>
          </w:tcPr>
          <w:p w14:paraId="1E8BC2B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3.79–12.31</w:t>
            </w:r>
          </w:p>
        </w:tc>
        <w:tc>
          <w:tcPr>
            <w:tcW w:w="2114" w:type="dxa"/>
            <w:vAlign w:val="center"/>
          </w:tcPr>
          <w:p w14:paraId="72B9071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1BB5A12D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4BE895B0" w14:textId="77777777" w:rsidR="00364A98" w:rsidRDefault="00000000">
            <w:pPr>
              <w:spacing w:after="0"/>
            </w:pPr>
            <w:r>
              <w:rPr>
                <w:sz w:val="17"/>
              </w:rPr>
              <w:t>Age, years</w:t>
            </w:r>
          </w:p>
        </w:tc>
        <w:tc>
          <w:tcPr>
            <w:tcW w:w="2114" w:type="dxa"/>
            <w:vAlign w:val="center"/>
          </w:tcPr>
          <w:p w14:paraId="34C357B5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1.01</w:t>
            </w:r>
          </w:p>
        </w:tc>
        <w:tc>
          <w:tcPr>
            <w:tcW w:w="2114" w:type="dxa"/>
            <w:vAlign w:val="center"/>
          </w:tcPr>
          <w:p w14:paraId="45087B44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0.98–1.03</w:t>
            </w:r>
          </w:p>
        </w:tc>
        <w:tc>
          <w:tcPr>
            <w:tcW w:w="2114" w:type="dxa"/>
            <w:vAlign w:val="center"/>
          </w:tcPr>
          <w:p w14:paraId="716DC89A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0.670</w:t>
            </w:r>
          </w:p>
        </w:tc>
      </w:tr>
      <w:tr w:rsidR="00364A98" w14:paraId="396DCD3D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21F4FE1C" w14:textId="77777777" w:rsidR="00364A98" w:rsidRDefault="00000000">
            <w:pPr>
              <w:spacing w:after="0"/>
            </w:pPr>
            <w:r>
              <w:rPr>
                <w:sz w:val="17"/>
              </w:rPr>
              <w:t>Sex, male vs. female</w:t>
            </w:r>
          </w:p>
        </w:tc>
        <w:tc>
          <w:tcPr>
            <w:tcW w:w="2114" w:type="dxa"/>
            <w:vAlign w:val="center"/>
          </w:tcPr>
          <w:p w14:paraId="4EC54BF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0.54</w:t>
            </w:r>
          </w:p>
        </w:tc>
        <w:tc>
          <w:tcPr>
            <w:tcW w:w="2114" w:type="dxa"/>
            <w:vAlign w:val="center"/>
          </w:tcPr>
          <w:p w14:paraId="01FF393E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0.33–0.89</w:t>
            </w:r>
          </w:p>
        </w:tc>
        <w:tc>
          <w:tcPr>
            <w:tcW w:w="2114" w:type="dxa"/>
            <w:vAlign w:val="center"/>
          </w:tcPr>
          <w:p w14:paraId="3743A71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0.015</w:t>
            </w:r>
          </w:p>
        </w:tc>
      </w:tr>
      <w:tr w:rsidR="00364A98" w14:paraId="12DE711F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44676A43" w14:textId="77777777" w:rsidR="00364A98" w:rsidRDefault="00000000">
            <w:pPr>
              <w:spacing w:after="0"/>
            </w:pPr>
            <w:r>
              <w:rPr>
                <w:sz w:val="17"/>
              </w:rPr>
              <w:t>Height, cm</w:t>
            </w:r>
          </w:p>
        </w:tc>
        <w:tc>
          <w:tcPr>
            <w:tcW w:w="2114" w:type="dxa"/>
            <w:vAlign w:val="center"/>
          </w:tcPr>
          <w:p w14:paraId="4E6462A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0.98</w:t>
            </w:r>
          </w:p>
        </w:tc>
        <w:tc>
          <w:tcPr>
            <w:tcW w:w="2114" w:type="dxa"/>
            <w:vAlign w:val="center"/>
          </w:tcPr>
          <w:p w14:paraId="7C29AA75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0.95–1.01</w:t>
            </w:r>
          </w:p>
        </w:tc>
        <w:tc>
          <w:tcPr>
            <w:tcW w:w="2114" w:type="dxa"/>
            <w:vAlign w:val="center"/>
          </w:tcPr>
          <w:p w14:paraId="657D4C2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0.109</w:t>
            </w:r>
          </w:p>
        </w:tc>
      </w:tr>
      <w:tr w:rsidR="00364A98" w14:paraId="0F689690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7AA671A6" w14:textId="77777777" w:rsidR="00364A98" w:rsidRDefault="00000000">
            <w:pPr>
              <w:spacing w:after="0"/>
            </w:pPr>
            <w:r>
              <w:rPr>
                <w:sz w:val="17"/>
              </w:rPr>
              <w:t>Weight, kg</w:t>
            </w:r>
          </w:p>
        </w:tc>
        <w:tc>
          <w:tcPr>
            <w:tcW w:w="2114" w:type="dxa"/>
            <w:vAlign w:val="center"/>
          </w:tcPr>
          <w:p w14:paraId="5E62E0C5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0.89</w:t>
            </w:r>
          </w:p>
        </w:tc>
        <w:tc>
          <w:tcPr>
            <w:tcW w:w="2114" w:type="dxa"/>
            <w:vAlign w:val="center"/>
          </w:tcPr>
          <w:p w14:paraId="1255BBF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0.86–0.92</w:t>
            </w:r>
          </w:p>
        </w:tc>
        <w:tc>
          <w:tcPr>
            <w:tcW w:w="2114" w:type="dxa"/>
            <w:vAlign w:val="center"/>
          </w:tcPr>
          <w:p w14:paraId="7E18906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36D9BDD8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3A64CF61" w14:textId="77777777" w:rsidR="00364A98" w:rsidRDefault="00000000">
            <w:pPr>
              <w:spacing w:after="0"/>
            </w:pPr>
            <w:r>
              <w:rPr>
                <w:sz w:val="17"/>
              </w:rPr>
              <w:t>BMI, kg/m²</w:t>
            </w:r>
          </w:p>
        </w:tc>
        <w:tc>
          <w:tcPr>
            <w:tcW w:w="2114" w:type="dxa"/>
            <w:vAlign w:val="center"/>
          </w:tcPr>
          <w:p w14:paraId="4874978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0.70</w:t>
            </w:r>
          </w:p>
        </w:tc>
        <w:tc>
          <w:tcPr>
            <w:tcW w:w="2114" w:type="dxa"/>
            <w:vAlign w:val="center"/>
          </w:tcPr>
          <w:p w14:paraId="3BE4EC7B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0.63–0.77</w:t>
            </w:r>
          </w:p>
        </w:tc>
        <w:tc>
          <w:tcPr>
            <w:tcW w:w="2114" w:type="dxa"/>
            <w:vAlign w:val="center"/>
          </w:tcPr>
          <w:p w14:paraId="5851028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45D71529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5A54DD09" w14:textId="77777777" w:rsidR="00364A98" w:rsidRDefault="00000000">
            <w:pPr>
              <w:spacing w:after="0"/>
            </w:pPr>
            <w:r>
              <w:rPr>
                <w:sz w:val="17"/>
              </w:rPr>
              <w:t>Ideal body weight, kg</w:t>
            </w:r>
          </w:p>
        </w:tc>
        <w:tc>
          <w:tcPr>
            <w:tcW w:w="2114" w:type="dxa"/>
            <w:vAlign w:val="center"/>
          </w:tcPr>
          <w:p w14:paraId="04B08CBF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0.97</w:t>
            </w:r>
          </w:p>
        </w:tc>
        <w:tc>
          <w:tcPr>
            <w:tcW w:w="2114" w:type="dxa"/>
            <w:vAlign w:val="center"/>
          </w:tcPr>
          <w:p w14:paraId="0414332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0.92–1.01</w:t>
            </w:r>
          </w:p>
        </w:tc>
        <w:tc>
          <w:tcPr>
            <w:tcW w:w="2114" w:type="dxa"/>
            <w:vAlign w:val="center"/>
          </w:tcPr>
          <w:p w14:paraId="15FA7E97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0.162</w:t>
            </w:r>
          </w:p>
        </w:tc>
      </w:tr>
      <w:tr w:rsidR="00364A98" w14:paraId="740BB926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6753A979" w14:textId="77777777" w:rsidR="00364A98" w:rsidRDefault="00000000">
            <w:pPr>
              <w:spacing w:after="0"/>
            </w:pPr>
            <w:r>
              <w:rPr>
                <w:sz w:val="17"/>
              </w:rPr>
              <w:t>Weight/ideal body weight ratio</w:t>
            </w:r>
          </w:p>
        </w:tc>
        <w:tc>
          <w:tcPr>
            <w:tcW w:w="2114" w:type="dxa"/>
            <w:vAlign w:val="center"/>
          </w:tcPr>
          <w:p w14:paraId="0F997029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w="2114" w:type="dxa"/>
            <w:vAlign w:val="center"/>
          </w:tcPr>
          <w:p w14:paraId="0C70894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&lt;0.001–0.002</w:t>
            </w:r>
          </w:p>
        </w:tc>
        <w:tc>
          <w:tcPr>
            <w:tcW w:w="2114" w:type="dxa"/>
            <w:vAlign w:val="center"/>
          </w:tcPr>
          <w:p w14:paraId="544EF4A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0635EE76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00CADFE5" w14:textId="77777777" w:rsidR="00364A98" w:rsidRDefault="00000000">
            <w:pPr>
              <w:spacing w:after="0"/>
            </w:pPr>
            <w:r>
              <w:rPr>
                <w:sz w:val="17"/>
              </w:rPr>
              <w:t>Serum albumin, g/L</w:t>
            </w:r>
          </w:p>
        </w:tc>
        <w:tc>
          <w:tcPr>
            <w:tcW w:w="2114" w:type="dxa"/>
            <w:vAlign w:val="center"/>
          </w:tcPr>
          <w:p w14:paraId="01FBF5B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0.88</w:t>
            </w:r>
          </w:p>
        </w:tc>
        <w:tc>
          <w:tcPr>
            <w:tcW w:w="2114" w:type="dxa"/>
            <w:vAlign w:val="center"/>
          </w:tcPr>
          <w:p w14:paraId="3A0D1BD5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0.84–0.91</w:t>
            </w:r>
          </w:p>
        </w:tc>
        <w:tc>
          <w:tcPr>
            <w:tcW w:w="2114" w:type="dxa"/>
            <w:vAlign w:val="center"/>
          </w:tcPr>
          <w:p w14:paraId="23F196E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7AE18C5F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5E09EB99" w14:textId="77777777" w:rsidR="00364A98" w:rsidRDefault="00000000">
            <w:pPr>
              <w:spacing w:after="0"/>
            </w:pPr>
            <w:r>
              <w:rPr>
                <w:sz w:val="17"/>
              </w:rPr>
              <w:t>GNRI score</w:t>
            </w:r>
          </w:p>
        </w:tc>
        <w:tc>
          <w:tcPr>
            <w:tcW w:w="2114" w:type="dxa"/>
            <w:vAlign w:val="center"/>
          </w:tcPr>
          <w:p w14:paraId="3DA0386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0.94</w:t>
            </w:r>
          </w:p>
        </w:tc>
        <w:tc>
          <w:tcPr>
            <w:tcW w:w="2114" w:type="dxa"/>
            <w:vAlign w:val="center"/>
          </w:tcPr>
          <w:p w14:paraId="46A0AFDE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0.92–0.95</w:t>
            </w:r>
          </w:p>
        </w:tc>
        <w:tc>
          <w:tcPr>
            <w:tcW w:w="2114" w:type="dxa"/>
            <w:vAlign w:val="center"/>
          </w:tcPr>
          <w:p w14:paraId="1D87B96F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1A238DC6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39D3096E" w14:textId="77777777" w:rsidR="00364A98" w:rsidRDefault="00000000">
            <w:pPr>
              <w:spacing w:after="0"/>
            </w:pPr>
            <w:r>
              <w:rPr>
                <w:sz w:val="17"/>
              </w:rPr>
              <w:t>Hypertension</w:t>
            </w:r>
          </w:p>
        </w:tc>
        <w:tc>
          <w:tcPr>
            <w:tcW w:w="2114" w:type="dxa"/>
            <w:vAlign w:val="center"/>
          </w:tcPr>
          <w:p w14:paraId="701D909B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1.72</w:t>
            </w:r>
          </w:p>
        </w:tc>
        <w:tc>
          <w:tcPr>
            <w:tcW w:w="2114" w:type="dxa"/>
            <w:vAlign w:val="center"/>
          </w:tcPr>
          <w:p w14:paraId="39418DBC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1.04–2.84</w:t>
            </w:r>
          </w:p>
        </w:tc>
        <w:tc>
          <w:tcPr>
            <w:tcW w:w="2114" w:type="dxa"/>
            <w:vAlign w:val="center"/>
          </w:tcPr>
          <w:p w14:paraId="22E72FDA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0.034</w:t>
            </w:r>
          </w:p>
        </w:tc>
      </w:tr>
      <w:tr w:rsidR="00364A98" w14:paraId="145A8328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610294A8" w14:textId="77777777" w:rsidR="00364A98" w:rsidRDefault="00000000">
            <w:pPr>
              <w:spacing w:after="0"/>
            </w:pPr>
            <w:r>
              <w:rPr>
                <w:sz w:val="17"/>
              </w:rPr>
              <w:t>Diabetes mellitus</w:t>
            </w:r>
          </w:p>
        </w:tc>
        <w:tc>
          <w:tcPr>
            <w:tcW w:w="2114" w:type="dxa"/>
            <w:vAlign w:val="center"/>
          </w:tcPr>
          <w:p w14:paraId="3B0DE5EC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0.96</w:t>
            </w:r>
          </w:p>
        </w:tc>
        <w:tc>
          <w:tcPr>
            <w:tcW w:w="2114" w:type="dxa"/>
            <w:vAlign w:val="center"/>
          </w:tcPr>
          <w:p w14:paraId="1F3A500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0.58–1.57</w:t>
            </w:r>
          </w:p>
        </w:tc>
        <w:tc>
          <w:tcPr>
            <w:tcW w:w="2114" w:type="dxa"/>
            <w:vAlign w:val="center"/>
          </w:tcPr>
          <w:p w14:paraId="1B1BCB7F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0.859</w:t>
            </w:r>
          </w:p>
        </w:tc>
      </w:tr>
      <w:tr w:rsidR="00364A98" w14:paraId="06B0F995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6F665BF6" w14:textId="77777777" w:rsidR="00364A98" w:rsidRDefault="00000000">
            <w:pPr>
              <w:spacing w:after="0"/>
            </w:pPr>
            <w:r>
              <w:rPr>
                <w:sz w:val="17"/>
              </w:rPr>
              <w:t>Coronary artery disease</w:t>
            </w:r>
          </w:p>
        </w:tc>
        <w:tc>
          <w:tcPr>
            <w:tcW w:w="2114" w:type="dxa"/>
            <w:vAlign w:val="center"/>
          </w:tcPr>
          <w:p w14:paraId="44E2E2AE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1.67</w:t>
            </w:r>
          </w:p>
        </w:tc>
        <w:tc>
          <w:tcPr>
            <w:tcW w:w="2114" w:type="dxa"/>
            <w:vAlign w:val="center"/>
          </w:tcPr>
          <w:p w14:paraId="4F1EFFDB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1.01–2.77</w:t>
            </w:r>
          </w:p>
        </w:tc>
        <w:tc>
          <w:tcPr>
            <w:tcW w:w="2114" w:type="dxa"/>
            <w:vAlign w:val="center"/>
          </w:tcPr>
          <w:p w14:paraId="734A5BCF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0.047</w:t>
            </w:r>
          </w:p>
        </w:tc>
      </w:tr>
      <w:tr w:rsidR="00364A98" w14:paraId="66E8C339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4E637376" w14:textId="77777777" w:rsidR="00364A98" w:rsidRDefault="00000000">
            <w:pPr>
              <w:spacing w:after="0"/>
            </w:pPr>
            <w:r>
              <w:rPr>
                <w:sz w:val="17"/>
              </w:rPr>
              <w:t>Heart failure</w:t>
            </w:r>
          </w:p>
        </w:tc>
        <w:tc>
          <w:tcPr>
            <w:tcW w:w="2114" w:type="dxa"/>
            <w:vAlign w:val="center"/>
          </w:tcPr>
          <w:p w14:paraId="585167C2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1.73</w:t>
            </w:r>
          </w:p>
        </w:tc>
        <w:tc>
          <w:tcPr>
            <w:tcW w:w="2114" w:type="dxa"/>
            <w:vAlign w:val="center"/>
          </w:tcPr>
          <w:p w14:paraId="46065AE9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0.97–3.06</w:t>
            </w:r>
          </w:p>
        </w:tc>
        <w:tc>
          <w:tcPr>
            <w:tcW w:w="2114" w:type="dxa"/>
            <w:vAlign w:val="center"/>
          </w:tcPr>
          <w:p w14:paraId="7CDA89E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0.062</w:t>
            </w:r>
          </w:p>
        </w:tc>
      </w:tr>
      <w:tr w:rsidR="00364A98" w14:paraId="487899BA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0A9641FE" w14:textId="77777777" w:rsidR="00364A98" w:rsidRDefault="00000000">
            <w:pPr>
              <w:spacing w:after="0"/>
            </w:pPr>
            <w:r>
              <w:rPr>
                <w:sz w:val="17"/>
              </w:rPr>
              <w:t>Chronic kidney disease</w:t>
            </w:r>
          </w:p>
        </w:tc>
        <w:tc>
          <w:tcPr>
            <w:tcW w:w="2114" w:type="dxa"/>
            <w:vAlign w:val="center"/>
          </w:tcPr>
          <w:p w14:paraId="416E7069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1.25</w:t>
            </w:r>
          </w:p>
        </w:tc>
        <w:tc>
          <w:tcPr>
            <w:tcW w:w="2114" w:type="dxa"/>
            <w:vAlign w:val="center"/>
          </w:tcPr>
          <w:p w14:paraId="44DB3C65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0.70–2.22</w:t>
            </w:r>
          </w:p>
        </w:tc>
        <w:tc>
          <w:tcPr>
            <w:tcW w:w="2114" w:type="dxa"/>
            <w:vAlign w:val="center"/>
          </w:tcPr>
          <w:p w14:paraId="29A8B6C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0.450</w:t>
            </w:r>
          </w:p>
        </w:tc>
      </w:tr>
      <w:tr w:rsidR="00364A98" w14:paraId="7CAF38FE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55AE5F91" w14:textId="77777777" w:rsidR="00364A98" w:rsidRDefault="00000000">
            <w:pPr>
              <w:spacing w:after="0"/>
            </w:pPr>
            <w:r>
              <w:rPr>
                <w:sz w:val="17"/>
              </w:rPr>
              <w:t>COPD</w:t>
            </w:r>
          </w:p>
        </w:tc>
        <w:tc>
          <w:tcPr>
            <w:tcW w:w="2114" w:type="dxa"/>
            <w:vAlign w:val="center"/>
          </w:tcPr>
          <w:p w14:paraId="1D952634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1.19</w:t>
            </w:r>
          </w:p>
        </w:tc>
        <w:tc>
          <w:tcPr>
            <w:tcW w:w="2114" w:type="dxa"/>
            <w:vAlign w:val="center"/>
          </w:tcPr>
          <w:p w14:paraId="7DE75B4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0.68–2.07</w:t>
            </w:r>
          </w:p>
        </w:tc>
        <w:tc>
          <w:tcPr>
            <w:tcW w:w="2114" w:type="dxa"/>
            <w:vAlign w:val="center"/>
          </w:tcPr>
          <w:p w14:paraId="2FA58A1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0.549</w:t>
            </w:r>
          </w:p>
        </w:tc>
      </w:tr>
      <w:tr w:rsidR="00364A98" w14:paraId="6D1021B8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692A61A8" w14:textId="77777777" w:rsidR="00364A98" w:rsidRDefault="00000000">
            <w:pPr>
              <w:spacing w:after="0"/>
            </w:pPr>
            <w:r>
              <w:rPr>
                <w:sz w:val="17"/>
              </w:rPr>
              <w:t>Malignancy</w:t>
            </w:r>
          </w:p>
        </w:tc>
        <w:tc>
          <w:tcPr>
            <w:tcW w:w="2114" w:type="dxa"/>
            <w:vAlign w:val="center"/>
          </w:tcPr>
          <w:p w14:paraId="19F14DC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1.40</w:t>
            </w:r>
          </w:p>
        </w:tc>
        <w:tc>
          <w:tcPr>
            <w:tcW w:w="2114" w:type="dxa"/>
            <w:vAlign w:val="center"/>
          </w:tcPr>
          <w:p w14:paraId="5941029C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0.76–2.58</w:t>
            </w:r>
          </w:p>
        </w:tc>
        <w:tc>
          <w:tcPr>
            <w:tcW w:w="2114" w:type="dxa"/>
            <w:vAlign w:val="center"/>
          </w:tcPr>
          <w:p w14:paraId="2E0E138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0.279</w:t>
            </w:r>
          </w:p>
        </w:tc>
      </w:tr>
      <w:tr w:rsidR="00364A98" w14:paraId="7CC4692F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1EEA7D77" w14:textId="77777777" w:rsidR="00364A98" w:rsidRDefault="00000000">
            <w:pPr>
              <w:spacing w:after="0"/>
            </w:pPr>
            <w:r>
              <w:rPr>
                <w:sz w:val="17"/>
              </w:rPr>
              <w:t>APACHE II score</w:t>
            </w:r>
          </w:p>
        </w:tc>
        <w:tc>
          <w:tcPr>
            <w:tcW w:w="2114" w:type="dxa"/>
            <w:vAlign w:val="center"/>
          </w:tcPr>
          <w:p w14:paraId="24DC0E2E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1.13</w:t>
            </w:r>
          </w:p>
        </w:tc>
        <w:tc>
          <w:tcPr>
            <w:tcW w:w="2114" w:type="dxa"/>
            <w:vAlign w:val="center"/>
          </w:tcPr>
          <w:p w14:paraId="2918CD49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1.08–1.18</w:t>
            </w:r>
          </w:p>
        </w:tc>
        <w:tc>
          <w:tcPr>
            <w:tcW w:w="2114" w:type="dxa"/>
            <w:vAlign w:val="center"/>
          </w:tcPr>
          <w:p w14:paraId="3788237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506CEAB5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160426B0" w14:textId="77777777" w:rsidR="00364A98" w:rsidRDefault="00000000">
            <w:pPr>
              <w:spacing w:after="0"/>
            </w:pPr>
            <w:r>
              <w:rPr>
                <w:sz w:val="17"/>
              </w:rPr>
              <w:t>SOFA score</w:t>
            </w:r>
          </w:p>
        </w:tc>
        <w:tc>
          <w:tcPr>
            <w:tcW w:w="2114" w:type="dxa"/>
            <w:vAlign w:val="center"/>
          </w:tcPr>
          <w:p w14:paraId="384CF61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1.24</w:t>
            </w:r>
          </w:p>
        </w:tc>
        <w:tc>
          <w:tcPr>
            <w:tcW w:w="2114" w:type="dxa"/>
            <w:vAlign w:val="center"/>
          </w:tcPr>
          <w:p w14:paraId="7B89CD7B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1.14–1.35</w:t>
            </w:r>
          </w:p>
        </w:tc>
        <w:tc>
          <w:tcPr>
            <w:tcW w:w="2114" w:type="dxa"/>
            <w:vAlign w:val="center"/>
          </w:tcPr>
          <w:p w14:paraId="709CF4EC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7B9ED290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7D750E06" w14:textId="77777777" w:rsidR="00364A98" w:rsidRDefault="00000000">
            <w:pPr>
              <w:spacing w:after="0"/>
            </w:pPr>
            <w:r>
              <w:rPr>
                <w:sz w:val="17"/>
              </w:rPr>
              <w:t>Glasgow Coma Scale score</w:t>
            </w:r>
          </w:p>
        </w:tc>
        <w:tc>
          <w:tcPr>
            <w:tcW w:w="2114" w:type="dxa"/>
            <w:vAlign w:val="center"/>
          </w:tcPr>
          <w:p w14:paraId="0EA7E814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0.87</w:t>
            </w:r>
          </w:p>
        </w:tc>
        <w:tc>
          <w:tcPr>
            <w:tcW w:w="2114" w:type="dxa"/>
            <w:vAlign w:val="center"/>
          </w:tcPr>
          <w:p w14:paraId="5A7F1052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0.80–0.94</w:t>
            </w:r>
          </w:p>
        </w:tc>
        <w:tc>
          <w:tcPr>
            <w:tcW w:w="2114" w:type="dxa"/>
            <w:vAlign w:val="center"/>
          </w:tcPr>
          <w:p w14:paraId="57A1F77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345DEAD9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1700CBB6" w14:textId="77777777" w:rsidR="00364A98" w:rsidRDefault="00000000">
            <w:pPr>
              <w:spacing w:after="0"/>
            </w:pPr>
            <w:r>
              <w:rPr>
                <w:sz w:val="17"/>
              </w:rPr>
              <w:t>Hemoglobin, g/dL</w:t>
            </w:r>
          </w:p>
        </w:tc>
        <w:tc>
          <w:tcPr>
            <w:tcW w:w="2114" w:type="dxa"/>
            <w:vAlign w:val="center"/>
          </w:tcPr>
          <w:p w14:paraId="1493C017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0.67</w:t>
            </w:r>
          </w:p>
        </w:tc>
        <w:tc>
          <w:tcPr>
            <w:tcW w:w="2114" w:type="dxa"/>
            <w:vAlign w:val="center"/>
          </w:tcPr>
          <w:p w14:paraId="033CE3F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0.56–0.80</w:t>
            </w:r>
          </w:p>
        </w:tc>
        <w:tc>
          <w:tcPr>
            <w:tcW w:w="2114" w:type="dxa"/>
            <w:vAlign w:val="center"/>
          </w:tcPr>
          <w:p w14:paraId="52021148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0EB62616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120762B2" w14:textId="77777777" w:rsidR="00364A98" w:rsidRDefault="00000000">
            <w:pPr>
              <w:spacing w:after="0"/>
            </w:pPr>
            <w:r>
              <w:rPr>
                <w:sz w:val="17"/>
              </w:rPr>
              <w:t>Leukocyte count, ×10⁹/L</w:t>
            </w:r>
          </w:p>
        </w:tc>
        <w:tc>
          <w:tcPr>
            <w:tcW w:w="2114" w:type="dxa"/>
            <w:vAlign w:val="center"/>
          </w:tcPr>
          <w:p w14:paraId="406214AA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1.13</w:t>
            </w:r>
          </w:p>
        </w:tc>
        <w:tc>
          <w:tcPr>
            <w:tcW w:w="2114" w:type="dxa"/>
            <w:vAlign w:val="center"/>
          </w:tcPr>
          <w:p w14:paraId="0DBF9AF9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1.05–1.21</w:t>
            </w:r>
          </w:p>
        </w:tc>
        <w:tc>
          <w:tcPr>
            <w:tcW w:w="2114" w:type="dxa"/>
            <w:vAlign w:val="center"/>
          </w:tcPr>
          <w:p w14:paraId="0AA8F47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19B13980" w14:textId="77777777" w:rsidTr="00677982">
        <w:trPr>
          <w:trHeight w:val="277"/>
          <w:jc w:val="center"/>
        </w:trPr>
        <w:tc>
          <w:tcPr>
            <w:tcW w:w="3824" w:type="dxa"/>
            <w:vAlign w:val="center"/>
          </w:tcPr>
          <w:p w14:paraId="7CDFD2B6" w14:textId="77777777" w:rsidR="00364A98" w:rsidRDefault="00000000">
            <w:pPr>
              <w:spacing w:after="0"/>
            </w:pPr>
            <w:r>
              <w:rPr>
                <w:sz w:val="17"/>
              </w:rPr>
              <w:t>Creatinine, mg/dL</w:t>
            </w:r>
          </w:p>
        </w:tc>
        <w:tc>
          <w:tcPr>
            <w:tcW w:w="2114" w:type="dxa"/>
            <w:vAlign w:val="center"/>
          </w:tcPr>
          <w:p w14:paraId="31A37D37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3.37</w:t>
            </w:r>
          </w:p>
        </w:tc>
        <w:tc>
          <w:tcPr>
            <w:tcW w:w="2114" w:type="dxa"/>
            <w:vAlign w:val="center"/>
          </w:tcPr>
          <w:p w14:paraId="68076C70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2.23–5.11</w:t>
            </w:r>
          </w:p>
        </w:tc>
        <w:tc>
          <w:tcPr>
            <w:tcW w:w="2114" w:type="dxa"/>
            <w:vAlign w:val="center"/>
          </w:tcPr>
          <w:p w14:paraId="7FD7ED22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  <w:tr w:rsidR="00364A98" w14:paraId="0447A8EC" w14:textId="77777777" w:rsidTr="00677982">
        <w:trPr>
          <w:trHeight w:val="287"/>
          <w:jc w:val="center"/>
        </w:trPr>
        <w:tc>
          <w:tcPr>
            <w:tcW w:w="3824" w:type="dxa"/>
            <w:vAlign w:val="center"/>
          </w:tcPr>
          <w:p w14:paraId="3EF798A0" w14:textId="77777777" w:rsidR="00364A98" w:rsidRDefault="00000000">
            <w:pPr>
              <w:spacing w:after="0"/>
            </w:pPr>
            <w:r>
              <w:rPr>
                <w:sz w:val="17"/>
              </w:rPr>
              <w:t>CRP, per 10 mg/L increase</w:t>
            </w:r>
          </w:p>
        </w:tc>
        <w:tc>
          <w:tcPr>
            <w:tcW w:w="2114" w:type="dxa"/>
            <w:vAlign w:val="center"/>
          </w:tcPr>
          <w:p w14:paraId="3BA703A6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1.14</w:t>
            </w:r>
          </w:p>
        </w:tc>
        <w:tc>
          <w:tcPr>
            <w:tcW w:w="2114" w:type="dxa"/>
            <w:vAlign w:val="center"/>
          </w:tcPr>
          <w:p w14:paraId="1143C2C3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1.07–1.20</w:t>
            </w:r>
          </w:p>
        </w:tc>
        <w:tc>
          <w:tcPr>
            <w:tcW w:w="2114" w:type="dxa"/>
            <w:vAlign w:val="center"/>
          </w:tcPr>
          <w:p w14:paraId="6F9362F1" w14:textId="77777777" w:rsidR="00364A98" w:rsidRDefault="00000000">
            <w:pPr>
              <w:spacing w:after="0"/>
              <w:jc w:val="center"/>
            </w:pPr>
            <w:r>
              <w:rPr>
                <w:sz w:val="17"/>
              </w:rPr>
              <w:t>&lt;0.001</w:t>
            </w:r>
          </w:p>
        </w:tc>
      </w:tr>
    </w:tbl>
    <w:p w14:paraId="4C281277" w14:textId="77777777" w:rsidR="00364A98" w:rsidRDefault="00000000">
      <w:pPr>
        <w:spacing w:before="100" w:after="0"/>
      </w:pPr>
      <w:r>
        <w:rPr>
          <w:sz w:val="16"/>
        </w:rPr>
        <w:t>Note: For continuous variables, OR values are presented per one-unit increase in the respective variable unless otherwise specified. For CRP, the OR and 95% confidence interval are expressed per 10 mg/L increase to improve clinical interpretability. For categorical variables, the OR represents the comparison of the specified category with the reference category. OR: odds ratio; CI: confidence interval; GNRI: Geriatric Nutritional Risk Index; BMI: body mass index; COPD: chronic obstructive pulmonary disease; APACHE II: Acute Physiology and Chronic Health Evaluation II; SOFA: Sequential Organ Failure Assessment; CRP: C-reactive protein.</w:t>
      </w:r>
    </w:p>
    <w:sectPr w:rsidR="00364A98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447812">
    <w:abstractNumId w:val="8"/>
  </w:num>
  <w:num w:numId="2" w16cid:durableId="823399419">
    <w:abstractNumId w:val="6"/>
  </w:num>
  <w:num w:numId="3" w16cid:durableId="1421678788">
    <w:abstractNumId w:val="5"/>
  </w:num>
  <w:num w:numId="4" w16cid:durableId="1158810443">
    <w:abstractNumId w:val="4"/>
  </w:num>
  <w:num w:numId="5" w16cid:durableId="948777186">
    <w:abstractNumId w:val="7"/>
  </w:num>
  <w:num w:numId="6" w16cid:durableId="2025593018">
    <w:abstractNumId w:val="3"/>
  </w:num>
  <w:num w:numId="7" w16cid:durableId="1314027024">
    <w:abstractNumId w:val="2"/>
  </w:num>
  <w:num w:numId="8" w16cid:durableId="1167789008">
    <w:abstractNumId w:val="1"/>
  </w:num>
  <w:num w:numId="9" w16cid:durableId="1653751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4A98"/>
    <w:rsid w:val="00677982"/>
    <w:rsid w:val="00A006D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BD09F"/>
  <w14:defaultImageDpi w14:val="300"/>
  <w15:docId w15:val="{5F89C1B8-D971-471A-881E-EB9B336A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Duygu Karakose</cp:lastModifiedBy>
  <cp:revision>2</cp:revision>
  <dcterms:created xsi:type="dcterms:W3CDTF">2013-12-23T23:15:00Z</dcterms:created>
  <dcterms:modified xsi:type="dcterms:W3CDTF">2026-08-30T21:41:00Z</dcterms:modified>
  <cp:category/>
</cp:coreProperties>
</file>