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14C8" w14:textId="77777777" w:rsidR="009168D5" w:rsidRPr="00A15032" w:rsidRDefault="009168D5" w:rsidP="009168D5">
      <w:pPr>
        <w:spacing w:after="200"/>
        <w:rPr>
          <w:lang w:val="en-US"/>
        </w:rPr>
      </w:pPr>
      <w:r w:rsidRPr="00A15032">
        <w:rPr>
          <w:b/>
          <w:bCs/>
          <w:lang w:val="en-US"/>
        </w:rPr>
        <w:t xml:space="preserve">Additional file 1: Figure S1. </w:t>
      </w:r>
      <w:r w:rsidRPr="00A15032">
        <w:rPr>
          <w:lang w:val="en-US"/>
        </w:rPr>
        <w:t>Nationwide R29.6 case numbers and fracture principal diagnosis proportion, 2019–2024. Dual-axis chart.</w:t>
      </w:r>
    </w:p>
    <w:p w14:paraId="47C0FAB2" w14:textId="77777777" w:rsidR="009168D5" w:rsidRPr="00A15032" w:rsidRDefault="009168D5" w:rsidP="009168D5">
      <w:pPr>
        <w:spacing w:after="200"/>
        <w:rPr>
          <w:lang w:val="en-US"/>
        </w:rPr>
      </w:pPr>
      <w:r w:rsidRPr="00A15032">
        <w:rPr>
          <w:b/>
          <w:bCs/>
          <w:lang w:val="en-US"/>
        </w:rPr>
        <w:t xml:space="preserve">Additional file 2: Figure S2. </w:t>
      </w:r>
      <w:r w:rsidRPr="00A15032">
        <w:rPr>
          <w:lang w:val="en-US"/>
        </w:rPr>
        <w:t>PCCL distribution among R29.6-coded cases, 2019–2024. Stacked bar chart with PCCL ≥3 overlay line.</w:t>
      </w:r>
    </w:p>
    <w:p w14:paraId="515E67CA" w14:textId="77777777" w:rsidR="009168D5" w:rsidRPr="00A15032" w:rsidRDefault="009168D5" w:rsidP="009168D5">
      <w:pPr>
        <w:spacing w:after="200"/>
        <w:rPr>
          <w:lang w:val="en-US"/>
        </w:rPr>
      </w:pPr>
      <w:r w:rsidRPr="00A15032">
        <w:rPr>
          <w:b/>
          <w:bCs/>
          <w:lang w:val="en-US"/>
        </w:rPr>
        <w:t xml:space="preserve">Additional file 3: STROBE Checklist. </w:t>
      </w:r>
      <w:r w:rsidRPr="00A15032">
        <w:rPr>
          <w:lang w:val="en-US"/>
        </w:rPr>
        <w:t>Completed STROBE checklist for cohort studies.</w:t>
      </w:r>
    </w:p>
    <w:p w14:paraId="2DC08427" w14:textId="77777777" w:rsidR="00E023F9" w:rsidRDefault="00E023F9"/>
    <w:sectPr w:rsidR="00E023F9" w:rsidSect="009168D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D5"/>
    <w:rsid w:val="000C4033"/>
    <w:rsid w:val="00173ED8"/>
    <w:rsid w:val="002F50B1"/>
    <w:rsid w:val="004B42CB"/>
    <w:rsid w:val="005F2B46"/>
    <w:rsid w:val="00650287"/>
    <w:rsid w:val="006E1731"/>
    <w:rsid w:val="00866D74"/>
    <w:rsid w:val="00882A73"/>
    <w:rsid w:val="00906905"/>
    <w:rsid w:val="009168D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45D0A"/>
  <w15:chartTrackingRefBased/>
  <w15:docId w15:val="{0BC1927A-9962-41DC-9866-FD2D35CA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8D5"/>
    <w:pPr>
      <w:spacing w:after="0" w:line="480" w:lineRule="auto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8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8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8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8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8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8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8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8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8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6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8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6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8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6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8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6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2026-09-16T21:54:00Z</dcterms:created>
  <dcterms:modified xsi:type="dcterms:W3CDTF">2026-09-16T21:54:00Z</dcterms:modified>
</cp:coreProperties>
</file>