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61501" w14:textId="77777777" w:rsidR="00601303" w:rsidRPr="00E259F0" w:rsidRDefault="00601303" w:rsidP="00601303">
      <w:pPr>
        <w:rPr>
          <w:rFonts w:ascii="Times New Roman" w:hAnsi="Times New Roman" w:cs="Times New Roman"/>
          <w:sz w:val="24"/>
        </w:rPr>
      </w:pPr>
      <w:r w:rsidRPr="00E259F0">
        <w:rPr>
          <w:rFonts w:ascii="Times New Roman" w:hAnsi="Times New Roman" w:cs="Times New Roman"/>
          <w:sz w:val="24"/>
        </w:rPr>
        <w:t>Supplementary Table S</w:t>
      </w:r>
      <w:r>
        <w:rPr>
          <w:rFonts w:ascii="Times New Roman" w:hAnsi="Times New Roman" w:cs="Times New Roman" w:hint="eastAsia"/>
          <w:sz w:val="24"/>
        </w:rPr>
        <w:t>2</w:t>
      </w:r>
      <w:r w:rsidRPr="00E259F0">
        <w:rPr>
          <w:rFonts w:ascii="Times New Roman" w:hAnsi="Times New Roman" w:cs="Times New Roman"/>
          <w:sz w:val="24"/>
        </w:rPr>
        <w:t xml:space="preserve"> Inclusion and Exclusion Criteria </w:t>
      </w:r>
    </w:p>
    <w:p w14:paraId="33009A89" w14:textId="77777777" w:rsidR="00601303" w:rsidRPr="00E259F0" w:rsidRDefault="00601303" w:rsidP="00601303">
      <w:pPr>
        <w:pStyle w:val="a9"/>
        <w:numPr>
          <w:ilvl w:val="0"/>
          <w:numId w:val="1"/>
        </w:numPr>
        <w:rPr>
          <w:rFonts w:ascii="Times New Roman" w:hAnsi="Times New Roman" w:cs="Times New Roman"/>
          <w:sz w:val="24"/>
        </w:rPr>
      </w:pPr>
      <w:r w:rsidRPr="00E259F0">
        <w:rPr>
          <w:rFonts w:ascii="Times New Roman" w:hAnsi="Times New Roman" w:cs="Times New Roman"/>
          <w:sz w:val="24"/>
        </w:rPr>
        <w:t>Inclusion criteria</w:t>
      </w:r>
    </w:p>
    <w:tbl>
      <w:tblPr>
        <w:tblStyle w:val="af2"/>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7734"/>
      </w:tblGrid>
      <w:tr w:rsidR="00601303" w:rsidRPr="00E259F0" w14:paraId="4BA7B26F" w14:textId="77777777" w:rsidTr="00773D2A">
        <w:trPr>
          <w:jc w:val="center"/>
        </w:trPr>
        <w:tc>
          <w:tcPr>
            <w:tcW w:w="8296" w:type="dxa"/>
            <w:gridSpan w:val="2"/>
            <w:tcBorders>
              <w:top w:val="single" w:sz="12" w:space="0" w:color="auto"/>
              <w:bottom w:val="single" w:sz="4" w:space="0" w:color="auto"/>
            </w:tcBorders>
            <w:vAlign w:val="center"/>
          </w:tcPr>
          <w:p w14:paraId="39354513" w14:textId="77777777" w:rsidR="00601303" w:rsidRPr="00E259F0" w:rsidRDefault="00601303" w:rsidP="00773D2A">
            <w:pPr>
              <w:rPr>
                <w:rFonts w:ascii="Times New Roman" w:hAnsi="Times New Roman" w:cs="Times New Roman"/>
                <w:b/>
                <w:bCs/>
                <w:sz w:val="24"/>
              </w:rPr>
            </w:pPr>
            <w:r w:rsidRPr="00E259F0">
              <w:rPr>
                <w:rFonts w:ascii="Times New Roman" w:hAnsi="Times New Roman" w:cs="Times New Roman"/>
                <w:b/>
                <w:bCs/>
                <w:sz w:val="24"/>
              </w:rPr>
              <w:t>No.  Inclusion criteria</w:t>
            </w:r>
          </w:p>
        </w:tc>
      </w:tr>
      <w:tr w:rsidR="00601303" w:rsidRPr="00E259F0" w14:paraId="251E1FA0" w14:textId="77777777" w:rsidTr="00773D2A">
        <w:trPr>
          <w:jc w:val="center"/>
        </w:trPr>
        <w:tc>
          <w:tcPr>
            <w:tcW w:w="562" w:type="dxa"/>
            <w:tcBorders>
              <w:top w:val="single" w:sz="4" w:space="0" w:color="auto"/>
            </w:tcBorders>
            <w:vAlign w:val="center"/>
          </w:tcPr>
          <w:p w14:paraId="7B751F91" w14:textId="77777777" w:rsidR="00601303" w:rsidRPr="00E259F0" w:rsidRDefault="00601303" w:rsidP="00773D2A">
            <w:pPr>
              <w:jc w:val="center"/>
              <w:rPr>
                <w:rFonts w:ascii="Times New Roman" w:hAnsi="Times New Roman" w:cs="Times New Roman"/>
                <w:sz w:val="24"/>
              </w:rPr>
            </w:pPr>
            <w:r w:rsidRPr="00E259F0">
              <w:rPr>
                <w:rFonts w:ascii="Times New Roman" w:hAnsi="Times New Roman" w:cs="Times New Roman"/>
                <w:sz w:val="24"/>
              </w:rPr>
              <w:t>1</w:t>
            </w:r>
          </w:p>
        </w:tc>
        <w:tc>
          <w:tcPr>
            <w:tcW w:w="7734" w:type="dxa"/>
            <w:tcBorders>
              <w:top w:val="single" w:sz="4" w:space="0" w:color="auto"/>
            </w:tcBorders>
            <w:vAlign w:val="center"/>
          </w:tcPr>
          <w:p w14:paraId="5748F64F"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Age ≥ 18 years.</w:t>
            </w:r>
          </w:p>
        </w:tc>
      </w:tr>
      <w:tr w:rsidR="00601303" w:rsidRPr="00E259F0" w14:paraId="6ED4C286" w14:textId="77777777" w:rsidTr="00773D2A">
        <w:trPr>
          <w:jc w:val="center"/>
        </w:trPr>
        <w:tc>
          <w:tcPr>
            <w:tcW w:w="562" w:type="dxa"/>
            <w:vAlign w:val="center"/>
          </w:tcPr>
          <w:p w14:paraId="0FAFF852" w14:textId="77777777" w:rsidR="00601303" w:rsidRPr="00E259F0" w:rsidRDefault="00601303" w:rsidP="00773D2A">
            <w:pPr>
              <w:jc w:val="center"/>
              <w:rPr>
                <w:rFonts w:ascii="Times New Roman" w:hAnsi="Times New Roman" w:cs="Times New Roman"/>
                <w:sz w:val="24"/>
              </w:rPr>
            </w:pPr>
            <w:r w:rsidRPr="00E259F0">
              <w:rPr>
                <w:rFonts w:ascii="Times New Roman" w:hAnsi="Times New Roman" w:cs="Times New Roman"/>
                <w:sz w:val="24"/>
              </w:rPr>
              <w:t>2</w:t>
            </w:r>
          </w:p>
        </w:tc>
        <w:tc>
          <w:tcPr>
            <w:tcW w:w="7734" w:type="dxa"/>
            <w:vAlign w:val="center"/>
          </w:tcPr>
          <w:p w14:paraId="6CD6284B"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 xml:space="preserve">For the SA-AKI group: diagnosed with sepsis according to the Sepsis-3 criteria at enrollment, and developed acute kidney injury meeting the KDIGO diagnostic criteria within 7 days of sepsis onset; for the control group: concurrent hospitalized patients without sepsis and without acute kidney injury, with normal baseline renal function. </w:t>
            </w:r>
          </w:p>
        </w:tc>
      </w:tr>
      <w:tr w:rsidR="00601303" w:rsidRPr="00E259F0" w14:paraId="5BC296E2" w14:textId="77777777" w:rsidTr="00773D2A">
        <w:trPr>
          <w:jc w:val="center"/>
        </w:trPr>
        <w:tc>
          <w:tcPr>
            <w:tcW w:w="562" w:type="dxa"/>
            <w:vAlign w:val="center"/>
          </w:tcPr>
          <w:p w14:paraId="7337837D" w14:textId="77777777" w:rsidR="00601303" w:rsidRPr="00E259F0" w:rsidRDefault="00601303" w:rsidP="00773D2A">
            <w:pPr>
              <w:jc w:val="center"/>
              <w:rPr>
                <w:rFonts w:ascii="Times New Roman" w:hAnsi="Times New Roman" w:cs="Times New Roman"/>
                <w:sz w:val="24"/>
              </w:rPr>
            </w:pPr>
            <w:r w:rsidRPr="00E259F0">
              <w:rPr>
                <w:rFonts w:ascii="Times New Roman" w:hAnsi="Times New Roman" w:cs="Times New Roman"/>
                <w:sz w:val="24"/>
              </w:rPr>
              <w:t>3</w:t>
            </w:r>
          </w:p>
        </w:tc>
        <w:tc>
          <w:tcPr>
            <w:tcW w:w="7734" w:type="dxa"/>
            <w:vAlign w:val="center"/>
          </w:tcPr>
          <w:p w14:paraId="33BC5982" w14:textId="77777777" w:rsidR="00601303" w:rsidRPr="00E259F0" w:rsidRDefault="00601303" w:rsidP="00773D2A">
            <w:pPr>
              <w:tabs>
                <w:tab w:val="left" w:pos="757"/>
              </w:tabs>
              <w:rPr>
                <w:rFonts w:ascii="Times New Roman" w:hAnsi="Times New Roman" w:cs="Times New Roman"/>
                <w:sz w:val="24"/>
              </w:rPr>
            </w:pPr>
            <w:r w:rsidRPr="00E259F0">
              <w:rPr>
                <w:rFonts w:ascii="Times New Roman" w:hAnsi="Times New Roman" w:cs="Times New Roman"/>
                <w:sz w:val="24"/>
              </w:rPr>
              <w:t>Sufficient serum samples available for KLF5 concentration detection.</w:t>
            </w:r>
          </w:p>
        </w:tc>
      </w:tr>
      <w:tr w:rsidR="00601303" w:rsidRPr="00E259F0" w14:paraId="618AA206" w14:textId="77777777" w:rsidTr="00773D2A">
        <w:trPr>
          <w:jc w:val="center"/>
        </w:trPr>
        <w:tc>
          <w:tcPr>
            <w:tcW w:w="562" w:type="dxa"/>
            <w:vAlign w:val="center"/>
          </w:tcPr>
          <w:p w14:paraId="532340F4" w14:textId="77777777" w:rsidR="00601303" w:rsidRPr="00E259F0" w:rsidRDefault="00601303" w:rsidP="00773D2A">
            <w:pPr>
              <w:jc w:val="center"/>
              <w:rPr>
                <w:rFonts w:ascii="Times New Roman" w:hAnsi="Times New Roman" w:cs="Times New Roman"/>
                <w:sz w:val="24"/>
              </w:rPr>
            </w:pPr>
            <w:r w:rsidRPr="00E259F0">
              <w:rPr>
                <w:rFonts w:ascii="Times New Roman" w:hAnsi="Times New Roman" w:cs="Times New Roman"/>
                <w:sz w:val="24"/>
              </w:rPr>
              <w:t>4</w:t>
            </w:r>
          </w:p>
        </w:tc>
        <w:tc>
          <w:tcPr>
            <w:tcW w:w="7734" w:type="dxa"/>
            <w:vAlign w:val="center"/>
          </w:tcPr>
          <w:p w14:paraId="0A7FBD37"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Written informed consent obtained from the patient or a legally authorized representative, as required by the ethics committee.</w:t>
            </w:r>
          </w:p>
        </w:tc>
      </w:tr>
      <w:tr w:rsidR="00601303" w:rsidRPr="00E259F0" w14:paraId="1E184C5E" w14:textId="77777777" w:rsidTr="00773D2A">
        <w:trPr>
          <w:jc w:val="center"/>
        </w:trPr>
        <w:tc>
          <w:tcPr>
            <w:tcW w:w="562" w:type="dxa"/>
            <w:vAlign w:val="center"/>
          </w:tcPr>
          <w:p w14:paraId="1E769F1E" w14:textId="77777777" w:rsidR="00601303" w:rsidRPr="00E259F0" w:rsidRDefault="00601303" w:rsidP="00773D2A">
            <w:pPr>
              <w:jc w:val="center"/>
              <w:rPr>
                <w:rFonts w:ascii="Times New Roman" w:hAnsi="Times New Roman" w:cs="Times New Roman"/>
                <w:sz w:val="24"/>
              </w:rPr>
            </w:pPr>
            <w:r w:rsidRPr="00E259F0">
              <w:rPr>
                <w:rFonts w:ascii="Times New Roman" w:hAnsi="Times New Roman" w:cs="Times New Roman"/>
                <w:sz w:val="24"/>
              </w:rPr>
              <w:t>5</w:t>
            </w:r>
          </w:p>
        </w:tc>
        <w:tc>
          <w:tcPr>
            <w:tcW w:w="7734" w:type="dxa"/>
            <w:vAlign w:val="center"/>
          </w:tcPr>
          <w:p w14:paraId="47C2FAB2"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Complete renal biochemical indices available, including serum creatinine (Scr) and blood urea nitrogen (BUN), to support the calculation of estimated glomerular filtration rate (eGFR).</w:t>
            </w:r>
          </w:p>
        </w:tc>
      </w:tr>
    </w:tbl>
    <w:p w14:paraId="2536737D" w14:textId="77777777" w:rsidR="00601303" w:rsidRPr="00E259F0" w:rsidRDefault="00601303" w:rsidP="00601303">
      <w:pPr>
        <w:pStyle w:val="a9"/>
        <w:numPr>
          <w:ilvl w:val="0"/>
          <w:numId w:val="1"/>
        </w:numPr>
        <w:rPr>
          <w:rFonts w:ascii="Times New Roman" w:hAnsi="Times New Roman" w:cs="Times New Roman"/>
          <w:sz w:val="24"/>
        </w:rPr>
      </w:pPr>
      <w:r w:rsidRPr="00E259F0">
        <w:rPr>
          <w:rFonts w:ascii="Times New Roman" w:hAnsi="Times New Roman" w:cs="Times New Roman"/>
          <w:sz w:val="24"/>
        </w:rPr>
        <w:t>Exclusion criteria</w:t>
      </w:r>
    </w:p>
    <w:tbl>
      <w:tblPr>
        <w:tblStyle w:val="af2"/>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985"/>
        <w:gridCol w:w="5749"/>
      </w:tblGrid>
      <w:tr w:rsidR="00601303" w:rsidRPr="00E259F0" w14:paraId="59D3FD45" w14:textId="77777777" w:rsidTr="00773D2A">
        <w:trPr>
          <w:jc w:val="center"/>
        </w:trPr>
        <w:tc>
          <w:tcPr>
            <w:tcW w:w="8296" w:type="dxa"/>
            <w:gridSpan w:val="3"/>
            <w:tcBorders>
              <w:top w:val="single" w:sz="12" w:space="0" w:color="auto"/>
              <w:bottom w:val="single" w:sz="4" w:space="0" w:color="auto"/>
            </w:tcBorders>
            <w:vAlign w:val="center"/>
          </w:tcPr>
          <w:p w14:paraId="34F944DF" w14:textId="77777777" w:rsidR="00601303" w:rsidRPr="00E259F0" w:rsidRDefault="00601303" w:rsidP="00773D2A">
            <w:pPr>
              <w:rPr>
                <w:rFonts w:ascii="Times New Roman" w:hAnsi="Times New Roman" w:cs="Times New Roman"/>
                <w:b/>
                <w:bCs/>
                <w:sz w:val="24"/>
              </w:rPr>
            </w:pPr>
            <w:r w:rsidRPr="00E259F0">
              <w:rPr>
                <w:rFonts w:ascii="Times New Roman" w:hAnsi="Times New Roman" w:cs="Times New Roman"/>
                <w:b/>
                <w:bCs/>
                <w:sz w:val="24"/>
              </w:rPr>
              <w:t xml:space="preserve">No.  Exclusion </w:t>
            </w:r>
            <w:proofErr w:type="gramStart"/>
            <w:r w:rsidRPr="00E259F0">
              <w:rPr>
                <w:rFonts w:ascii="Times New Roman" w:hAnsi="Times New Roman" w:cs="Times New Roman"/>
                <w:b/>
                <w:bCs/>
                <w:sz w:val="24"/>
              </w:rPr>
              <w:t>criteria  Definition</w:t>
            </w:r>
            <w:proofErr w:type="gramEnd"/>
            <w:r w:rsidRPr="00E259F0">
              <w:rPr>
                <w:rFonts w:ascii="Times New Roman" w:hAnsi="Times New Roman" w:cs="Times New Roman"/>
                <w:b/>
                <w:bCs/>
                <w:sz w:val="24"/>
              </w:rPr>
              <w:t xml:space="preserve"> / details</w:t>
            </w:r>
          </w:p>
        </w:tc>
      </w:tr>
      <w:tr w:rsidR="00601303" w:rsidRPr="00E259F0" w14:paraId="3ED3D172" w14:textId="77777777" w:rsidTr="00773D2A">
        <w:trPr>
          <w:jc w:val="center"/>
        </w:trPr>
        <w:tc>
          <w:tcPr>
            <w:tcW w:w="562" w:type="dxa"/>
            <w:tcBorders>
              <w:top w:val="single" w:sz="4" w:space="0" w:color="auto"/>
            </w:tcBorders>
            <w:vAlign w:val="center"/>
          </w:tcPr>
          <w:p w14:paraId="34A82D3D" w14:textId="77777777" w:rsidR="00601303" w:rsidRPr="00E259F0" w:rsidRDefault="00601303" w:rsidP="00773D2A">
            <w:pPr>
              <w:jc w:val="center"/>
              <w:rPr>
                <w:rFonts w:ascii="Times New Roman" w:hAnsi="Times New Roman" w:cs="Times New Roman"/>
                <w:sz w:val="24"/>
              </w:rPr>
            </w:pPr>
            <w:r w:rsidRPr="00E259F0">
              <w:rPr>
                <w:rFonts w:ascii="Times New Roman" w:hAnsi="Times New Roman" w:cs="Times New Roman"/>
                <w:sz w:val="24"/>
              </w:rPr>
              <w:t>1</w:t>
            </w:r>
          </w:p>
        </w:tc>
        <w:tc>
          <w:tcPr>
            <w:tcW w:w="1985" w:type="dxa"/>
            <w:tcBorders>
              <w:top w:val="single" w:sz="4" w:space="0" w:color="auto"/>
            </w:tcBorders>
            <w:vAlign w:val="center"/>
          </w:tcPr>
          <w:p w14:paraId="32DC4997"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Baseline chronic kidney disease</w:t>
            </w:r>
          </w:p>
        </w:tc>
        <w:tc>
          <w:tcPr>
            <w:tcW w:w="5749" w:type="dxa"/>
            <w:tcBorders>
              <w:top w:val="single" w:sz="4" w:space="0" w:color="auto"/>
            </w:tcBorders>
            <w:vAlign w:val="center"/>
          </w:tcPr>
          <w:p w14:paraId="47FFE3D2"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Defined as a baseline estimated glomerular filtration rate &lt; 60 mL/min/1.73 m² calculated using the CKD-EPI equation, or a known history of chronic kidney disease, particularly stage 3 or higher.</w:t>
            </w:r>
          </w:p>
        </w:tc>
      </w:tr>
      <w:tr w:rsidR="00601303" w:rsidRPr="00E259F0" w14:paraId="4D852B99" w14:textId="77777777" w:rsidTr="00773D2A">
        <w:trPr>
          <w:jc w:val="center"/>
        </w:trPr>
        <w:tc>
          <w:tcPr>
            <w:tcW w:w="562" w:type="dxa"/>
            <w:vAlign w:val="center"/>
          </w:tcPr>
          <w:p w14:paraId="5F16DA4E" w14:textId="77777777" w:rsidR="00601303" w:rsidRPr="00E259F0" w:rsidRDefault="00601303" w:rsidP="00773D2A">
            <w:pPr>
              <w:jc w:val="center"/>
              <w:rPr>
                <w:rFonts w:ascii="Times New Roman" w:hAnsi="Times New Roman" w:cs="Times New Roman"/>
                <w:sz w:val="24"/>
              </w:rPr>
            </w:pPr>
            <w:r w:rsidRPr="00E259F0">
              <w:rPr>
                <w:rFonts w:ascii="Times New Roman" w:hAnsi="Times New Roman" w:cs="Times New Roman"/>
                <w:sz w:val="24"/>
              </w:rPr>
              <w:t>2</w:t>
            </w:r>
          </w:p>
        </w:tc>
        <w:tc>
          <w:tcPr>
            <w:tcW w:w="1985" w:type="dxa"/>
            <w:vAlign w:val="center"/>
          </w:tcPr>
          <w:p w14:paraId="0AC1BEA7"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Pre-existing AKI before enrollment</w:t>
            </w:r>
          </w:p>
        </w:tc>
        <w:tc>
          <w:tcPr>
            <w:tcW w:w="5749" w:type="dxa"/>
            <w:vAlign w:val="center"/>
          </w:tcPr>
          <w:p w14:paraId="45BBB7C0"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Patients were excluded if they already fulfilled the KDIGO diagnostic criteria for AKI at the time of sepsis diagnosis (T0), including an increase in serum creatinine of ≥ 0.3 mg/dL (equivalent to 26.5 μmol/L) from the known baseline value; an increase in serum creatinine to ≥ 1.5 times the baseline value; or urine output &lt; 0.5 mL/kg/h for 6 h.</w:t>
            </w:r>
          </w:p>
        </w:tc>
      </w:tr>
      <w:tr w:rsidR="00601303" w:rsidRPr="00E259F0" w14:paraId="1EB0BDBD" w14:textId="77777777" w:rsidTr="00773D2A">
        <w:trPr>
          <w:jc w:val="center"/>
        </w:trPr>
        <w:tc>
          <w:tcPr>
            <w:tcW w:w="562" w:type="dxa"/>
            <w:vAlign w:val="center"/>
          </w:tcPr>
          <w:p w14:paraId="08E6672D" w14:textId="77777777" w:rsidR="00601303" w:rsidRPr="00E259F0" w:rsidRDefault="00601303" w:rsidP="00773D2A">
            <w:pPr>
              <w:jc w:val="center"/>
              <w:rPr>
                <w:rFonts w:ascii="Times New Roman" w:hAnsi="Times New Roman" w:cs="Times New Roman"/>
                <w:sz w:val="24"/>
              </w:rPr>
            </w:pPr>
            <w:r w:rsidRPr="00E259F0">
              <w:rPr>
                <w:rFonts w:ascii="Times New Roman" w:hAnsi="Times New Roman" w:cs="Times New Roman"/>
                <w:sz w:val="24"/>
              </w:rPr>
              <w:t>3</w:t>
            </w:r>
          </w:p>
        </w:tc>
        <w:tc>
          <w:tcPr>
            <w:tcW w:w="1985" w:type="dxa"/>
            <w:vAlign w:val="center"/>
          </w:tcPr>
          <w:p w14:paraId="0A10CD9E"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Other definite non-sepsis-related causes of AKI</w:t>
            </w:r>
          </w:p>
        </w:tc>
        <w:tc>
          <w:tcPr>
            <w:tcW w:w="5749" w:type="dxa"/>
            <w:vAlign w:val="center"/>
          </w:tcPr>
          <w:p w14:paraId="41ACD694"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Patients were excluded if AKI was considered to be primarily caused by conditions other than sepsis, including obvious prerenal factors before or at enrollment (such as severe dehydration or cardiogenic shock); postrenal obstruction; clear nephrotoxic exposure 4(such as recent high-dose contrast medium, aminoglycoside antibiotics, or chemotherapeutic agents); or acute exacerbation of primary renal diseases (such as glomerulonephritis, vasculitis, or thrombotic microangiopathy).</w:t>
            </w:r>
          </w:p>
        </w:tc>
      </w:tr>
      <w:tr w:rsidR="00601303" w:rsidRPr="00E259F0" w14:paraId="1F0EA980" w14:textId="77777777" w:rsidTr="00773D2A">
        <w:trPr>
          <w:jc w:val="center"/>
        </w:trPr>
        <w:tc>
          <w:tcPr>
            <w:tcW w:w="562" w:type="dxa"/>
            <w:vAlign w:val="center"/>
          </w:tcPr>
          <w:p w14:paraId="7D6BCA8E" w14:textId="77777777" w:rsidR="00601303" w:rsidRPr="00E259F0" w:rsidRDefault="00601303" w:rsidP="00773D2A">
            <w:pPr>
              <w:jc w:val="center"/>
              <w:rPr>
                <w:rFonts w:ascii="Times New Roman" w:hAnsi="Times New Roman" w:cs="Times New Roman"/>
                <w:sz w:val="24"/>
              </w:rPr>
            </w:pPr>
            <w:r w:rsidRPr="00E259F0">
              <w:rPr>
                <w:rFonts w:ascii="Times New Roman" w:hAnsi="Times New Roman" w:cs="Times New Roman"/>
                <w:sz w:val="24"/>
              </w:rPr>
              <w:t>4</w:t>
            </w:r>
          </w:p>
        </w:tc>
        <w:tc>
          <w:tcPr>
            <w:tcW w:w="1985" w:type="dxa"/>
            <w:vAlign w:val="center"/>
          </w:tcPr>
          <w:p w14:paraId="2B46B40E"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Recent nephrotoxic drug exposure or acute kidney disease</w:t>
            </w:r>
          </w:p>
        </w:tc>
        <w:tc>
          <w:tcPr>
            <w:tcW w:w="5749" w:type="dxa"/>
            <w:vAlign w:val="center"/>
          </w:tcPr>
          <w:p w14:paraId="52764A56"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Patients with a history of nephrotoxic drug exposure within 1 week before enrollment, or acute kidney diseases such as acute tubular necrosis, were excluded.</w:t>
            </w:r>
          </w:p>
        </w:tc>
      </w:tr>
      <w:tr w:rsidR="00601303" w:rsidRPr="00E259F0" w14:paraId="5BBA9235" w14:textId="77777777" w:rsidTr="00773D2A">
        <w:trPr>
          <w:jc w:val="center"/>
        </w:trPr>
        <w:tc>
          <w:tcPr>
            <w:tcW w:w="562" w:type="dxa"/>
            <w:vAlign w:val="center"/>
          </w:tcPr>
          <w:p w14:paraId="10894854" w14:textId="77777777" w:rsidR="00601303" w:rsidRPr="00E259F0" w:rsidRDefault="00601303" w:rsidP="00773D2A">
            <w:pPr>
              <w:jc w:val="center"/>
              <w:rPr>
                <w:rFonts w:ascii="Times New Roman" w:hAnsi="Times New Roman" w:cs="Times New Roman"/>
                <w:sz w:val="24"/>
              </w:rPr>
            </w:pPr>
            <w:r w:rsidRPr="00E259F0">
              <w:rPr>
                <w:rFonts w:ascii="Times New Roman" w:hAnsi="Times New Roman" w:cs="Times New Roman"/>
                <w:sz w:val="24"/>
              </w:rPr>
              <w:lastRenderedPageBreak/>
              <w:t>5</w:t>
            </w:r>
          </w:p>
        </w:tc>
        <w:tc>
          <w:tcPr>
            <w:tcW w:w="1985" w:type="dxa"/>
            <w:vAlign w:val="center"/>
          </w:tcPr>
          <w:p w14:paraId="7DA87429"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Severe comorbidities or confirmed hereditary diseases</w:t>
            </w:r>
          </w:p>
        </w:tc>
        <w:tc>
          <w:tcPr>
            <w:tcW w:w="5749" w:type="dxa"/>
            <w:vAlign w:val="center"/>
          </w:tcPr>
          <w:p w14:paraId="427D4B32"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Patients with congenital or acquired severe disability, confirmed hereditary disease, or major systemic diseases involving the cardiovascular, endocrine/metabolic, respiratory, digestive, urinary, musculoskeletal, or nervous systems were excluded.</w:t>
            </w:r>
          </w:p>
        </w:tc>
      </w:tr>
      <w:tr w:rsidR="00601303" w:rsidRPr="00E259F0" w14:paraId="66D525E5" w14:textId="77777777" w:rsidTr="00773D2A">
        <w:trPr>
          <w:jc w:val="center"/>
        </w:trPr>
        <w:tc>
          <w:tcPr>
            <w:tcW w:w="562" w:type="dxa"/>
            <w:vAlign w:val="center"/>
          </w:tcPr>
          <w:p w14:paraId="1F87DB50" w14:textId="77777777" w:rsidR="00601303" w:rsidRPr="00E259F0" w:rsidRDefault="00601303" w:rsidP="00773D2A">
            <w:pPr>
              <w:jc w:val="center"/>
              <w:rPr>
                <w:rFonts w:ascii="Times New Roman" w:hAnsi="Times New Roman" w:cs="Times New Roman"/>
                <w:sz w:val="24"/>
              </w:rPr>
            </w:pPr>
            <w:r w:rsidRPr="00E259F0">
              <w:rPr>
                <w:rFonts w:ascii="Times New Roman" w:hAnsi="Times New Roman" w:cs="Times New Roman"/>
                <w:sz w:val="24"/>
              </w:rPr>
              <w:t>6</w:t>
            </w:r>
          </w:p>
        </w:tc>
        <w:tc>
          <w:tcPr>
            <w:tcW w:w="1985" w:type="dxa"/>
            <w:vAlign w:val="center"/>
          </w:tcPr>
          <w:p w14:paraId="39F560A8"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History of organ transplantation</w:t>
            </w:r>
          </w:p>
        </w:tc>
        <w:tc>
          <w:tcPr>
            <w:tcW w:w="5749" w:type="dxa"/>
            <w:vAlign w:val="center"/>
          </w:tcPr>
          <w:p w14:paraId="1589E9A5"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Patients with a previous history of kidney transplantation or other solid-organ transplantation were excluded.</w:t>
            </w:r>
          </w:p>
        </w:tc>
      </w:tr>
      <w:tr w:rsidR="00601303" w:rsidRPr="00E259F0" w14:paraId="14EC20FF" w14:textId="77777777" w:rsidTr="00773D2A">
        <w:trPr>
          <w:jc w:val="center"/>
        </w:trPr>
        <w:tc>
          <w:tcPr>
            <w:tcW w:w="562" w:type="dxa"/>
            <w:vAlign w:val="center"/>
          </w:tcPr>
          <w:p w14:paraId="1A1BC2EC" w14:textId="77777777" w:rsidR="00601303" w:rsidRPr="00E259F0" w:rsidRDefault="00601303" w:rsidP="00773D2A">
            <w:pPr>
              <w:jc w:val="center"/>
              <w:rPr>
                <w:rFonts w:ascii="Times New Roman" w:hAnsi="Times New Roman" w:cs="Times New Roman"/>
                <w:sz w:val="24"/>
              </w:rPr>
            </w:pPr>
            <w:r w:rsidRPr="00E259F0">
              <w:rPr>
                <w:rFonts w:ascii="Times New Roman" w:hAnsi="Times New Roman" w:cs="Times New Roman"/>
                <w:sz w:val="24"/>
              </w:rPr>
              <w:t>7</w:t>
            </w:r>
          </w:p>
        </w:tc>
        <w:tc>
          <w:tcPr>
            <w:tcW w:w="1985" w:type="dxa"/>
            <w:vAlign w:val="center"/>
          </w:tcPr>
          <w:p w14:paraId="36118D75"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Pregnancy or lactation</w:t>
            </w:r>
          </w:p>
        </w:tc>
        <w:tc>
          <w:tcPr>
            <w:tcW w:w="5749" w:type="dxa"/>
            <w:vAlign w:val="center"/>
          </w:tcPr>
          <w:p w14:paraId="5A6CA468"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Pregnant or lactating women were excluded.</w:t>
            </w:r>
          </w:p>
        </w:tc>
      </w:tr>
      <w:tr w:rsidR="00601303" w:rsidRPr="00E259F0" w14:paraId="7C220526" w14:textId="77777777" w:rsidTr="00773D2A">
        <w:trPr>
          <w:jc w:val="center"/>
        </w:trPr>
        <w:tc>
          <w:tcPr>
            <w:tcW w:w="562" w:type="dxa"/>
            <w:vAlign w:val="center"/>
          </w:tcPr>
          <w:p w14:paraId="41BA89BD" w14:textId="77777777" w:rsidR="00601303" w:rsidRPr="00E259F0" w:rsidRDefault="00601303" w:rsidP="00773D2A">
            <w:pPr>
              <w:jc w:val="center"/>
              <w:rPr>
                <w:rFonts w:ascii="Times New Roman" w:hAnsi="Times New Roman" w:cs="Times New Roman"/>
                <w:sz w:val="24"/>
              </w:rPr>
            </w:pPr>
            <w:r w:rsidRPr="00E259F0">
              <w:rPr>
                <w:rFonts w:ascii="Times New Roman" w:hAnsi="Times New Roman" w:cs="Times New Roman"/>
                <w:sz w:val="24"/>
              </w:rPr>
              <w:t>8</w:t>
            </w:r>
          </w:p>
        </w:tc>
        <w:tc>
          <w:tcPr>
            <w:tcW w:w="1985" w:type="dxa"/>
            <w:vAlign w:val="center"/>
          </w:tcPr>
          <w:p w14:paraId="2C42ECDB"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Inability to obtain informed consent</w:t>
            </w:r>
          </w:p>
        </w:tc>
        <w:tc>
          <w:tcPr>
            <w:tcW w:w="5749" w:type="dxa"/>
            <w:vAlign w:val="center"/>
          </w:tcPr>
          <w:p w14:paraId="1E855531"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Patients were excluded if written informed consent could not be obtained from the patient or a legally authorized representative, when required.</w:t>
            </w:r>
          </w:p>
        </w:tc>
      </w:tr>
      <w:tr w:rsidR="00601303" w:rsidRPr="00E259F0" w14:paraId="679AE7F3" w14:textId="77777777" w:rsidTr="00773D2A">
        <w:trPr>
          <w:jc w:val="center"/>
        </w:trPr>
        <w:tc>
          <w:tcPr>
            <w:tcW w:w="562" w:type="dxa"/>
            <w:vAlign w:val="center"/>
          </w:tcPr>
          <w:p w14:paraId="402C8687" w14:textId="77777777" w:rsidR="00601303" w:rsidRPr="00E259F0" w:rsidRDefault="00601303" w:rsidP="00773D2A">
            <w:pPr>
              <w:jc w:val="center"/>
              <w:rPr>
                <w:rFonts w:ascii="Times New Roman" w:hAnsi="Times New Roman" w:cs="Times New Roman"/>
                <w:sz w:val="24"/>
              </w:rPr>
            </w:pPr>
            <w:r w:rsidRPr="00E259F0">
              <w:rPr>
                <w:rFonts w:ascii="Times New Roman" w:hAnsi="Times New Roman" w:cs="Times New Roman"/>
                <w:sz w:val="24"/>
              </w:rPr>
              <w:t>9</w:t>
            </w:r>
          </w:p>
        </w:tc>
        <w:tc>
          <w:tcPr>
            <w:tcW w:w="1985" w:type="dxa"/>
            <w:vAlign w:val="center"/>
          </w:tcPr>
          <w:p w14:paraId="0731CF79"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Other unsuitable conditions</w:t>
            </w:r>
          </w:p>
        </w:tc>
        <w:tc>
          <w:tcPr>
            <w:tcW w:w="5749" w:type="dxa"/>
            <w:vAlign w:val="center"/>
          </w:tcPr>
          <w:p w14:paraId="1CF1140D" w14:textId="77777777" w:rsidR="00601303" w:rsidRPr="00E259F0" w:rsidRDefault="00601303" w:rsidP="00773D2A">
            <w:pPr>
              <w:rPr>
                <w:rFonts w:ascii="Times New Roman" w:hAnsi="Times New Roman" w:cs="Times New Roman"/>
                <w:sz w:val="24"/>
              </w:rPr>
            </w:pPr>
            <w:r w:rsidRPr="00E259F0">
              <w:rPr>
                <w:rFonts w:ascii="Times New Roman" w:hAnsi="Times New Roman" w:cs="Times New Roman"/>
                <w:sz w:val="24"/>
              </w:rPr>
              <w:t>Patients were excluded if the investigators judged that they were unsuitable for participation for any other reason.</w:t>
            </w:r>
          </w:p>
        </w:tc>
      </w:tr>
    </w:tbl>
    <w:p w14:paraId="27237588" w14:textId="77777777" w:rsidR="008E7B7F" w:rsidRPr="00601303" w:rsidRDefault="008E7B7F"/>
    <w:sectPr w:rsidR="008E7B7F" w:rsidRPr="0060130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9A343" w14:textId="77777777" w:rsidR="00375010" w:rsidRDefault="00375010" w:rsidP="00601303">
      <w:pPr>
        <w:spacing w:after="0" w:line="240" w:lineRule="auto"/>
        <w:rPr>
          <w:rFonts w:hint="eastAsia"/>
        </w:rPr>
      </w:pPr>
      <w:r>
        <w:separator/>
      </w:r>
    </w:p>
  </w:endnote>
  <w:endnote w:type="continuationSeparator" w:id="0">
    <w:p w14:paraId="08368BB5" w14:textId="77777777" w:rsidR="00375010" w:rsidRDefault="00375010" w:rsidP="0060130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65620" w14:textId="77777777" w:rsidR="00375010" w:rsidRDefault="00375010" w:rsidP="00601303">
      <w:pPr>
        <w:spacing w:after="0" w:line="240" w:lineRule="auto"/>
        <w:rPr>
          <w:rFonts w:hint="eastAsia"/>
        </w:rPr>
      </w:pPr>
      <w:r>
        <w:separator/>
      </w:r>
    </w:p>
  </w:footnote>
  <w:footnote w:type="continuationSeparator" w:id="0">
    <w:p w14:paraId="0C8FF360" w14:textId="77777777" w:rsidR="00375010" w:rsidRDefault="00375010" w:rsidP="00601303">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1FFB"/>
    <w:multiLevelType w:val="hybridMultilevel"/>
    <w:tmpl w:val="72581E0E"/>
    <w:lvl w:ilvl="0" w:tplc="F014D114">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172839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B7F"/>
    <w:rsid w:val="00375010"/>
    <w:rsid w:val="00601303"/>
    <w:rsid w:val="008E7B7F"/>
    <w:rsid w:val="009D11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30940CD1-2C63-4393-BE68-0AEF4B418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1303"/>
    <w:pPr>
      <w:widowControl w:val="0"/>
    </w:pPr>
  </w:style>
  <w:style w:type="paragraph" w:styleId="1">
    <w:name w:val="heading 1"/>
    <w:basedOn w:val="a"/>
    <w:next w:val="a"/>
    <w:link w:val="10"/>
    <w:uiPriority w:val="9"/>
    <w:qFormat/>
    <w:rsid w:val="008E7B7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E7B7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E7B7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E7B7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E7B7F"/>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8E7B7F"/>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E7B7F"/>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E7B7F"/>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8E7B7F"/>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E7B7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E7B7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E7B7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E7B7F"/>
    <w:rPr>
      <w:rFonts w:cstheme="majorBidi"/>
      <w:color w:val="0F4761" w:themeColor="accent1" w:themeShade="BF"/>
      <w:sz w:val="28"/>
      <w:szCs w:val="28"/>
    </w:rPr>
  </w:style>
  <w:style w:type="character" w:customStyle="1" w:styleId="50">
    <w:name w:val="标题 5 字符"/>
    <w:basedOn w:val="a0"/>
    <w:link w:val="5"/>
    <w:uiPriority w:val="9"/>
    <w:semiHidden/>
    <w:rsid w:val="008E7B7F"/>
    <w:rPr>
      <w:rFonts w:cstheme="majorBidi"/>
      <w:color w:val="0F4761" w:themeColor="accent1" w:themeShade="BF"/>
      <w:sz w:val="24"/>
    </w:rPr>
  </w:style>
  <w:style w:type="character" w:customStyle="1" w:styleId="60">
    <w:name w:val="标题 6 字符"/>
    <w:basedOn w:val="a0"/>
    <w:link w:val="6"/>
    <w:uiPriority w:val="9"/>
    <w:semiHidden/>
    <w:rsid w:val="008E7B7F"/>
    <w:rPr>
      <w:rFonts w:cstheme="majorBidi"/>
      <w:b/>
      <w:bCs/>
      <w:color w:val="0F4761" w:themeColor="accent1" w:themeShade="BF"/>
    </w:rPr>
  </w:style>
  <w:style w:type="character" w:customStyle="1" w:styleId="70">
    <w:name w:val="标题 7 字符"/>
    <w:basedOn w:val="a0"/>
    <w:link w:val="7"/>
    <w:uiPriority w:val="9"/>
    <w:semiHidden/>
    <w:rsid w:val="008E7B7F"/>
    <w:rPr>
      <w:rFonts w:cstheme="majorBidi"/>
      <w:b/>
      <w:bCs/>
      <w:color w:val="595959" w:themeColor="text1" w:themeTint="A6"/>
    </w:rPr>
  </w:style>
  <w:style w:type="character" w:customStyle="1" w:styleId="80">
    <w:name w:val="标题 8 字符"/>
    <w:basedOn w:val="a0"/>
    <w:link w:val="8"/>
    <w:uiPriority w:val="9"/>
    <w:semiHidden/>
    <w:rsid w:val="008E7B7F"/>
    <w:rPr>
      <w:rFonts w:cstheme="majorBidi"/>
      <w:color w:val="595959" w:themeColor="text1" w:themeTint="A6"/>
    </w:rPr>
  </w:style>
  <w:style w:type="character" w:customStyle="1" w:styleId="90">
    <w:name w:val="标题 9 字符"/>
    <w:basedOn w:val="a0"/>
    <w:link w:val="9"/>
    <w:uiPriority w:val="9"/>
    <w:semiHidden/>
    <w:rsid w:val="008E7B7F"/>
    <w:rPr>
      <w:rFonts w:eastAsiaTheme="majorEastAsia" w:cstheme="majorBidi"/>
      <w:color w:val="595959" w:themeColor="text1" w:themeTint="A6"/>
    </w:rPr>
  </w:style>
  <w:style w:type="paragraph" w:styleId="a3">
    <w:name w:val="Title"/>
    <w:basedOn w:val="a"/>
    <w:next w:val="a"/>
    <w:link w:val="a4"/>
    <w:uiPriority w:val="10"/>
    <w:qFormat/>
    <w:rsid w:val="008E7B7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E7B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7B7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E7B7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E7B7F"/>
    <w:pPr>
      <w:spacing w:before="160"/>
      <w:jc w:val="center"/>
    </w:pPr>
    <w:rPr>
      <w:i/>
      <w:iCs/>
      <w:color w:val="404040" w:themeColor="text1" w:themeTint="BF"/>
    </w:rPr>
  </w:style>
  <w:style w:type="character" w:customStyle="1" w:styleId="a8">
    <w:name w:val="引用 字符"/>
    <w:basedOn w:val="a0"/>
    <w:link w:val="a7"/>
    <w:uiPriority w:val="29"/>
    <w:rsid w:val="008E7B7F"/>
    <w:rPr>
      <w:i/>
      <w:iCs/>
      <w:color w:val="404040" w:themeColor="text1" w:themeTint="BF"/>
    </w:rPr>
  </w:style>
  <w:style w:type="paragraph" w:styleId="a9">
    <w:name w:val="List Paragraph"/>
    <w:basedOn w:val="a"/>
    <w:uiPriority w:val="34"/>
    <w:qFormat/>
    <w:rsid w:val="008E7B7F"/>
    <w:pPr>
      <w:ind w:left="720"/>
      <w:contextualSpacing/>
    </w:pPr>
  </w:style>
  <w:style w:type="character" w:styleId="aa">
    <w:name w:val="Intense Emphasis"/>
    <w:basedOn w:val="a0"/>
    <w:uiPriority w:val="21"/>
    <w:qFormat/>
    <w:rsid w:val="008E7B7F"/>
    <w:rPr>
      <w:i/>
      <w:iCs/>
      <w:color w:val="0F4761" w:themeColor="accent1" w:themeShade="BF"/>
    </w:rPr>
  </w:style>
  <w:style w:type="paragraph" w:styleId="ab">
    <w:name w:val="Intense Quote"/>
    <w:basedOn w:val="a"/>
    <w:next w:val="a"/>
    <w:link w:val="ac"/>
    <w:uiPriority w:val="30"/>
    <w:qFormat/>
    <w:rsid w:val="008E7B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E7B7F"/>
    <w:rPr>
      <w:i/>
      <w:iCs/>
      <w:color w:val="0F4761" w:themeColor="accent1" w:themeShade="BF"/>
    </w:rPr>
  </w:style>
  <w:style w:type="character" w:styleId="ad">
    <w:name w:val="Intense Reference"/>
    <w:basedOn w:val="a0"/>
    <w:uiPriority w:val="32"/>
    <w:qFormat/>
    <w:rsid w:val="008E7B7F"/>
    <w:rPr>
      <w:b/>
      <w:bCs/>
      <w:smallCaps/>
      <w:color w:val="0F4761" w:themeColor="accent1" w:themeShade="BF"/>
      <w:spacing w:val="5"/>
    </w:rPr>
  </w:style>
  <w:style w:type="paragraph" w:styleId="ae">
    <w:name w:val="header"/>
    <w:basedOn w:val="a"/>
    <w:link w:val="af"/>
    <w:uiPriority w:val="99"/>
    <w:unhideWhenUsed/>
    <w:rsid w:val="00601303"/>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601303"/>
    <w:rPr>
      <w:sz w:val="18"/>
      <w:szCs w:val="18"/>
    </w:rPr>
  </w:style>
  <w:style w:type="paragraph" w:styleId="af0">
    <w:name w:val="footer"/>
    <w:basedOn w:val="a"/>
    <w:link w:val="af1"/>
    <w:uiPriority w:val="99"/>
    <w:unhideWhenUsed/>
    <w:rsid w:val="00601303"/>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601303"/>
    <w:rPr>
      <w:sz w:val="18"/>
      <w:szCs w:val="18"/>
    </w:rPr>
  </w:style>
  <w:style w:type="table" w:styleId="af2">
    <w:name w:val="Table Grid"/>
    <w:basedOn w:val="a1"/>
    <w:uiPriority w:val="39"/>
    <w:rsid w:val="006013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2714</Characters>
  <Application>Microsoft Office Word</Application>
  <DocSecurity>0</DocSecurity>
  <Lines>113</Lines>
  <Paragraphs>64</Paragraphs>
  <ScaleCrop>false</ScaleCrop>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婧 刘</dc:creator>
  <cp:keywords/>
  <dc:description/>
  <cp:lastModifiedBy>婧 刘</cp:lastModifiedBy>
  <cp:revision>2</cp:revision>
  <dcterms:created xsi:type="dcterms:W3CDTF">2026-09-03T14:53:00Z</dcterms:created>
  <dcterms:modified xsi:type="dcterms:W3CDTF">2026-09-03T14:53:00Z</dcterms:modified>
</cp:coreProperties>
</file>