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FFD47">
      <w:pPr>
        <w:spacing w:before="0" w:after="0" w:line="480" w:lineRule="auto"/>
        <w:jc w:val="both"/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  <w:t>Supplementary Table S1. Preoperative inflammatory markers by histological grade</w:t>
      </w:r>
    </w:p>
    <w:tbl>
      <w:tblPr>
        <w:tblStyle w:val="2"/>
        <w:tblW w:w="14062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3371"/>
        <w:gridCol w:w="3371"/>
        <w:gridCol w:w="3371"/>
        <w:gridCol w:w="1384"/>
      </w:tblGrid>
      <w:tr w14:paraId="780A45C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157AC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Marker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0B0D39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Grade 1 (n=22)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1AC9E9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Grade 2 (n=62)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2C9DBF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Grade 3 (n=26)</w:t>
            </w:r>
          </w:p>
        </w:tc>
        <w:tc>
          <w:tcPr>
            <w:tcW w:w="1384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A384AE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P value</w:t>
            </w:r>
          </w:p>
        </w:tc>
      </w:tr>
      <w:tr w14:paraId="1FC2C39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712F1A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0, n (%)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46131D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19 (86.4%)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ADD58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42 (67.7%)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ABE3C6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 (42.3%)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D1C4B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0.012</w:t>
            </w:r>
          </w:p>
        </w:tc>
      </w:tr>
      <w:tr w14:paraId="2C61943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63ACF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1, n (%)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70CA21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 (13.6%)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E3C2F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14 (22.6%)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CEDEC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 (30.8%)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1FBAD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</w:tr>
      <w:tr w14:paraId="7DC414F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303CD3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2, n (%)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77B409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 (0%)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BE4758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6 (9.7%)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E9B6F1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 (26.9%)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40717C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</w:tr>
      <w:tr w14:paraId="1D8AAB7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27451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CRP, mg/L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DE3664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4.34 (3.06–6.37)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A22DF3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7.98 (5.99–11.52)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C32F20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11.64 (8.83–24.73)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0C145C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&lt;0.001</w:t>
            </w:r>
          </w:p>
        </w:tc>
      </w:tr>
      <w:tr w14:paraId="556AEB2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1B02D9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Albumin, g/L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5F8C6B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42.36 (40.57–43.12)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4062F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40.09 (38.18–41.74)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4E873A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37.88 (33.81–40.49)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78253A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&lt;0.001</w:t>
            </w:r>
          </w:p>
        </w:tc>
      </w:tr>
      <w:tr w14:paraId="270B8AE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6C7679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CAR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68E692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0.101 (0.075–0.153)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9E1BC4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0.191 (0.145–0.311)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9CF9FD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0.304 (0.216–0.751)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43A256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&lt;0.001</w:t>
            </w:r>
          </w:p>
        </w:tc>
      </w:tr>
      <w:tr w14:paraId="304BEF7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65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87B582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NLR</w:t>
            </w:r>
          </w:p>
        </w:tc>
        <w:tc>
          <w:tcPr>
            <w:tcW w:w="337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E94934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2.15 (1.78–2.57)</w:t>
            </w:r>
          </w:p>
        </w:tc>
        <w:tc>
          <w:tcPr>
            <w:tcW w:w="337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C22BB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2.31 (1.82–2.78)</w:t>
            </w:r>
          </w:p>
        </w:tc>
        <w:tc>
          <w:tcPr>
            <w:tcW w:w="337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35C92F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3.12 (2.67–3.39)</w:t>
            </w:r>
          </w:p>
        </w:tc>
        <w:tc>
          <w:tcPr>
            <w:tcW w:w="138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21BE2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&lt;0.001</w:t>
            </w:r>
          </w:p>
        </w:tc>
      </w:tr>
    </w:tbl>
    <w:p w14:paraId="7461F508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Continuous values are median (IQR). The mGPS-by-grade association used the Fisher–Freeman–Halton exact test; continuous markers used the Kruskal–Wallis test.</w:t>
      </w:r>
    </w:p>
    <w:p w14:paraId="12936108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43198A81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0C9D7842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1C66ECDD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62A40A19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77349F25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2361F93F">
      <w:pPr>
        <w:spacing w:before="0" w:after="0" w:line="480" w:lineRule="auto"/>
        <w:jc w:val="both"/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  <w:t>Supplementary Table S2. Histological-grade subgroup and histology-based sensitivity analyses for overall survival</w:t>
      </w:r>
    </w:p>
    <w:tbl>
      <w:tblPr>
        <w:tblStyle w:val="2"/>
        <w:tblW w:w="14174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0"/>
        <w:gridCol w:w="3599"/>
        <w:gridCol w:w="691"/>
        <w:gridCol w:w="1106"/>
        <w:gridCol w:w="2466"/>
        <w:gridCol w:w="2762"/>
      </w:tblGrid>
      <w:tr w14:paraId="6A01A66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551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8AB8D1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Analysis</w:t>
            </w:r>
          </w:p>
        </w:tc>
        <w:tc>
          <w:tcPr>
            <w:tcW w:w="3599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C5F38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Population</w:t>
            </w:r>
          </w:p>
        </w:tc>
        <w:tc>
          <w:tcPr>
            <w:tcW w:w="691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88AF27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n</w:t>
            </w:r>
          </w:p>
        </w:tc>
        <w:tc>
          <w:tcPr>
            <w:tcW w:w="1106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D1D2C8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Deaths</w:t>
            </w:r>
          </w:p>
        </w:tc>
        <w:tc>
          <w:tcPr>
            <w:tcW w:w="2466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4EDC2C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HR (95% CI)</w:t>
            </w:r>
          </w:p>
        </w:tc>
        <w:tc>
          <w:tcPr>
            <w:tcW w:w="2762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E7C06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P interaction / note</w:t>
            </w:r>
          </w:p>
        </w:tc>
      </w:tr>
      <w:tr w14:paraId="1B5725C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4F599B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subgroup — mGPS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08612A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1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547077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89FC42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610992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3.23 (0.29–35.86)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623628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Interaction P=0.700</w:t>
            </w:r>
          </w:p>
        </w:tc>
      </w:tr>
      <w:tr w14:paraId="718AFB9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810B6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139961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Grades 2–3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72D6B1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B0B69F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45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30218B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1.98 (1.01–3.86)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951993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</w:p>
        </w:tc>
      </w:tr>
      <w:tr w14:paraId="1FF822C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C794A1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subgroup — CAR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130371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1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19B8F7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961693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5C723F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1.60 (0.95–2.69)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CA2A12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Interaction P=0.158</w:t>
            </w:r>
          </w:p>
        </w:tc>
      </w:tr>
      <w:tr w14:paraId="411BD37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79AA41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09EE73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Grades 2–3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90830C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25447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45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C303AF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1.10 (1.01–1.20)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CB04E4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</w:p>
        </w:tc>
      </w:tr>
      <w:tr w14:paraId="00C43FE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474B5F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subgroup — NLR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462828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 1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02F453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C9B95C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15623F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0.39 (0.03–5.69)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FA03C2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Interaction P=0.255</w:t>
            </w:r>
          </w:p>
        </w:tc>
      </w:tr>
      <w:tr w14:paraId="1966299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6A510C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737780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Grades 2–3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A9E45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AD6FA2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45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DFD65C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1.88 (1.26–2.79)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68138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</w:p>
        </w:tc>
      </w:tr>
      <w:tr w14:paraId="73C6703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A5004D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sensitivity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D08513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Conventional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734AF9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89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3C5693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3AF5E7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1.80 (0.88–3.68)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3F39F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1C40331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AEC17C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9EEC9F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Excluding dedifferentiated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C29CCB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98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E433F0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36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838DB2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1.96 (1.00–3.87)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71B24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6F050AC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BA5F5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3AC62C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Dedifferentiated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22796C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FD03DB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47B584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2.42 (0.29–20.41)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4568A1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Univariable</w:t>
            </w:r>
          </w:p>
        </w:tc>
      </w:tr>
      <w:tr w14:paraId="051E10A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2DF9AA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CAR sensitivity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7800B1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Conventional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5B5657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89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2EF0A0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01763C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1.23 (1.06–1.43)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46A8A4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6984DF3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4ABB98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D3984C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Excluding dedifferentiated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B89B18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98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28611C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36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CBEC47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1.19 (1.06–1.33)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2F76EA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20ADF61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8BCE85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75C5F2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Dedifferentiated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78D201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FCDB35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3E77ED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0.98 (0.86–1.12)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9E713C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Univariable</w:t>
            </w:r>
          </w:p>
        </w:tc>
      </w:tr>
      <w:tr w14:paraId="162BFD1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10305F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NLR sensitivity</w:t>
            </w: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67B65A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Conventional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CF7FEB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89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586CF1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33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979FC4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1.88 (1.18–3.00)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C6E7FB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588B1A1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23115D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F0761B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Excluding dedifferentiated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C6D759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98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4CD53E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36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B7006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1.90 (1.24–2.92)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6BA8D4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Adjusted</w:t>
            </w:r>
          </w:p>
        </w:tc>
      </w:tr>
      <w:tr w14:paraId="6640226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EEC4F9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359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8758B4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Dedifferentiated only</w:t>
            </w:r>
          </w:p>
        </w:tc>
        <w:tc>
          <w:tcPr>
            <w:tcW w:w="6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2E5C3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110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BA4B33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12</w:t>
            </w:r>
          </w:p>
        </w:tc>
        <w:tc>
          <w:tcPr>
            <w:tcW w:w="24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845B2B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2.95 (0.77–11.27)</w:t>
            </w:r>
          </w:p>
        </w:tc>
        <w:tc>
          <w:tcPr>
            <w:tcW w:w="276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ABCBB9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Univariable</w:t>
            </w:r>
          </w:p>
        </w:tc>
      </w:tr>
    </w:tbl>
    <w:p w14:paraId="1743EC66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mGPS is expressed as 1–2 versus 0; CAR per 0.1-unit increase; NLR per 1-unit increase. Grade-stratified estimates are derived from the interaction models shown in Figure 6. Histology-restricted adjusted analyses used age, tumour size, grade (where estimable), and margin; the 12-patient dedifferentiated-only analyses were univariable because further adjustment was not reliable.</w:t>
      </w:r>
    </w:p>
    <w:p w14:paraId="21296615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12DF9031">
      <w:pPr>
        <w:spacing w:before="0" w:after="0" w:line="480" w:lineRule="auto"/>
        <w:jc w:val="both"/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  <w:t>Supplementary Table S3. Model stability and diagnostic considerations</w:t>
      </w:r>
    </w:p>
    <w:tbl>
      <w:tblPr>
        <w:tblStyle w:val="2"/>
        <w:tblW w:w="14062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278"/>
        <w:gridCol w:w="786"/>
        <w:gridCol w:w="926"/>
        <w:gridCol w:w="1491"/>
        <w:gridCol w:w="2233"/>
        <w:gridCol w:w="4229"/>
      </w:tblGrid>
      <w:tr w14:paraId="0603704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19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CA638A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Endpoint</w:t>
            </w:r>
          </w:p>
        </w:tc>
        <w:tc>
          <w:tcPr>
            <w:tcW w:w="2278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8FD2C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Model</w:t>
            </w:r>
          </w:p>
        </w:tc>
        <w:tc>
          <w:tcPr>
            <w:tcW w:w="786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499BF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n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DBA97E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Events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974DF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Parameters</w:t>
            </w:r>
          </w:p>
        </w:tc>
        <w:tc>
          <w:tcPr>
            <w:tcW w:w="2233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A937D5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Events/parameter</w:t>
            </w:r>
          </w:p>
        </w:tc>
        <w:tc>
          <w:tcPr>
            <w:tcW w:w="4229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0D3876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Diagnostic note</w:t>
            </w:r>
          </w:p>
        </w:tc>
      </w:tr>
      <w:tr w14:paraId="13F3D91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CFC9CC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Overall survival</w:t>
            </w:r>
          </w:p>
        </w:tc>
        <w:tc>
          <w:tcPr>
            <w:tcW w:w="2278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5F3D33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Baseline + mGPS</w:t>
            </w:r>
          </w:p>
        </w:tc>
        <w:tc>
          <w:tcPr>
            <w:tcW w:w="78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736398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110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ED8B6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48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5246AF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w="2233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CFD25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6.9</w:t>
            </w:r>
          </w:p>
        </w:tc>
        <w:tc>
          <w:tcPr>
            <w:tcW w:w="422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1D67BD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Max VIF 2.27</w:t>
            </w:r>
          </w:p>
        </w:tc>
      </w:tr>
      <w:tr w14:paraId="7EEAE76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38230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Overall survival</w:t>
            </w:r>
          </w:p>
        </w:tc>
        <w:tc>
          <w:tcPr>
            <w:tcW w:w="2278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D79073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Baseline + CAR</w:t>
            </w:r>
          </w:p>
        </w:tc>
        <w:tc>
          <w:tcPr>
            <w:tcW w:w="78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6BCEF2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110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AB15C8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48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354BCF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w="2233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242915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6.9</w:t>
            </w:r>
          </w:p>
        </w:tc>
        <w:tc>
          <w:tcPr>
            <w:tcW w:w="422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51C30E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Max VIF 2.31; quadratic LRT P=0.091</w:t>
            </w:r>
          </w:p>
        </w:tc>
      </w:tr>
      <w:tr w14:paraId="1E5448E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D1BCB1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Overall survival</w:t>
            </w:r>
          </w:p>
        </w:tc>
        <w:tc>
          <w:tcPr>
            <w:tcW w:w="2278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671152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Baseline + NLR</w:t>
            </w:r>
          </w:p>
        </w:tc>
        <w:tc>
          <w:tcPr>
            <w:tcW w:w="78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612BC6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110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C83EC0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48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3D3191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w="2233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413337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6.9</w:t>
            </w:r>
          </w:p>
        </w:tc>
        <w:tc>
          <w:tcPr>
            <w:tcW w:w="422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F01C05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Max VIF 2.45; quadratic LRT P=0.189</w:t>
            </w:r>
          </w:p>
        </w:tc>
      </w:tr>
      <w:tr w14:paraId="28F44F6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B91DDB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Distant metastasis</w:t>
            </w:r>
          </w:p>
        </w:tc>
        <w:tc>
          <w:tcPr>
            <w:tcW w:w="2278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CCAF6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Each marker model</w:t>
            </w:r>
          </w:p>
        </w:tc>
        <w:tc>
          <w:tcPr>
            <w:tcW w:w="78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1EBE25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110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ADCA13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29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B63856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w="2233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1DC041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4.1</w:t>
            </w:r>
          </w:p>
        </w:tc>
        <w:tc>
          <w:tcPr>
            <w:tcW w:w="422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B2161E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Sparse events; exploratory</w:t>
            </w:r>
          </w:p>
        </w:tc>
      </w:tr>
      <w:tr w14:paraId="4BCA61F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6204FF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Local recurrence</w:t>
            </w:r>
          </w:p>
        </w:tc>
        <w:tc>
          <w:tcPr>
            <w:tcW w:w="2278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0E70C8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Each marker model</w:t>
            </w:r>
          </w:p>
        </w:tc>
        <w:tc>
          <w:tcPr>
            <w:tcW w:w="78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8253D5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110</w:t>
            </w:r>
          </w:p>
        </w:tc>
        <w:tc>
          <w:tcPr>
            <w:tcW w:w="92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D7805B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33</w:t>
            </w:r>
          </w:p>
        </w:tc>
        <w:tc>
          <w:tcPr>
            <w:tcW w:w="1491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23B66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7</w:t>
            </w:r>
          </w:p>
        </w:tc>
        <w:tc>
          <w:tcPr>
            <w:tcW w:w="2233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6BEFDBE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4.7</w:t>
            </w:r>
          </w:p>
        </w:tc>
        <w:tc>
          <w:tcPr>
            <w:tcW w:w="422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37D6F1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Sparse events; exploratory</w:t>
            </w:r>
          </w:p>
        </w:tc>
      </w:tr>
    </w:tbl>
    <w:p w14:paraId="4B7F14D8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The baseline model contained six regression coefficients; adding one inflammatory marker yielded seven parameters. Proportional-hazards assumptions were assessed using Schoenfeld-type residual diagnostics and interpreted cautiously because of the modest event counts. VIF, variance inflation factor; LRT, likelihood-ratio test.</w:t>
      </w:r>
    </w:p>
    <w:p w14:paraId="3EF5A1AE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1BC16329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7174EC11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0D60B411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11A1F211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</w:p>
    <w:p w14:paraId="266A6802">
      <w:pPr>
        <w:spacing w:before="0" w:after="0" w:line="480" w:lineRule="auto"/>
        <w:jc w:val="both"/>
        <w:rPr>
          <w:rFonts w:ascii="Times New Roman" w:hAnsi="Times New Roman" w:eastAsia="Times New Roman" w:cs="Times New Roman"/>
          <w:sz w:val="24"/>
        </w:rPr>
      </w:pPr>
      <w:bookmarkStart w:id="0" w:name="_GoBack"/>
      <w:bookmarkEnd w:id="0"/>
    </w:p>
    <w:p w14:paraId="2DF01097">
      <w:pPr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i w:val="0"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i w:val="0"/>
          <w:sz w:val="24"/>
          <w:lang w:val="en-US" w:eastAsia="zh-CN"/>
        </w:rPr>
        <w:t>S</w:t>
      </w:r>
      <w:r>
        <w:rPr>
          <w:rFonts w:hint="default" w:ascii="Times New Roman" w:hAnsi="Times New Roman" w:eastAsia="Times New Roman" w:cs="Times New Roman"/>
          <w:b/>
          <w:i w:val="0"/>
          <w:sz w:val="24"/>
          <w:lang w:val="en-US" w:eastAsia="zh-CN"/>
        </w:rPr>
        <w:t>upplementary Table S4. Additional sensitivity analyses for overall survival</w:t>
      </w:r>
    </w:p>
    <w:tbl>
      <w:tblPr>
        <w:tblStyle w:val="2"/>
        <w:tblW w:w="14062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6"/>
        <w:gridCol w:w="797"/>
        <w:gridCol w:w="817"/>
        <w:gridCol w:w="2587"/>
        <w:gridCol w:w="2019"/>
        <w:gridCol w:w="1176"/>
      </w:tblGrid>
      <w:tr w14:paraId="27AC677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666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FAB22B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Sensitivity population</w:t>
            </w:r>
          </w:p>
        </w:tc>
        <w:tc>
          <w:tcPr>
            <w:tcW w:w="797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2BAB4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n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D429BE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Deaths</w:t>
            </w:r>
          </w:p>
        </w:tc>
        <w:tc>
          <w:tcPr>
            <w:tcW w:w="0" w:type="auto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D14D86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Marker</w:t>
            </w:r>
          </w:p>
        </w:tc>
        <w:tc>
          <w:tcPr>
            <w:tcW w:w="2019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C61C81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HR (95% CI)</w:t>
            </w:r>
          </w:p>
        </w:tc>
        <w:tc>
          <w:tcPr>
            <w:tcW w:w="1176" w:type="dxa"/>
            <w:tcBorders>
              <w:bottom w:val="single" w:color="000000" w:sz="8" w:space="0"/>
            </w:tcBorders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4290C54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</w:rPr>
              <w:t>P value</w:t>
            </w:r>
          </w:p>
        </w:tc>
      </w:tr>
      <w:tr w14:paraId="3830F14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055BED1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Excluding chronic inflammatory/autoimmune or chronic hepatic/renal disease</w:t>
            </w: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3CE795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102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6E89B5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46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676BA6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1–2 vs 0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8CF04B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2.05 (1.04–4.01)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00A650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0.037</w:t>
            </w:r>
          </w:p>
        </w:tc>
      </w:tr>
      <w:tr w14:paraId="1BE0B6F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84302FB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005E12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7333CF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1FB2B4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CAR, per 0.1-unit increase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D8F575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1.10 (1.00–1.21)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911AF9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0.040</w:t>
            </w:r>
          </w:p>
        </w:tc>
      </w:tr>
      <w:tr w14:paraId="79468DD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C36F39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29259A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C79B79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29663F2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NLR, per 1-unit increase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EC8AB6A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1.72 (1.14–2.60)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396821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0.010</w:t>
            </w:r>
          </w:p>
        </w:tc>
      </w:tr>
      <w:tr w14:paraId="7C34B3B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C74AE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Excluding preoperative antitumour treatment</w:t>
            </w: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98D82B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108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FED113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48</w:t>
            </w: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B3EA50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mGPS 1–2 vs 0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01E03C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1.94 (1.01–3.75)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697CD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0.047</w:t>
            </w:r>
          </w:p>
        </w:tc>
      </w:tr>
      <w:tr w14:paraId="74D76FA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7504B05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EACAB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22B75C9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0" w:type="auto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F13E043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CAR, per 0.1-unit increase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505965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1.096 (1.000–1.200)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0193D7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0.049</w:t>
            </w:r>
          </w:p>
        </w:tc>
      </w:tr>
      <w:tr w14:paraId="1FCA606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6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C49A82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79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AC223B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</w:p>
        </w:tc>
        <w:tc>
          <w:tcPr>
            <w:tcW w:w="81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718D42D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</w:p>
        </w:tc>
        <w:tc>
          <w:tcPr>
            <w:tcW w:w="2587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0E18BBC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NLR, per 1-unit increase</w:t>
            </w:r>
          </w:p>
        </w:tc>
        <w:tc>
          <w:tcPr>
            <w:tcW w:w="2019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6D4C58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1.72 (1.15–2.57)</w:t>
            </w:r>
          </w:p>
        </w:tc>
        <w:tc>
          <w:tcPr>
            <w:tcW w:w="1176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408A2CF">
            <w:pPr>
              <w:keepLines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</w:rPr>
              <w:t>0.008</w:t>
            </w:r>
          </w:p>
        </w:tc>
      </w:tr>
    </w:tbl>
    <w:p w14:paraId="62CF9EBB">
      <w:pPr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i w:val="0"/>
          <w:sz w:val="24"/>
          <w:lang w:val="en-US" w:eastAsia="zh-CN"/>
        </w:rPr>
      </w:pPr>
      <w:r>
        <w:rPr>
          <w:rFonts w:ascii="Times New Roman" w:hAnsi="Times New Roman" w:eastAsia="Times New Roman" w:cs="Times New Roman"/>
          <w:sz w:val="24"/>
        </w:rPr>
        <w:t>Each marker was entered separately into the same clinicopathological adjustment model used in the primary OS analysis. The first sensitivity excluded eight patients (two with chronic inflammatory/autoimmune disease and six with chronic liver disease; none had chronic kidney disease).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92F05"/>
    <w:rsid w:val="04D962EF"/>
    <w:rsid w:val="0A592F05"/>
    <w:rsid w:val="0B266665"/>
    <w:rsid w:val="0FE34B24"/>
    <w:rsid w:val="1B3E075A"/>
    <w:rsid w:val="1E13581D"/>
    <w:rsid w:val="4F021BCA"/>
    <w:rsid w:val="5F761901"/>
    <w:rsid w:val="60B7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2026-08-09T06:31:00Z</dcterms:created>
  <dc:creator>Louis Hsiao</dc:creator>
  <cp:lastModifiedBy>Louis Hsiao</cp:lastModifiedBy>
  <dcterms:modified xsi:type="dcterms:W3CDTF">2026-08-09T06:35:24Z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11C540EE9B0B496A9AA7B149AC1F4204_11</vt:lpwstr>
  </property>
  <property fmtid="{D5CDD505-2E9C-101B-9397-08002B2CF9AE}" pid="4" name="KSOTemplateDocerSaveRecord">
    <vt:lpwstr>eyJoZGlkIjoiMjk1Y2RkOWIxZTI1MjQzYmYyYjNhZTYyNTZmNTExNmYiLCJ1c2VySWQiOiI3NjU3MzgxODEifQ==</vt:lpwstr>
  </property>
</Properties>
</file>