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9AA6" w14:textId="77777777" w:rsidR="001A6698" w:rsidRDefault="001A6698" w:rsidP="001A6698">
      <w:pPr>
        <w:spacing w:after="0" w:line="360" w:lineRule="auto"/>
        <w:jc w:val="both"/>
        <w:rPr>
          <w:rFonts w:ascii="Times New Roman" w:hAnsi="Times New Roman"/>
          <w:b/>
          <w:bCs/>
          <w:sz w:val="28"/>
          <w:szCs w:val="28"/>
        </w:rPr>
      </w:pPr>
      <w:r w:rsidRPr="004A5577">
        <w:rPr>
          <w:rFonts w:ascii="Times New Roman" w:hAnsi="Times New Roman"/>
          <w:b/>
          <w:bCs/>
          <w:sz w:val="28"/>
          <w:szCs w:val="28"/>
        </w:rPr>
        <w:t>Supplementary Materials</w:t>
      </w:r>
    </w:p>
    <w:p w14:paraId="67B80476" w14:textId="77777777" w:rsidR="001D110D" w:rsidRDefault="001D110D" w:rsidP="001D110D">
      <w:pPr>
        <w:spacing w:after="0" w:line="360" w:lineRule="auto"/>
        <w:jc w:val="both"/>
        <w:rPr>
          <w:rFonts w:ascii="Times New Roman" w:hAnsi="Times New Roman"/>
          <w:sz w:val="22"/>
          <w:szCs w:val="22"/>
        </w:rPr>
      </w:pPr>
    </w:p>
    <w:p w14:paraId="5A86D772" w14:textId="7654DABD" w:rsidR="00B94C35" w:rsidRDefault="00B94C35" w:rsidP="001D110D">
      <w:pPr>
        <w:spacing w:after="0" w:line="360" w:lineRule="auto"/>
        <w:jc w:val="both"/>
        <w:rPr>
          <w:rFonts w:ascii="Times New Roman" w:hAnsi="Times New Roman"/>
          <w:b/>
          <w:bCs/>
          <w:i/>
          <w:iCs/>
          <w:sz w:val="22"/>
          <w:szCs w:val="22"/>
        </w:rPr>
      </w:pPr>
      <w:r>
        <w:rPr>
          <w:rFonts w:ascii="Times New Roman" w:hAnsi="Times New Roman"/>
          <w:b/>
          <w:bCs/>
          <w:i/>
          <w:iCs/>
          <w:sz w:val="22"/>
          <w:szCs w:val="22"/>
        </w:rPr>
        <w:t>Neurocognition</w:t>
      </w:r>
    </w:p>
    <w:p w14:paraId="3AC5137C" w14:textId="01EB932A" w:rsidR="00B94C35" w:rsidRDefault="00B94C35" w:rsidP="00B94C35">
      <w:pPr>
        <w:spacing w:after="0" w:line="360" w:lineRule="auto"/>
        <w:jc w:val="both"/>
        <w:rPr>
          <w:rFonts w:ascii="Times New Roman" w:hAnsi="Times New Roman"/>
          <w:sz w:val="22"/>
          <w:szCs w:val="22"/>
        </w:rPr>
      </w:pPr>
      <w:r w:rsidRPr="001D110D">
        <w:rPr>
          <w:rFonts w:ascii="Times New Roman" w:hAnsi="Times New Roman"/>
          <w:sz w:val="22"/>
          <w:szCs w:val="22"/>
        </w:rPr>
        <w:t>NeuroScreen is a brief, tablet-based screening instrument. Trained assessors administered NeuroScreen according to standardized protocols, with scoring adjusted for age and education level where applicable. The test assesses verbal learning and memory, processing speed using two trail-making sequencing tasks, two visual discrimination tasks, a number input task, a number span task (forward and backward), executive functioning using an alternating trail-making sequencing task, and motor functioning using a finger-tapping task. The application records completion times and total correct responses, as well as error scores.</w:t>
      </w:r>
    </w:p>
    <w:p w14:paraId="1E48663A" w14:textId="77777777" w:rsidR="00B94C35" w:rsidRDefault="00B94C35" w:rsidP="00B94C35">
      <w:pPr>
        <w:spacing w:after="0" w:line="360" w:lineRule="auto"/>
        <w:jc w:val="both"/>
        <w:rPr>
          <w:rFonts w:ascii="Times New Roman" w:hAnsi="Times New Roman"/>
          <w:sz w:val="22"/>
          <w:szCs w:val="22"/>
        </w:rPr>
      </w:pPr>
      <w:r w:rsidRPr="004A5577">
        <w:rPr>
          <w:rFonts w:ascii="Times New Roman" w:hAnsi="Times New Roman"/>
          <w:sz w:val="22"/>
          <w:szCs w:val="22"/>
        </w:rPr>
        <w:t>The NIHTB is a comprehensive, iPad-based assessment suite validated for ages 3-85 years and normed on diverse populations</w:t>
      </w:r>
      <w:r w:rsidRPr="004A5577">
        <w:rPr>
          <w:rFonts w:ascii="Times New Roman" w:hAnsi="Times New Roman"/>
          <w:sz w:val="22"/>
          <w:szCs w:val="22"/>
        </w:rPr>
        <w:fldChar w:fldCharType="begin"/>
      </w:r>
      <w:r>
        <w:rPr>
          <w:rFonts w:ascii="Times New Roman" w:hAnsi="Times New Roman"/>
          <w:sz w:val="22"/>
          <w:szCs w:val="22"/>
        </w:rPr>
        <w:instrText xml:space="preserve"> ADDIN ZOTERO_ITEM CSL_CITATION {"citationID":"hCbH94Et","properties":{"formattedCitation":"\\super 2\\nosupersub{}","plainCitation":"2","noteIndex":0},"citationItems":[{"id":"aMjHwpf5/Hp2cJcHe","uris":["http://zotero.org/users/13466217/items/3BPC3UIL"],"itemData":{"id":6936,"type":"webpage","title":"Reliability of the NIH toolbox cognitive battery in children and adolescents: a 3-year longitudinal examination - PubMed","URL":"https://pubmed.ncbi.nlm.nih.gov/33032665/","accessed":{"date-parts":[["2026",4,1]]}}}],"schema":"https://github.com/citation-style-language/schema/raw/master/csl-citation.json"} </w:instrText>
      </w:r>
      <w:r w:rsidRPr="004A5577">
        <w:rPr>
          <w:rFonts w:ascii="Times New Roman" w:hAnsi="Times New Roman"/>
          <w:sz w:val="22"/>
          <w:szCs w:val="22"/>
        </w:rPr>
        <w:fldChar w:fldCharType="separate"/>
      </w:r>
      <w:r w:rsidRPr="004A5577">
        <w:rPr>
          <w:rFonts w:ascii="Times New Roman" w:hAnsi="Times New Roman"/>
          <w:kern w:val="0"/>
          <w:sz w:val="22"/>
          <w:vertAlign w:val="superscript"/>
        </w:rPr>
        <w:t>2</w:t>
      </w:r>
      <w:r w:rsidRPr="004A5577">
        <w:rPr>
          <w:rFonts w:ascii="Times New Roman" w:hAnsi="Times New Roman"/>
          <w:sz w:val="22"/>
          <w:szCs w:val="22"/>
        </w:rPr>
        <w:fldChar w:fldCharType="end"/>
      </w:r>
      <w:r w:rsidRPr="004A5577">
        <w:rPr>
          <w:rFonts w:ascii="Times New Roman" w:hAnsi="Times New Roman"/>
          <w:sz w:val="22"/>
          <w:szCs w:val="22"/>
        </w:rPr>
        <w:t>. The battery was designed to provide assessments that can be used for comparisons across existing and future studies. The cognitive domain measures have undergone validation and small and large-scale pilot testing, and they have established psychometric characteristics (internal consistency and test-retest reliability; convergent and divergent validity)</w:t>
      </w:r>
      <w:r w:rsidRPr="004A5577">
        <w:rPr>
          <w:rFonts w:ascii="Times New Roman" w:hAnsi="Times New Roman"/>
          <w:sz w:val="22"/>
          <w:szCs w:val="22"/>
        </w:rPr>
        <w:fldChar w:fldCharType="begin"/>
      </w:r>
      <w:r>
        <w:rPr>
          <w:rFonts w:ascii="Times New Roman" w:hAnsi="Times New Roman"/>
          <w:sz w:val="22"/>
          <w:szCs w:val="22"/>
        </w:rPr>
        <w:instrText xml:space="preserve"> ADDIN ZOTERO_ITEM CSL_CITATION {"citationID":"GdhZMEf8","properties":{"formattedCitation":"\\super 3\\nosupersub{}","plainCitation":"3","noteIndex":0},"citationItems":[{"id":"aMjHwpf5/fdtB0Vmg","uris":["http://zotero.org/groups/5072322/items/IHYVZXT4"],"itemData":{"id":958,"type":"article-journal","abstract":"Cognition is 1 of 4 domains measured by the NIH Toolbox for the Assessment of Neurological and Behavioral Function (NIH-TB), and complements modules testing motor function, sensation, and emotion. On the basis of expert panels, the cognition subdomains identified as most important for health, success in school and work, and independence in daily functioning were Executive Function, Episodic Memory, Language, Processing Speed, Working Memory, and Attention. Seven measures were designed to tap constructs within these subdomains. The instruments were validated in English, in a sample of 476 participants ranging in age from 3 to 85 years, with representation from both sexes, 3 racial/ethnic categories, and 3 levels of education. This report describes the development of the Cognition Battery and presents results on test-retest reliability, age effects on performance, and convergent and discriminant construct validity. The NIH-TB Cognition Battery is intended to serve as a brief, convenient set of measures to supplement other outcome measures in epidemiologic and longitudinal research and clinical trials. With a computerized format and national standardization, this battery will provide a \"common currency\" among researchers for comparisons across a wide range of studies and populations.","container-title":"Neurology","DOI":"10.1212/WNL.0b013e3182872ded","ISSN":"1526-632X","issue":"11 Suppl 3","journalAbbreviation":"Neurology","language":"eng","page":"S54-64","PMID":"23479546","PMCID":"PMC3662346","source":"PubMed","title":"Cognition assessment using the NIH Toolbox","volume":"80","author":[{"family":"Weintraub","given":"Sandra"},{"family":"Dikmen","given":"Sureyya S."},{"family":"Heaton","given":"Robert K."},{"family":"Tulsky","given":"David S."},{"family":"Zelazo","given":"Philip D."},{"family":"Bauer","given":"Patricia J."},{"family":"Carlozzi","given":"Noelle E."},{"family":"Slotkin","given":"Jerry"},{"family":"Blitz","given":"David"},{"family":"Wallner-Allen","given":"Kathleen"},{"family":"Fox","given":"Nathan A."},{"family":"Beaumont","given":"Jennifer L."},{"family":"Mungas","given":"Dan"},{"family":"Nowinski","given":"Cindy J."},{"family":"Richler","given":"Jennifer"},{"family":"Deocampo","given":"Joanne A."},{"family":"Anderson","given":"Jacob E."},{"family":"Manly","given":"Jennifer J."},{"family":"Borosh","given":"Beth"},{"family":"Havlik","given":"Richard"},{"family":"Conway","given":"Kevin"},{"family":"Edwards","given":"Emmeline"},{"family":"Freund","given":"Lisa"},{"family":"King","given":"Jonathan W."},{"family":"Moy","given":"Claudia"},{"family":"Witt","given":"Ellen"},{"family":"Gershon","given":"Richard C."}],"issued":{"date-parts":[["2013",3,12]]}}}],"schema":"https://github.com/citation-style-language/schema/raw/master/csl-citation.json"} </w:instrText>
      </w:r>
      <w:r w:rsidRPr="004A5577">
        <w:rPr>
          <w:rFonts w:ascii="Times New Roman" w:hAnsi="Times New Roman"/>
          <w:sz w:val="22"/>
          <w:szCs w:val="22"/>
        </w:rPr>
        <w:fldChar w:fldCharType="separate"/>
      </w:r>
      <w:r w:rsidRPr="004A5577">
        <w:rPr>
          <w:rFonts w:ascii="Times New Roman" w:hAnsi="Times New Roman"/>
          <w:kern w:val="0"/>
          <w:sz w:val="22"/>
          <w:vertAlign w:val="superscript"/>
        </w:rPr>
        <w:t>3</w:t>
      </w:r>
      <w:r w:rsidRPr="004A5577">
        <w:rPr>
          <w:rFonts w:ascii="Times New Roman" w:hAnsi="Times New Roman"/>
          <w:sz w:val="22"/>
          <w:szCs w:val="22"/>
        </w:rPr>
        <w:fldChar w:fldCharType="end"/>
      </w:r>
      <w:r w:rsidRPr="004A5577">
        <w:rPr>
          <w:rFonts w:ascii="Times New Roman" w:hAnsi="Times New Roman"/>
          <w:sz w:val="22"/>
          <w:szCs w:val="22"/>
        </w:rPr>
        <w:t xml:space="preserve">. </w:t>
      </w:r>
      <w:bookmarkStart w:id="0" w:name="OLE_LINK13"/>
      <w:bookmarkStart w:id="1" w:name="OLE_LINK14"/>
      <w:r w:rsidRPr="004A5577">
        <w:rPr>
          <w:rFonts w:ascii="Times New Roman" w:hAnsi="Times New Roman"/>
          <w:sz w:val="22"/>
          <w:szCs w:val="22"/>
        </w:rPr>
        <w:t>Detailed descriptions of each test are provided in the NIHTB Scoring and Interpretation Guide</w:t>
      </w:r>
      <w:bookmarkEnd w:id="0"/>
      <w:bookmarkEnd w:id="1"/>
      <w:r w:rsidRPr="004A5577">
        <w:rPr>
          <w:rFonts w:ascii="Times New Roman" w:hAnsi="Times New Roman"/>
          <w:sz w:val="22"/>
          <w:szCs w:val="22"/>
        </w:rPr>
        <w:fldChar w:fldCharType="begin"/>
      </w:r>
      <w:r>
        <w:rPr>
          <w:rFonts w:ascii="Times New Roman" w:hAnsi="Times New Roman"/>
          <w:sz w:val="22"/>
          <w:szCs w:val="22"/>
        </w:rPr>
        <w:instrText xml:space="preserve"> ADDIN ZOTERO_ITEM CSL_CITATION {"citationID":"0mvNUx8W","properties":{"formattedCitation":"\\super 4\\nosupersub{}","plainCitation":"4","noteIndex":0},"citationItems":[{"id":"aMjHwpf5/8Qng5NHC","uris":["http://zotero.org/groups/5072322/items/HZEVTIDD"],"itemData":{"id":953,"type":"post-weblog","container-title":"NIH Toolbox","language":"en-US","title":"Cognition Assessments","URL":"https://nih-toolbox-new.lndo.site/domain/cognition/","accessed":{"date-parts":[["2026",3,13]]}}}],"schema":"https://github.com/citation-style-language/schema/raw/master/csl-citation.json"} </w:instrText>
      </w:r>
      <w:r w:rsidRPr="004A5577">
        <w:rPr>
          <w:rFonts w:ascii="Times New Roman" w:hAnsi="Times New Roman"/>
          <w:sz w:val="22"/>
          <w:szCs w:val="22"/>
        </w:rPr>
        <w:fldChar w:fldCharType="separate"/>
      </w:r>
      <w:r w:rsidRPr="004A5577">
        <w:rPr>
          <w:rFonts w:ascii="Times New Roman" w:hAnsi="Times New Roman"/>
          <w:kern w:val="0"/>
          <w:sz w:val="22"/>
          <w:vertAlign w:val="superscript"/>
        </w:rPr>
        <w:t>4</w:t>
      </w:r>
      <w:r w:rsidRPr="004A5577">
        <w:rPr>
          <w:rFonts w:ascii="Times New Roman" w:hAnsi="Times New Roman"/>
          <w:sz w:val="22"/>
          <w:szCs w:val="22"/>
        </w:rPr>
        <w:fldChar w:fldCharType="end"/>
      </w:r>
      <w:r w:rsidRPr="004A5577">
        <w:rPr>
          <w:rFonts w:ascii="Times New Roman" w:hAnsi="Times New Roman"/>
          <w:sz w:val="22"/>
          <w:szCs w:val="22"/>
        </w:rPr>
        <w:t>. The entire assessment was conducted using a tablet via a downloadable app. Age-corrected standard scores were calculated for each cognitive domain, with composite scores generated for Fluid Cognition (reasoning, processing speed, executive function, and working memory), Crystallized Cognition (vocabulary and reading), and Total Cognition (overall cognitive function). The Composite Score is derived by averaging the standard scores of each of the measures and then deriving standard scores based on this new distribution. Higher scores indicate higher levels of functioning, and age-corrected standard scores are available for comparison.</w:t>
      </w:r>
      <w:r>
        <w:rPr>
          <w:rFonts w:ascii="Times New Roman" w:hAnsi="Times New Roman"/>
          <w:sz w:val="22"/>
          <w:szCs w:val="22"/>
        </w:rPr>
        <w:t xml:space="preserve"> </w:t>
      </w:r>
      <w:r w:rsidRPr="006A0356">
        <w:rPr>
          <w:rFonts w:ascii="Times New Roman" w:hAnsi="Times New Roman"/>
          <w:sz w:val="22"/>
          <w:szCs w:val="22"/>
        </w:rPr>
        <w:t>The NIH</w:t>
      </w:r>
      <w:r>
        <w:rPr>
          <w:rFonts w:ascii="Times New Roman" w:hAnsi="Times New Roman"/>
          <w:sz w:val="22"/>
          <w:szCs w:val="22"/>
        </w:rPr>
        <w:t xml:space="preserve">TB </w:t>
      </w:r>
      <w:r w:rsidRPr="006A0356">
        <w:rPr>
          <w:rFonts w:ascii="Times New Roman" w:hAnsi="Times New Roman"/>
          <w:sz w:val="22"/>
          <w:szCs w:val="22"/>
        </w:rPr>
        <w:t>includes multiple cognitive assessments with distinct scoring ranges. The Picture Vocabulary Test (TPVT) and Oral Reading Recognition Test generate computed scores ranging approximately from 200–2000 and 500–2500, respectively, along with age-adjusted scale scores (mean = 100), where ~115 indicates above average, ~130 superior, ~85 below average, and ≤70 significant impairment. The Flanker Inhibitory Control and Attention Test and the Dimensional Change Card Sort (DCCS) use a two-vector scoring system (accuracy and reaction time), producing computed scores from 0–10. The Picture Sequence Memory Test yields computed scores of approximately 200–700 based on episodic memory performance, while the List Sorting Working Memory Test ranges from 0–26 based on correct recall and sequencing. Composite measures, including Fluid and Crystallized Cognition, are reported as age-adjusted scale scores (mean=</w:t>
      </w:r>
      <w:r w:rsidRPr="00C15041">
        <w:rPr>
          <w:rFonts w:ascii="Times New Roman" w:hAnsi="Times New Roman"/>
          <w:sz w:val="22"/>
          <w:szCs w:val="22"/>
        </w:rPr>
        <w:t xml:space="preserve">100) with similar interpretive thresholds: ~115 (above average), ~130 (superior), ~85 (below average), and ≤70 (significant impairment). </w:t>
      </w:r>
    </w:p>
    <w:p w14:paraId="5AAB8CB7" w14:textId="5A8687D3" w:rsidR="00B94C35" w:rsidRPr="001D110D" w:rsidRDefault="00B94C35" w:rsidP="00B94C35">
      <w:pPr>
        <w:spacing w:after="0" w:line="360" w:lineRule="auto"/>
        <w:jc w:val="both"/>
        <w:rPr>
          <w:rFonts w:ascii="Times New Roman" w:hAnsi="Times New Roman"/>
          <w:sz w:val="22"/>
          <w:szCs w:val="22"/>
        </w:rPr>
      </w:pPr>
    </w:p>
    <w:p w14:paraId="5457673A" w14:textId="77777777" w:rsidR="00B94C35" w:rsidRDefault="00B94C35" w:rsidP="001D110D">
      <w:pPr>
        <w:spacing w:after="0" w:line="360" w:lineRule="auto"/>
        <w:jc w:val="both"/>
        <w:rPr>
          <w:rFonts w:ascii="Times New Roman" w:hAnsi="Times New Roman"/>
          <w:sz w:val="22"/>
          <w:szCs w:val="22"/>
        </w:rPr>
      </w:pPr>
    </w:p>
    <w:p w14:paraId="3CD940F0" w14:textId="4EEFF097" w:rsidR="00B94C35" w:rsidRPr="00B94C35" w:rsidRDefault="00B94C35" w:rsidP="001D110D">
      <w:pPr>
        <w:spacing w:after="0" w:line="360" w:lineRule="auto"/>
        <w:jc w:val="both"/>
        <w:rPr>
          <w:rFonts w:ascii="Times New Roman" w:hAnsi="Times New Roman"/>
          <w:b/>
          <w:bCs/>
          <w:i/>
          <w:iCs/>
          <w:sz w:val="22"/>
          <w:szCs w:val="22"/>
        </w:rPr>
      </w:pPr>
      <w:r w:rsidRPr="00B94C35">
        <w:rPr>
          <w:rFonts w:ascii="Times New Roman" w:hAnsi="Times New Roman"/>
          <w:b/>
          <w:bCs/>
          <w:i/>
          <w:iCs/>
          <w:sz w:val="22"/>
          <w:szCs w:val="22"/>
        </w:rPr>
        <w:lastRenderedPageBreak/>
        <w:t>Analysis using Categorical Cognition Outcomes</w:t>
      </w:r>
    </w:p>
    <w:p w14:paraId="348751BF" w14:textId="4CE2A845" w:rsidR="00B94C35" w:rsidRDefault="0012344F" w:rsidP="001D110D">
      <w:pPr>
        <w:spacing w:after="0" w:line="360" w:lineRule="auto"/>
        <w:jc w:val="both"/>
        <w:rPr>
          <w:rFonts w:ascii="Times New Roman" w:hAnsi="Times New Roman"/>
          <w:sz w:val="22"/>
          <w:szCs w:val="22"/>
        </w:rPr>
      </w:pPr>
      <w:r w:rsidRPr="0012344F">
        <w:rPr>
          <w:rFonts w:ascii="Times New Roman" w:hAnsi="Times New Roman"/>
          <w:sz w:val="22"/>
          <w:szCs w:val="22"/>
        </w:rPr>
        <w:t>In addition to the continuous cognitive scores used in the primary analyses, we explored categorical operationalizations of both instruments to confirm that the observed taxon–cognition associations were not artifacts of the modeling scale. Cognitive performance on each instrument was grouped into ordinal categories and, where sample sizes permitted, dichotomized, and the differential abundance and diversity analyses were repeated across these groupings. The thresholding approaches we evaluated for each instrument, and the rationale for the final categorizations, are described below</w:t>
      </w:r>
    </w:p>
    <w:p w14:paraId="29FA6CF3" w14:textId="5182046F" w:rsidR="004A5577" w:rsidRPr="001D110D" w:rsidRDefault="004A5577" w:rsidP="004A5577">
      <w:pPr>
        <w:pStyle w:val="ListParagraph"/>
        <w:numPr>
          <w:ilvl w:val="0"/>
          <w:numId w:val="4"/>
        </w:numPr>
        <w:spacing w:after="0" w:line="276" w:lineRule="auto"/>
        <w:jc w:val="both"/>
        <w:rPr>
          <w:rFonts w:ascii="Times New Roman" w:hAnsi="Times New Roman"/>
          <w:sz w:val="22"/>
          <w:szCs w:val="22"/>
        </w:rPr>
      </w:pPr>
      <w:r w:rsidRPr="001D110D">
        <w:rPr>
          <w:rFonts w:ascii="Times New Roman" w:hAnsi="Times New Roman"/>
          <w:sz w:val="22"/>
          <w:szCs w:val="22"/>
        </w:rPr>
        <w:t>NeuroScreen</w:t>
      </w:r>
    </w:p>
    <w:p w14:paraId="23C4FD99" w14:textId="77777777" w:rsidR="004A5577" w:rsidRPr="006A0356" w:rsidRDefault="004A5577" w:rsidP="004A5577">
      <w:pPr>
        <w:spacing w:after="0" w:line="360" w:lineRule="auto"/>
        <w:jc w:val="both"/>
        <w:rPr>
          <w:rFonts w:ascii="Times New Roman" w:hAnsi="Times New Roman"/>
          <w:sz w:val="22"/>
          <w:szCs w:val="22"/>
        </w:rPr>
      </w:pPr>
      <w:r w:rsidRPr="001D110D">
        <w:rPr>
          <w:rFonts w:ascii="Times New Roman" w:hAnsi="Times New Roman"/>
          <w:sz w:val="22"/>
          <w:szCs w:val="22"/>
        </w:rPr>
        <w:t>Participants were categorized into three neurocognitive groups based on percentile thresholds commonly used in cognitive screening frameworks</w:t>
      </w:r>
      <w:r w:rsidRPr="006A0356">
        <w:rPr>
          <w:rFonts w:ascii="Times New Roman" w:hAnsi="Times New Roman"/>
          <w:sz w:val="22"/>
          <w:szCs w:val="22"/>
        </w:rPr>
        <w:t>:</w:t>
      </w:r>
    </w:p>
    <w:p w14:paraId="57418FC0" w14:textId="77777777" w:rsidR="004A5577" w:rsidRPr="006A0356" w:rsidRDefault="004A5577" w:rsidP="004A5577">
      <w:pPr>
        <w:numPr>
          <w:ilvl w:val="0"/>
          <w:numId w:val="2"/>
        </w:numPr>
        <w:spacing w:after="0" w:line="360" w:lineRule="auto"/>
        <w:jc w:val="both"/>
        <w:rPr>
          <w:rFonts w:ascii="Times New Roman" w:hAnsi="Times New Roman"/>
          <w:sz w:val="22"/>
          <w:szCs w:val="22"/>
        </w:rPr>
      </w:pPr>
      <w:r w:rsidRPr="006A0356">
        <w:rPr>
          <w:rFonts w:ascii="Times New Roman" w:hAnsi="Times New Roman"/>
          <w:i/>
          <w:iCs/>
          <w:sz w:val="22"/>
          <w:szCs w:val="22"/>
        </w:rPr>
        <w:t>Below Average</w:t>
      </w:r>
      <w:r w:rsidRPr="006A0356">
        <w:rPr>
          <w:rFonts w:ascii="Times New Roman" w:hAnsi="Times New Roman"/>
          <w:sz w:val="22"/>
          <w:szCs w:val="22"/>
        </w:rPr>
        <w:t>: &lt;25th percentile</w:t>
      </w:r>
    </w:p>
    <w:p w14:paraId="0934A94C" w14:textId="77777777" w:rsidR="004A5577" w:rsidRPr="006A0356" w:rsidRDefault="004A5577" w:rsidP="004A5577">
      <w:pPr>
        <w:numPr>
          <w:ilvl w:val="0"/>
          <w:numId w:val="2"/>
        </w:numPr>
        <w:spacing w:after="0" w:line="360" w:lineRule="auto"/>
        <w:jc w:val="both"/>
        <w:rPr>
          <w:rFonts w:ascii="Times New Roman" w:hAnsi="Times New Roman"/>
          <w:sz w:val="22"/>
          <w:szCs w:val="22"/>
        </w:rPr>
      </w:pPr>
      <w:r w:rsidRPr="006A0356">
        <w:rPr>
          <w:rFonts w:ascii="Times New Roman" w:hAnsi="Times New Roman"/>
          <w:i/>
          <w:iCs/>
          <w:sz w:val="22"/>
          <w:szCs w:val="22"/>
        </w:rPr>
        <w:t>Average</w:t>
      </w:r>
      <w:r w:rsidRPr="006A0356">
        <w:rPr>
          <w:rFonts w:ascii="Times New Roman" w:hAnsi="Times New Roman"/>
          <w:sz w:val="22"/>
          <w:szCs w:val="22"/>
        </w:rPr>
        <w:t>: 25th–75th percentile</w:t>
      </w:r>
    </w:p>
    <w:p w14:paraId="444F7557" w14:textId="77777777" w:rsidR="004A5577" w:rsidRPr="006A0356" w:rsidRDefault="004A5577" w:rsidP="004A5577">
      <w:pPr>
        <w:numPr>
          <w:ilvl w:val="0"/>
          <w:numId w:val="2"/>
        </w:numPr>
        <w:spacing w:after="0" w:line="360" w:lineRule="auto"/>
        <w:jc w:val="both"/>
        <w:rPr>
          <w:rFonts w:ascii="Times New Roman" w:hAnsi="Times New Roman"/>
          <w:sz w:val="22"/>
          <w:szCs w:val="22"/>
        </w:rPr>
      </w:pPr>
      <w:r w:rsidRPr="006A0356">
        <w:rPr>
          <w:rFonts w:ascii="Times New Roman" w:hAnsi="Times New Roman"/>
          <w:i/>
          <w:iCs/>
          <w:sz w:val="22"/>
          <w:szCs w:val="22"/>
        </w:rPr>
        <w:t>Above Average</w:t>
      </w:r>
      <w:r w:rsidRPr="006A0356">
        <w:rPr>
          <w:rFonts w:ascii="Times New Roman" w:hAnsi="Times New Roman"/>
          <w:sz w:val="22"/>
          <w:szCs w:val="22"/>
        </w:rPr>
        <w:t>: &gt;75th percentile</w:t>
      </w:r>
    </w:p>
    <w:p w14:paraId="5839916C" w14:textId="63601FF6" w:rsidR="004A5577" w:rsidRDefault="004A5577" w:rsidP="004A5577">
      <w:pPr>
        <w:spacing w:after="0" w:line="360" w:lineRule="auto"/>
        <w:jc w:val="both"/>
        <w:rPr>
          <w:rFonts w:ascii="Times New Roman" w:hAnsi="Times New Roman"/>
          <w:sz w:val="22"/>
          <w:szCs w:val="22"/>
        </w:rPr>
      </w:pPr>
      <w:r w:rsidRPr="006A0356">
        <w:rPr>
          <w:rFonts w:ascii="Times New Roman" w:hAnsi="Times New Roman"/>
          <w:sz w:val="22"/>
          <w:szCs w:val="22"/>
        </w:rPr>
        <w:t>However, because sample sizes were uneven across these categories, particularly within HIV-stratified subsets</w:t>
      </w:r>
      <w:r>
        <w:rPr>
          <w:rFonts w:ascii="Times New Roman" w:hAnsi="Times New Roman"/>
          <w:sz w:val="22"/>
          <w:szCs w:val="22"/>
        </w:rPr>
        <w:t xml:space="preserve">, we dichotomized the variable by combining </w:t>
      </w:r>
      <w:r w:rsidRPr="004C5CE4">
        <w:rPr>
          <w:rFonts w:ascii="Times New Roman" w:hAnsi="Times New Roman"/>
          <w:i/>
          <w:iCs/>
          <w:sz w:val="22"/>
          <w:szCs w:val="22"/>
        </w:rPr>
        <w:t>Average</w:t>
      </w:r>
      <w:r>
        <w:rPr>
          <w:rFonts w:ascii="Times New Roman" w:hAnsi="Times New Roman"/>
          <w:sz w:val="22"/>
          <w:szCs w:val="22"/>
        </w:rPr>
        <w:t xml:space="preserve"> and </w:t>
      </w:r>
      <w:r w:rsidRPr="004C5CE4">
        <w:rPr>
          <w:rFonts w:ascii="Times New Roman" w:hAnsi="Times New Roman"/>
          <w:i/>
          <w:iCs/>
          <w:sz w:val="22"/>
          <w:szCs w:val="22"/>
        </w:rPr>
        <w:t>Above Average</w:t>
      </w:r>
      <w:r>
        <w:rPr>
          <w:rFonts w:ascii="Times New Roman" w:hAnsi="Times New Roman"/>
          <w:sz w:val="22"/>
          <w:szCs w:val="22"/>
        </w:rPr>
        <w:t xml:space="preserve"> categories into a single</w:t>
      </w:r>
      <w:r w:rsidRPr="004C5CE4">
        <w:rPr>
          <w:rFonts w:ascii="Times New Roman" w:hAnsi="Times New Roman"/>
          <w:i/>
          <w:iCs/>
          <w:sz w:val="22"/>
          <w:szCs w:val="22"/>
        </w:rPr>
        <w:t xml:space="preserve"> Above Average</w:t>
      </w:r>
      <w:r>
        <w:rPr>
          <w:rFonts w:ascii="Times New Roman" w:hAnsi="Times New Roman"/>
          <w:sz w:val="22"/>
          <w:szCs w:val="22"/>
        </w:rPr>
        <w:t xml:space="preserve"> category. This classification maintained an adequate sample size within each category. </w:t>
      </w:r>
      <w:r w:rsidR="00B94C35" w:rsidRPr="003D4661">
        <w:rPr>
          <w:rFonts w:ascii="Times New Roman" w:hAnsi="Times New Roman"/>
          <w:sz w:val="22"/>
          <w:szCs w:val="22"/>
        </w:rPr>
        <w:t xml:space="preserve">Several thresholding approaches were considered before finalizing the categorical NeuroScreen outcome. We first defined categories to align the group sizes with the NIH Toolbox distribution, applying an upper cutoff at the 98th percentile for </w:t>
      </w:r>
      <w:r w:rsidR="00B94C35" w:rsidRPr="003D4661">
        <w:rPr>
          <w:rFonts w:ascii="Times New Roman" w:hAnsi="Times New Roman"/>
          <w:i/>
          <w:iCs/>
          <w:sz w:val="22"/>
          <w:szCs w:val="22"/>
        </w:rPr>
        <w:t>Above Average</w:t>
      </w:r>
      <w:r w:rsidR="00B94C35" w:rsidRPr="003D4661">
        <w:rPr>
          <w:rFonts w:ascii="Times New Roman" w:hAnsi="Times New Roman"/>
          <w:sz w:val="22"/>
          <w:szCs w:val="22"/>
        </w:rPr>
        <w:t xml:space="preserve">, 85th–98th for </w:t>
      </w:r>
      <w:r w:rsidR="00B94C35" w:rsidRPr="003D4661">
        <w:rPr>
          <w:rFonts w:ascii="Times New Roman" w:hAnsi="Times New Roman"/>
          <w:i/>
          <w:iCs/>
          <w:sz w:val="22"/>
          <w:szCs w:val="22"/>
        </w:rPr>
        <w:t>Average</w:t>
      </w:r>
      <w:r w:rsidR="00B94C35" w:rsidRPr="003D4661">
        <w:rPr>
          <w:rFonts w:ascii="Times New Roman" w:hAnsi="Times New Roman"/>
          <w:sz w:val="22"/>
          <w:szCs w:val="22"/>
        </w:rPr>
        <w:t xml:space="preserve">, and below the 85th percentile for </w:t>
      </w:r>
      <w:r w:rsidR="00B94C35" w:rsidRPr="003D4661">
        <w:rPr>
          <w:rFonts w:ascii="Times New Roman" w:hAnsi="Times New Roman"/>
          <w:i/>
          <w:iCs/>
          <w:sz w:val="22"/>
          <w:szCs w:val="22"/>
        </w:rPr>
        <w:t>Below Average</w:t>
      </w:r>
      <w:r w:rsidR="00B94C35" w:rsidRPr="003D4661">
        <w:rPr>
          <w:rFonts w:ascii="Times New Roman" w:hAnsi="Times New Roman"/>
          <w:sz w:val="22"/>
          <w:szCs w:val="22"/>
        </w:rPr>
        <w:t xml:space="preserve">. This scheme produced highly unbalanced groups, particularly within HIV strata. We next evaluated a percentile-based split at the 50th and 75th percentiles and finally adopted a three-category classification using the 25th, 50th, and 75th percentiles, consistent with conventional cognitive-screening thresholds. Because sample sizes remained uneven across the three categories within HIV-stratified subsets, the primary analyses dichotomized the outcome by collapsing the </w:t>
      </w:r>
      <w:r w:rsidR="00B94C35" w:rsidRPr="003D4661">
        <w:rPr>
          <w:rFonts w:ascii="Times New Roman" w:hAnsi="Times New Roman"/>
          <w:i/>
          <w:iCs/>
          <w:sz w:val="22"/>
          <w:szCs w:val="22"/>
        </w:rPr>
        <w:t>Average</w:t>
      </w:r>
      <w:r w:rsidR="00B94C35" w:rsidRPr="003D4661">
        <w:rPr>
          <w:rFonts w:ascii="Times New Roman" w:hAnsi="Times New Roman"/>
          <w:sz w:val="22"/>
          <w:szCs w:val="22"/>
        </w:rPr>
        <w:t xml:space="preserve"> and </w:t>
      </w:r>
      <w:r w:rsidR="00B94C35" w:rsidRPr="003D4661">
        <w:rPr>
          <w:rFonts w:ascii="Times New Roman" w:hAnsi="Times New Roman"/>
          <w:i/>
          <w:iCs/>
          <w:sz w:val="22"/>
          <w:szCs w:val="22"/>
        </w:rPr>
        <w:t>Above Average</w:t>
      </w:r>
      <w:r w:rsidR="00B94C35" w:rsidRPr="003D4661">
        <w:rPr>
          <w:rFonts w:ascii="Times New Roman" w:hAnsi="Times New Roman"/>
          <w:sz w:val="22"/>
          <w:szCs w:val="22"/>
        </w:rPr>
        <w:t xml:space="preserve"> categories into a single </w:t>
      </w:r>
      <w:r w:rsidR="00B94C35" w:rsidRPr="003D4661">
        <w:rPr>
          <w:rFonts w:ascii="Times New Roman" w:hAnsi="Times New Roman"/>
          <w:i/>
          <w:iCs/>
          <w:sz w:val="22"/>
          <w:szCs w:val="22"/>
        </w:rPr>
        <w:t>Above Average</w:t>
      </w:r>
      <w:r w:rsidR="00B94C35" w:rsidRPr="003D4661">
        <w:rPr>
          <w:rFonts w:ascii="Times New Roman" w:hAnsi="Times New Roman"/>
          <w:sz w:val="22"/>
          <w:szCs w:val="22"/>
        </w:rPr>
        <w:t xml:space="preserve"> group (≥25th percentile) versus </w:t>
      </w:r>
      <w:r w:rsidR="00B94C35" w:rsidRPr="003D4661">
        <w:rPr>
          <w:rFonts w:ascii="Times New Roman" w:hAnsi="Times New Roman"/>
          <w:i/>
          <w:iCs/>
          <w:sz w:val="22"/>
          <w:szCs w:val="22"/>
        </w:rPr>
        <w:t>Below Average</w:t>
      </w:r>
      <w:r w:rsidR="00B94C35" w:rsidRPr="003D4661">
        <w:rPr>
          <w:rFonts w:ascii="Times New Roman" w:hAnsi="Times New Roman"/>
          <w:sz w:val="22"/>
          <w:szCs w:val="22"/>
        </w:rPr>
        <w:t xml:space="preserve"> (&lt;25th percentile). The three-category classification was retained for sensitivity analyses (below).</w:t>
      </w:r>
    </w:p>
    <w:p w14:paraId="44BB5EFB" w14:textId="77777777" w:rsidR="001D110D" w:rsidRDefault="001D110D" w:rsidP="004A5577">
      <w:pPr>
        <w:spacing w:after="0" w:line="360" w:lineRule="auto"/>
        <w:jc w:val="both"/>
        <w:rPr>
          <w:rFonts w:ascii="Times New Roman" w:hAnsi="Times New Roman"/>
          <w:sz w:val="22"/>
          <w:szCs w:val="22"/>
        </w:rPr>
      </w:pPr>
    </w:p>
    <w:p w14:paraId="15D3D27D" w14:textId="00277511" w:rsidR="004A5577" w:rsidRPr="001D110D" w:rsidRDefault="004A5577" w:rsidP="004A5577">
      <w:pPr>
        <w:pStyle w:val="ListParagraph"/>
        <w:numPr>
          <w:ilvl w:val="0"/>
          <w:numId w:val="4"/>
        </w:numPr>
        <w:spacing w:after="0" w:line="360" w:lineRule="auto"/>
        <w:jc w:val="both"/>
        <w:rPr>
          <w:rFonts w:ascii="Times New Roman" w:hAnsi="Times New Roman"/>
          <w:sz w:val="22"/>
          <w:szCs w:val="22"/>
        </w:rPr>
      </w:pPr>
      <w:r w:rsidRPr="001D110D">
        <w:rPr>
          <w:rFonts w:ascii="Times New Roman" w:hAnsi="Times New Roman"/>
          <w:sz w:val="22"/>
          <w:szCs w:val="22"/>
        </w:rPr>
        <w:t>NIH Toolbox (NIHTB)</w:t>
      </w:r>
    </w:p>
    <w:p w14:paraId="77E25CF9" w14:textId="3FDD81EF" w:rsidR="004A5577" w:rsidRPr="006A0356" w:rsidRDefault="004A5577" w:rsidP="004A5577">
      <w:pPr>
        <w:spacing w:after="0" w:line="360" w:lineRule="auto"/>
        <w:jc w:val="both"/>
        <w:rPr>
          <w:rFonts w:ascii="Times New Roman" w:hAnsi="Times New Roman"/>
          <w:sz w:val="22"/>
          <w:szCs w:val="22"/>
        </w:rPr>
      </w:pPr>
      <w:r w:rsidRPr="006A0356">
        <w:rPr>
          <w:rFonts w:ascii="Times New Roman" w:hAnsi="Times New Roman"/>
          <w:sz w:val="22"/>
          <w:szCs w:val="22"/>
        </w:rPr>
        <w:t xml:space="preserve">For the NIH Toolbox, a three-category structure was initially considered as per the instructions in the manual. However, because there were no participants in the </w:t>
      </w:r>
      <w:r w:rsidRPr="006A0356">
        <w:rPr>
          <w:rFonts w:ascii="Times New Roman" w:hAnsi="Times New Roman"/>
          <w:i/>
          <w:iCs/>
          <w:sz w:val="22"/>
          <w:szCs w:val="22"/>
        </w:rPr>
        <w:t>Above Average</w:t>
      </w:r>
      <w:r w:rsidRPr="006A0356">
        <w:rPr>
          <w:rFonts w:ascii="Times New Roman" w:hAnsi="Times New Roman"/>
          <w:sz w:val="22"/>
          <w:szCs w:val="22"/>
        </w:rPr>
        <w:t xml:space="preserve"> category within the HI group, a three-category NIH Toolbox model could not be applied consistently across HIV strata. Therefore, NIH Toolbox analyses were restricted to the binary grouping used in the main manuscript, defined as </w:t>
      </w:r>
      <w:r w:rsidRPr="006A0356">
        <w:rPr>
          <w:rFonts w:ascii="Times New Roman" w:hAnsi="Times New Roman"/>
          <w:i/>
          <w:iCs/>
          <w:sz w:val="22"/>
          <w:szCs w:val="22"/>
        </w:rPr>
        <w:t>Below Average</w:t>
      </w:r>
      <w:r w:rsidRPr="006A0356">
        <w:rPr>
          <w:rFonts w:ascii="Times New Roman" w:hAnsi="Times New Roman"/>
          <w:sz w:val="22"/>
          <w:szCs w:val="22"/>
        </w:rPr>
        <w:t xml:space="preserve"> versus </w:t>
      </w:r>
      <w:r w:rsidRPr="004C5CE4">
        <w:rPr>
          <w:rFonts w:ascii="Times New Roman" w:hAnsi="Times New Roman"/>
          <w:i/>
          <w:iCs/>
          <w:sz w:val="22"/>
          <w:szCs w:val="22"/>
        </w:rPr>
        <w:t>Above Average</w:t>
      </w:r>
      <w:r w:rsidRPr="006A0356">
        <w:rPr>
          <w:rFonts w:ascii="Times New Roman" w:hAnsi="Times New Roman"/>
          <w:sz w:val="22"/>
          <w:szCs w:val="22"/>
        </w:rPr>
        <w:t xml:space="preserve">, where the original </w:t>
      </w:r>
      <w:r w:rsidRPr="006A0356">
        <w:rPr>
          <w:rFonts w:ascii="Times New Roman" w:hAnsi="Times New Roman"/>
          <w:i/>
          <w:iCs/>
          <w:sz w:val="22"/>
          <w:szCs w:val="22"/>
        </w:rPr>
        <w:t>Average</w:t>
      </w:r>
      <w:r w:rsidRPr="006A0356">
        <w:rPr>
          <w:rFonts w:ascii="Times New Roman" w:hAnsi="Times New Roman"/>
          <w:sz w:val="22"/>
          <w:szCs w:val="22"/>
        </w:rPr>
        <w:t xml:space="preserve"> and </w:t>
      </w:r>
      <w:r w:rsidRPr="006A0356">
        <w:rPr>
          <w:rFonts w:ascii="Times New Roman" w:hAnsi="Times New Roman"/>
          <w:i/>
          <w:iCs/>
          <w:sz w:val="22"/>
          <w:szCs w:val="22"/>
        </w:rPr>
        <w:t>Above Average</w:t>
      </w:r>
      <w:r w:rsidRPr="006A0356">
        <w:rPr>
          <w:rFonts w:ascii="Times New Roman" w:hAnsi="Times New Roman"/>
          <w:sz w:val="22"/>
          <w:szCs w:val="22"/>
        </w:rPr>
        <w:t xml:space="preserve"> categories were collapsed.</w:t>
      </w:r>
    </w:p>
    <w:p w14:paraId="1071DF05" w14:textId="77777777" w:rsidR="004A5577" w:rsidRDefault="004A5577" w:rsidP="004A5577">
      <w:pPr>
        <w:spacing w:after="0" w:line="360" w:lineRule="auto"/>
        <w:jc w:val="both"/>
        <w:rPr>
          <w:rFonts w:ascii="Times New Roman" w:hAnsi="Times New Roman"/>
          <w:sz w:val="22"/>
          <w:szCs w:val="22"/>
        </w:rPr>
      </w:pPr>
    </w:p>
    <w:p w14:paraId="2D0D2A4E" w14:textId="77777777" w:rsidR="001D110D" w:rsidRPr="001D110D" w:rsidRDefault="001D110D" w:rsidP="004A5577">
      <w:pPr>
        <w:spacing w:after="0" w:line="360" w:lineRule="auto"/>
        <w:jc w:val="both"/>
        <w:rPr>
          <w:rFonts w:ascii="Times New Roman" w:hAnsi="Times New Roman"/>
          <w:b/>
          <w:bCs/>
          <w:i/>
          <w:iCs/>
          <w:sz w:val="22"/>
          <w:szCs w:val="22"/>
        </w:rPr>
      </w:pPr>
      <w:r w:rsidRPr="001D110D">
        <w:rPr>
          <w:rFonts w:ascii="Times New Roman" w:hAnsi="Times New Roman"/>
          <w:b/>
          <w:bCs/>
          <w:i/>
          <w:iCs/>
          <w:sz w:val="22"/>
          <w:szCs w:val="22"/>
        </w:rPr>
        <w:lastRenderedPageBreak/>
        <w:t>Differential Abundance Methods</w:t>
      </w:r>
    </w:p>
    <w:p w14:paraId="1A70CF45" w14:textId="7B479AC7" w:rsidR="001A6698" w:rsidRDefault="00B94C35" w:rsidP="00C90EFF">
      <w:pPr>
        <w:keepNext/>
        <w:spacing w:after="0" w:line="360" w:lineRule="auto"/>
        <w:jc w:val="both"/>
        <w:rPr>
          <w:rFonts w:ascii="Times New Roman" w:hAnsi="Times New Roman"/>
          <w:sz w:val="22"/>
          <w:szCs w:val="22"/>
        </w:rPr>
      </w:pPr>
      <w:r w:rsidRPr="00B94C35">
        <w:rPr>
          <w:rFonts w:ascii="Times New Roman" w:hAnsi="Times New Roman"/>
          <w:sz w:val="22"/>
          <w:szCs w:val="22"/>
        </w:rPr>
        <w:t>Species-level differential abundance was assessed using five complementary, covariate-adjusted frameworks spanning composition (MaAsLin2, ALDEx2), count-based (DESeq2), bias-corrected compositional (ANCOM-BC2), and reference-taxon-free (radEmu) approaches. All five were applied to the identical strict-filtered species table, with the neurocognitive outcome and the covariate set</w:t>
      </w:r>
      <w:r>
        <w:rPr>
          <w:rFonts w:ascii="Times New Roman" w:hAnsi="Times New Roman"/>
          <w:sz w:val="22"/>
          <w:szCs w:val="22"/>
        </w:rPr>
        <w:t>;</w:t>
      </w:r>
      <w:r w:rsidRPr="00B94C35">
        <w:rPr>
          <w:rFonts w:ascii="Times New Roman" w:hAnsi="Times New Roman"/>
          <w:sz w:val="22"/>
          <w:szCs w:val="22"/>
        </w:rPr>
        <w:t xml:space="preserve"> age, sex, CD4 count, CD8 count, DMFT, OHIS, and GIS specified as model terms, so that differences between methods reflected the statistical model rather than the input data. In MaAsLin2, filtered counts were centered log-ratio (CLR)–transformed per sample and modeled by linear regression with the neurocognitive outcome and usable covariates as fixed effects. In ALDEx2, filtered counts were analyzed with the generalized-linear-model workflow (128 Monte-Carlo Dirichlet instances, "all" denominator) on the same covariate-adjusted design, from which effect estimates and Benjamini–Hochberg–adjusted p-values for the outcome term were extracted. In DESeq2, filtered counts were modeled under a negative-binomial generalized linear model with the covariates and outcome in the design formula, and log₂ fold changes and Wald p-values for the outcome contrast were extracted. In ANCOM-BC2, the filtered count table and covariate-adjusted model were supplied to the ancombc2 function with bias correction and Benjamini–Hochberg adjustment, and log fold changes and adjusted p-values for the outcome term were extracted. Finally, radEmu (</w:t>
      </w:r>
      <w:proofErr w:type="spellStart"/>
      <w:r w:rsidRPr="00B94C35">
        <w:rPr>
          <w:rFonts w:ascii="Times New Roman" w:hAnsi="Times New Roman"/>
          <w:sz w:val="22"/>
          <w:szCs w:val="22"/>
        </w:rPr>
        <w:t>emuFit</w:t>
      </w:r>
      <w:proofErr w:type="spellEnd"/>
      <w:r w:rsidRPr="00B94C35">
        <w:rPr>
          <w:rFonts w:ascii="Times New Roman" w:hAnsi="Times New Roman"/>
          <w:sz w:val="22"/>
          <w:szCs w:val="22"/>
        </w:rPr>
        <w:t>) fitted directly on raw counts using the same model formula, with robust score tests computed for the taxa showing the largest absolute coefficient estimates. A taxon was considered cross-method consistent when the same direction of association was recovered among each method's top-ranked hits by at least two of the five methods; taxa additionally reaching p &lt; 0.05 in at least one method are shown in the main-text consensus figure.</w:t>
      </w:r>
    </w:p>
    <w:p w14:paraId="614E5EB2" w14:textId="77777777" w:rsidR="00C90EFF" w:rsidRPr="00C90EFF" w:rsidRDefault="00C90EFF" w:rsidP="00C90EFF">
      <w:pPr>
        <w:keepNext/>
        <w:spacing w:after="0" w:line="360" w:lineRule="auto"/>
        <w:jc w:val="both"/>
        <w:rPr>
          <w:rFonts w:ascii="Times New Roman" w:hAnsi="Times New Roman"/>
          <w:sz w:val="22"/>
          <w:szCs w:val="22"/>
        </w:rPr>
      </w:pPr>
    </w:p>
    <w:p w14:paraId="5A1FB224" w14:textId="3A9CA364" w:rsidR="001A6698" w:rsidRPr="00B94C35" w:rsidRDefault="00B94C35" w:rsidP="001A6698">
      <w:pPr>
        <w:spacing w:after="0" w:line="360" w:lineRule="auto"/>
        <w:jc w:val="both"/>
        <w:rPr>
          <w:rFonts w:ascii="Times New Roman" w:hAnsi="Times New Roman"/>
          <w:b/>
          <w:bCs/>
          <w:i/>
          <w:iCs/>
          <w:sz w:val="22"/>
          <w:szCs w:val="22"/>
        </w:rPr>
      </w:pPr>
      <w:r w:rsidRPr="00B94C35">
        <w:rPr>
          <w:rFonts w:ascii="Times New Roman" w:hAnsi="Times New Roman"/>
          <w:b/>
          <w:bCs/>
          <w:i/>
          <w:iCs/>
          <w:sz w:val="22"/>
          <w:szCs w:val="22"/>
        </w:rPr>
        <w:t>Sensitivity Analysis</w:t>
      </w:r>
    </w:p>
    <w:p w14:paraId="5DB55689" w14:textId="77777777" w:rsidR="0012344F" w:rsidRDefault="0012344F" w:rsidP="0012344F">
      <w:pPr>
        <w:spacing w:after="0" w:line="360" w:lineRule="auto"/>
        <w:jc w:val="both"/>
        <w:rPr>
          <w:rFonts w:ascii="Times New Roman" w:hAnsi="Times New Roman"/>
          <w:sz w:val="22"/>
          <w:szCs w:val="22"/>
        </w:rPr>
      </w:pPr>
      <w:r w:rsidRPr="00B94C35">
        <w:rPr>
          <w:rFonts w:ascii="Times New Roman" w:hAnsi="Times New Roman"/>
          <w:sz w:val="22"/>
          <w:szCs w:val="22"/>
        </w:rPr>
        <w:t>Using the dichotomized groupings, we re-examined oral microbial diversity and community structure across cognitive categories as a sensitivity check on the continuous-outcome findings. Diversity and composition were first compared across NeuroScreen and NIH Toolbox quartiles, stratified by HIV status. In a further collapse, quartiles were dichotomized into lower (Q1–Q2) and higher (Q3–Q4) performers, and alpha and beta diversity compared between these groups within each HIV stratum by Wilcoxon rank-sum tests and PERMANOVA, respectively. Neither diversity nor community structure differed by cognitive category in either stratum, consistent with the continuous analyses.</w:t>
      </w:r>
    </w:p>
    <w:p w14:paraId="0D01FA9B" w14:textId="10C59B44" w:rsidR="00A34287" w:rsidRDefault="00B94C35" w:rsidP="00B94C35">
      <w:pPr>
        <w:spacing w:line="360" w:lineRule="auto"/>
        <w:jc w:val="both"/>
        <w:rPr>
          <w:rFonts w:ascii="Times New Roman" w:hAnsi="Times New Roman"/>
          <w:sz w:val="22"/>
          <w:szCs w:val="22"/>
        </w:rPr>
      </w:pPr>
      <w:r w:rsidRPr="00B94C35">
        <w:rPr>
          <w:rFonts w:ascii="Times New Roman" w:hAnsi="Times New Roman"/>
          <w:sz w:val="22"/>
          <w:szCs w:val="22"/>
        </w:rPr>
        <w:t xml:space="preserve">To assess whether cognition-associated taxa were confounded by oral-disease burden, each consensus taxon was re-tested in MaAsLin2 under two nested models: a minimal model adjusted for age, sex, CD4, and CD8, and a fully adjusted model additionally including DMFT, OHIS, and GIS. Coefficients and 95% confidence intervals from both models were compared; associations were considered independent of oral </w:t>
      </w:r>
      <w:r w:rsidRPr="00B94C35">
        <w:rPr>
          <w:rFonts w:ascii="Times New Roman" w:hAnsi="Times New Roman"/>
          <w:sz w:val="22"/>
          <w:szCs w:val="22"/>
        </w:rPr>
        <w:lastRenderedPageBreak/>
        <w:t>health when effect sizes were stable, and attenuation exceeding 30% of the minimal-model coefficient was flagged as evidence that oral disease partly explained the association.</w:t>
      </w:r>
    </w:p>
    <w:p w14:paraId="0F1E7AD3" w14:textId="35CACED3" w:rsidR="0012344F" w:rsidRDefault="0012344F" w:rsidP="0012344F">
      <w:pPr>
        <w:spacing w:line="360" w:lineRule="auto"/>
        <w:jc w:val="center"/>
        <w:rPr>
          <w:rFonts w:ascii="Times New Roman" w:hAnsi="Times New Roman"/>
          <w:sz w:val="22"/>
          <w:szCs w:val="22"/>
        </w:rPr>
      </w:pPr>
      <w:r>
        <w:rPr>
          <w:noProof/>
        </w:rPr>
        <w:drawing>
          <wp:inline distT="0" distB="0" distL="0" distR="0" wp14:anchorId="406D3D55" wp14:editId="194FD90E">
            <wp:extent cx="4704055" cy="3011379"/>
            <wp:effectExtent l="0" t="0" r="1905" b="0"/>
            <wp:docPr id="11488623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975"/>
                    <a:stretch>
                      <a:fillRect/>
                    </a:stretch>
                  </pic:blipFill>
                  <pic:spPr bwMode="auto">
                    <a:xfrm>
                      <a:off x="0" y="0"/>
                      <a:ext cx="4712968" cy="3017085"/>
                    </a:xfrm>
                    <a:prstGeom prst="rect">
                      <a:avLst/>
                    </a:prstGeom>
                    <a:noFill/>
                    <a:ln>
                      <a:noFill/>
                    </a:ln>
                    <a:extLst>
                      <a:ext uri="{53640926-AAD7-44D8-BBD7-CCE9431645EC}">
                        <a14:shadowObscured xmlns:a14="http://schemas.microsoft.com/office/drawing/2010/main"/>
                      </a:ext>
                    </a:extLst>
                  </pic:spPr>
                </pic:pic>
              </a:graphicData>
            </a:graphic>
          </wp:inline>
        </w:drawing>
      </w:r>
    </w:p>
    <w:p w14:paraId="546B82C7" w14:textId="14D823E9" w:rsidR="00CB1A1F" w:rsidRDefault="00CB1A1F" w:rsidP="00CB1A1F">
      <w:pPr>
        <w:spacing w:line="240" w:lineRule="auto"/>
        <w:jc w:val="center"/>
        <w:rPr>
          <w:rFonts w:ascii="Times New Roman" w:hAnsi="Times New Roman"/>
          <w:sz w:val="22"/>
          <w:szCs w:val="22"/>
        </w:rPr>
      </w:pPr>
      <w:r w:rsidRPr="00CB1A1F">
        <w:rPr>
          <w:rFonts w:ascii="Times New Roman" w:hAnsi="Times New Roman"/>
          <w:b/>
          <w:bCs/>
          <w:sz w:val="22"/>
          <w:szCs w:val="22"/>
        </w:rPr>
        <w:t>Supplementary Figure 1</w:t>
      </w:r>
      <w:r>
        <w:rPr>
          <w:rFonts w:ascii="Times New Roman" w:hAnsi="Times New Roman"/>
          <w:sz w:val="22"/>
          <w:szCs w:val="22"/>
        </w:rPr>
        <w:t xml:space="preserve">: Differential Abundance using </w:t>
      </w:r>
      <w:r w:rsidRPr="00163D9D">
        <w:rPr>
          <w:rFonts w:ascii="Times New Roman" w:hAnsi="Times New Roman"/>
          <w:sz w:val="22"/>
          <w:szCs w:val="22"/>
        </w:rPr>
        <w:t>MaAsLin2</w:t>
      </w:r>
      <w:r>
        <w:rPr>
          <w:rFonts w:ascii="Times New Roman" w:hAnsi="Times New Roman"/>
          <w:sz w:val="22"/>
          <w:szCs w:val="22"/>
        </w:rPr>
        <w:t>: a. NeuroScreen PHIV; b. NeuroScreen HUU; c. NIHTB PHIV; d: NIHTB HUU</w:t>
      </w:r>
    </w:p>
    <w:p w14:paraId="75F00196" w14:textId="2677B67B" w:rsidR="0012344F" w:rsidRDefault="0012344F" w:rsidP="0012344F">
      <w:pPr>
        <w:spacing w:line="360" w:lineRule="auto"/>
        <w:jc w:val="center"/>
        <w:rPr>
          <w:rFonts w:ascii="Times New Roman" w:hAnsi="Times New Roman"/>
          <w:sz w:val="22"/>
          <w:szCs w:val="22"/>
        </w:rPr>
      </w:pPr>
      <w:r>
        <w:rPr>
          <w:noProof/>
        </w:rPr>
        <w:drawing>
          <wp:inline distT="0" distB="0" distL="0" distR="0" wp14:anchorId="59A05E21" wp14:editId="742061AB">
            <wp:extent cx="4601464" cy="2948712"/>
            <wp:effectExtent l="0" t="0" r="8890" b="4445"/>
            <wp:docPr id="7886296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3877"/>
                    <a:stretch>
                      <a:fillRect/>
                    </a:stretch>
                  </pic:blipFill>
                  <pic:spPr bwMode="auto">
                    <a:xfrm>
                      <a:off x="0" y="0"/>
                      <a:ext cx="4618841" cy="2959848"/>
                    </a:xfrm>
                    <a:prstGeom prst="rect">
                      <a:avLst/>
                    </a:prstGeom>
                    <a:noFill/>
                    <a:ln>
                      <a:noFill/>
                    </a:ln>
                    <a:extLst>
                      <a:ext uri="{53640926-AAD7-44D8-BBD7-CCE9431645EC}">
                        <a14:shadowObscured xmlns:a14="http://schemas.microsoft.com/office/drawing/2010/main"/>
                      </a:ext>
                    </a:extLst>
                  </pic:spPr>
                </pic:pic>
              </a:graphicData>
            </a:graphic>
          </wp:inline>
        </w:drawing>
      </w:r>
    </w:p>
    <w:p w14:paraId="77BC2711" w14:textId="6A485D78" w:rsidR="00CB1A1F" w:rsidRDefault="00CB1A1F" w:rsidP="00CB1A1F">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Pr>
          <w:rFonts w:ascii="Times New Roman" w:hAnsi="Times New Roman"/>
          <w:b/>
          <w:bCs/>
          <w:sz w:val="22"/>
          <w:szCs w:val="22"/>
        </w:rPr>
        <w:t>2</w:t>
      </w:r>
      <w:r>
        <w:rPr>
          <w:rFonts w:ascii="Times New Roman" w:hAnsi="Times New Roman"/>
          <w:sz w:val="22"/>
          <w:szCs w:val="22"/>
        </w:rPr>
        <w:t xml:space="preserve">: Differential Abundance using </w:t>
      </w:r>
      <w:r w:rsidRPr="00163D9D">
        <w:rPr>
          <w:rFonts w:ascii="Times New Roman" w:hAnsi="Times New Roman"/>
          <w:sz w:val="22"/>
          <w:szCs w:val="22"/>
        </w:rPr>
        <w:t>ALDEx2</w:t>
      </w:r>
      <w:r>
        <w:rPr>
          <w:rFonts w:ascii="Times New Roman" w:hAnsi="Times New Roman"/>
          <w:sz w:val="22"/>
          <w:szCs w:val="22"/>
        </w:rPr>
        <w:t>: a. NeuroScreen PHIV; b. NeuroScreen HUU; c. NIHTB PHIV; d: NIHTB HUU</w:t>
      </w:r>
    </w:p>
    <w:p w14:paraId="6525D729" w14:textId="77777777" w:rsidR="00CB1A1F" w:rsidRDefault="00CB1A1F" w:rsidP="0012344F">
      <w:pPr>
        <w:spacing w:line="360" w:lineRule="auto"/>
        <w:jc w:val="center"/>
        <w:rPr>
          <w:rFonts w:ascii="Times New Roman" w:hAnsi="Times New Roman"/>
          <w:sz w:val="22"/>
          <w:szCs w:val="22"/>
        </w:rPr>
      </w:pPr>
    </w:p>
    <w:p w14:paraId="7937137A" w14:textId="5838F9B4" w:rsidR="0012344F" w:rsidRDefault="0012344F" w:rsidP="0012344F">
      <w:pPr>
        <w:spacing w:line="360" w:lineRule="auto"/>
        <w:jc w:val="center"/>
        <w:rPr>
          <w:rFonts w:ascii="Times New Roman" w:hAnsi="Times New Roman"/>
          <w:sz w:val="22"/>
          <w:szCs w:val="22"/>
        </w:rPr>
      </w:pPr>
      <w:r>
        <w:rPr>
          <w:noProof/>
        </w:rPr>
        <w:lastRenderedPageBreak/>
        <w:drawing>
          <wp:inline distT="0" distB="0" distL="0" distR="0" wp14:anchorId="1CD05365" wp14:editId="31ADD064">
            <wp:extent cx="4649997" cy="2985536"/>
            <wp:effectExtent l="0" t="0" r="0" b="5715"/>
            <wp:docPr id="18329311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692"/>
                    <a:stretch>
                      <a:fillRect/>
                    </a:stretch>
                  </pic:blipFill>
                  <pic:spPr bwMode="auto">
                    <a:xfrm>
                      <a:off x="0" y="0"/>
                      <a:ext cx="4677458" cy="3003167"/>
                    </a:xfrm>
                    <a:prstGeom prst="rect">
                      <a:avLst/>
                    </a:prstGeom>
                    <a:noFill/>
                    <a:ln>
                      <a:noFill/>
                    </a:ln>
                    <a:extLst>
                      <a:ext uri="{53640926-AAD7-44D8-BBD7-CCE9431645EC}">
                        <a14:shadowObscured xmlns:a14="http://schemas.microsoft.com/office/drawing/2010/main"/>
                      </a:ext>
                    </a:extLst>
                  </pic:spPr>
                </pic:pic>
              </a:graphicData>
            </a:graphic>
          </wp:inline>
        </w:drawing>
      </w:r>
    </w:p>
    <w:p w14:paraId="326730A7" w14:textId="742D257C" w:rsidR="00CB1A1F" w:rsidRDefault="00CB1A1F" w:rsidP="00CB1A1F">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Pr>
          <w:rFonts w:ascii="Times New Roman" w:hAnsi="Times New Roman"/>
          <w:b/>
          <w:bCs/>
          <w:sz w:val="22"/>
          <w:szCs w:val="22"/>
        </w:rPr>
        <w:t>3</w:t>
      </w:r>
      <w:r>
        <w:rPr>
          <w:rFonts w:ascii="Times New Roman" w:hAnsi="Times New Roman"/>
          <w:sz w:val="22"/>
          <w:szCs w:val="22"/>
        </w:rPr>
        <w:t xml:space="preserve">: Differential Abundance using </w:t>
      </w:r>
      <w:r w:rsidRPr="00163D9D">
        <w:rPr>
          <w:rFonts w:ascii="Times New Roman" w:hAnsi="Times New Roman"/>
          <w:sz w:val="22"/>
          <w:szCs w:val="22"/>
        </w:rPr>
        <w:t>DESeq2</w:t>
      </w:r>
      <w:r>
        <w:rPr>
          <w:rFonts w:ascii="Times New Roman" w:hAnsi="Times New Roman"/>
          <w:sz w:val="22"/>
          <w:szCs w:val="22"/>
        </w:rPr>
        <w:t>: a. NeuroScreen PHIV; b. NeuroScreen HUU; c. NIHTB PHIV; d: NIHTB HUU</w:t>
      </w:r>
    </w:p>
    <w:p w14:paraId="10AF5BF3" w14:textId="77777777" w:rsidR="00CB1A1F" w:rsidRDefault="00CB1A1F" w:rsidP="0012344F">
      <w:pPr>
        <w:spacing w:line="360" w:lineRule="auto"/>
        <w:jc w:val="center"/>
        <w:rPr>
          <w:rFonts w:ascii="Times New Roman" w:hAnsi="Times New Roman"/>
          <w:sz w:val="22"/>
          <w:szCs w:val="22"/>
        </w:rPr>
      </w:pPr>
    </w:p>
    <w:p w14:paraId="68ED5E7C" w14:textId="77777777" w:rsidR="00CB1A1F" w:rsidRDefault="0012344F" w:rsidP="0012344F">
      <w:pPr>
        <w:spacing w:line="360" w:lineRule="auto"/>
        <w:jc w:val="center"/>
        <w:rPr>
          <w:rFonts w:ascii="Times New Roman" w:hAnsi="Times New Roman"/>
          <w:sz w:val="22"/>
          <w:szCs w:val="22"/>
        </w:rPr>
      </w:pPr>
      <w:r>
        <w:rPr>
          <w:noProof/>
        </w:rPr>
        <w:drawing>
          <wp:inline distT="0" distB="0" distL="0" distR="0" wp14:anchorId="1FDECCA6" wp14:editId="40D7CBAF">
            <wp:extent cx="4987444" cy="3196057"/>
            <wp:effectExtent l="0" t="0" r="3810" b="4445"/>
            <wp:docPr id="14944965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877"/>
                    <a:stretch>
                      <a:fillRect/>
                    </a:stretch>
                  </pic:blipFill>
                  <pic:spPr bwMode="auto">
                    <a:xfrm>
                      <a:off x="0" y="0"/>
                      <a:ext cx="5001734" cy="3205214"/>
                    </a:xfrm>
                    <a:prstGeom prst="rect">
                      <a:avLst/>
                    </a:prstGeom>
                    <a:noFill/>
                    <a:ln>
                      <a:noFill/>
                    </a:ln>
                    <a:extLst>
                      <a:ext uri="{53640926-AAD7-44D8-BBD7-CCE9431645EC}">
                        <a14:shadowObscured xmlns:a14="http://schemas.microsoft.com/office/drawing/2010/main"/>
                      </a:ext>
                    </a:extLst>
                  </pic:spPr>
                </pic:pic>
              </a:graphicData>
            </a:graphic>
          </wp:inline>
        </w:drawing>
      </w:r>
    </w:p>
    <w:p w14:paraId="3C693976" w14:textId="28210E0D" w:rsidR="00CB1A1F" w:rsidRDefault="00CB1A1F" w:rsidP="00CB1A1F">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Pr>
          <w:rFonts w:ascii="Times New Roman" w:hAnsi="Times New Roman"/>
          <w:b/>
          <w:bCs/>
          <w:sz w:val="22"/>
          <w:szCs w:val="22"/>
        </w:rPr>
        <w:t>4</w:t>
      </w:r>
      <w:r>
        <w:rPr>
          <w:rFonts w:ascii="Times New Roman" w:hAnsi="Times New Roman"/>
          <w:sz w:val="22"/>
          <w:szCs w:val="22"/>
        </w:rPr>
        <w:t>: Differential Abundance using ANCOMBC2: a. NeuroScreen PHIV; b. NeuroScreen HUU; c. NIHTB PHIV; d: NIHTB HUU</w:t>
      </w:r>
    </w:p>
    <w:p w14:paraId="450DC5C7" w14:textId="77777777" w:rsidR="00CB1A1F" w:rsidRDefault="00CB1A1F" w:rsidP="0012344F">
      <w:pPr>
        <w:spacing w:line="360" w:lineRule="auto"/>
        <w:jc w:val="center"/>
        <w:rPr>
          <w:rFonts w:ascii="Times New Roman" w:hAnsi="Times New Roman"/>
          <w:sz w:val="22"/>
          <w:szCs w:val="22"/>
        </w:rPr>
      </w:pPr>
    </w:p>
    <w:p w14:paraId="6F6691B3" w14:textId="38B3E88E" w:rsidR="0012344F" w:rsidRDefault="0012344F" w:rsidP="0012344F">
      <w:pPr>
        <w:spacing w:line="360" w:lineRule="auto"/>
        <w:jc w:val="center"/>
        <w:rPr>
          <w:rFonts w:ascii="Times New Roman" w:hAnsi="Times New Roman"/>
          <w:sz w:val="22"/>
          <w:szCs w:val="22"/>
        </w:rPr>
      </w:pPr>
      <w:r>
        <w:rPr>
          <w:noProof/>
        </w:rPr>
        <w:lastRenderedPageBreak/>
        <w:drawing>
          <wp:inline distT="0" distB="0" distL="0" distR="0" wp14:anchorId="43FC4484" wp14:editId="38481844">
            <wp:extent cx="4582455" cy="2919611"/>
            <wp:effectExtent l="0" t="0" r="8890" b="0"/>
            <wp:docPr id="20307973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431"/>
                    <a:stretch>
                      <a:fillRect/>
                    </a:stretch>
                  </pic:blipFill>
                  <pic:spPr bwMode="auto">
                    <a:xfrm>
                      <a:off x="0" y="0"/>
                      <a:ext cx="4592488" cy="2926003"/>
                    </a:xfrm>
                    <a:prstGeom prst="rect">
                      <a:avLst/>
                    </a:prstGeom>
                    <a:noFill/>
                    <a:ln>
                      <a:noFill/>
                    </a:ln>
                    <a:extLst>
                      <a:ext uri="{53640926-AAD7-44D8-BBD7-CCE9431645EC}">
                        <a14:shadowObscured xmlns:a14="http://schemas.microsoft.com/office/drawing/2010/main"/>
                      </a:ext>
                    </a:extLst>
                  </pic:spPr>
                </pic:pic>
              </a:graphicData>
            </a:graphic>
          </wp:inline>
        </w:drawing>
      </w:r>
    </w:p>
    <w:p w14:paraId="49D56B23" w14:textId="74BA1082" w:rsidR="00CB1A1F" w:rsidRDefault="00CB1A1F" w:rsidP="00CB1A1F">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Pr>
          <w:rFonts w:ascii="Times New Roman" w:hAnsi="Times New Roman"/>
          <w:b/>
          <w:bCs/>
          <w:sz w:val="22"/>
          <w:szCs w:val="22"/>
        </w:rPr>
        <w:t>5</w:t>
      </w:r>
      <w:r>
        <w:rPr>
          <w:rFonts w:ascii="Times New Roman" w:hAnsi="Times New Roman"/>
          <w:sz w:val="22"/>
          <w:szCs w:val="22"/>
        </w:rPr>
        <w:t>: Differential Abundance using radEmu: a. NeuroScreen PHIV; b. NeuroScreen HUU; c. NIHTB PHIV; d: NIHTB HUU</w:t>
      </w:r>
    </w:p>
    <w:p w14:paraId="7B5C0DD1" w14:textId="77777777" w:rsidR="00CA217A" w:rsidRDefault="00CA217A" w:rsidP="00CA217A">
      <w:pPr>
        <w:spacing w:line="240" w:lineRule="auto"/>
        <w:jc w:val="center"/>
        <w:rPr>
          <w:rFonts w:ascii="Times New Roman" w:hAnsi="Times New Roman"/>
          <w:sz w:val="22"/>
          <w:szCs w:val="22"/>
        </w:rPr>
      </w:pPr>
      <w:r>
        <w:rPr>
          <w:noProof/>
        </w:rPr>
        <w:lastRenderedPageBreak/>
        <w:drawing>
          <wp:inline distT="0" distB="0" distL="0" distR="0" wp14:anchorId="387C77CA" wp14:editId="1A0C61DE">
            <wp:extent cx="5880100" cy="4739147"/>
            <wp:effectExtent l="0" t="0" r="6350" b="4445"/>
            <wp:docPr id="105301894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3284"/>
                    <a:stretch>
                      <a:fillRect/>
                    </a:stretch>
                  </pic:blipFill>
                  <pic:spPr bwMode="auto">
                    <a:xfrm>
                      <a:off x="0" y="0"/>
                      <a:ext cx="5886538" cy="4744336"/>
                    </a:xfrm>
                    <a:prstGeom prst="rect">
                      <a:avLst/>
                    </a:prstGeom>
                    <a:noFill/>
                    <a:ln>
                      <a:noFill/>
                    </a:ln>
                    <a:extLst>
                      <a:ext uri="{53640926-AAD7-44D8-BBD7-CCE9431645EC}">
                        <a14:shadowObscured xmlns:a14="http://schemas.microsoft.com/office/drawing/2010/main"/>
                      </a:ext>
                    </a:extLst>
                  </pic:spPr>
                </pic:pic>
              </a:graphicData>
            </a:graphic>
          </wp:inline>
        </w:drawing>
      </w:r>
    </w:p>
    <w:p w14:paraId="158B1206" w14:textId="3C6CB5DF" w:rsidR="00CA217A" w:rsidRDefault="00CA217A" w:rsidP="00CA217A">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Pr>
          <w:rFonts w:ascii="Times New Roman" w:hAnsi="Times New Roman"/>
          <w:b/>
          <w:bCs/>
          <w:sz w:val="22"/>
          <w:szCs w:val="22"/>
        </w:rPr>
        <w:t>6</w:t>
      </w:r>
      <w:r w:rsidRPr="00CB1A1F">
        <w:rPr>
          <w:rFonts w:ascii="Times New Roman" w:hAnsi="Times New Roman"/>
          <w:b/>
          <w:bCs/>
          <w:sz w:val="22"/>
          <w:szCs w:val="22"/>
        </w:rPr>
        <w:t>:</w:t>
      </w:r>
      <w:r>
        <w:rPr>
          <w:rFonts w:ascii="Times New Roman" w:hAnsi="Times New Roman"/>
          <w:sz w:val="22"/>
          <w:szCs w:val="22"/>
        </w:rPr>
        <w:t xml:space="preserve"> Forest Plot using NeuroScreen with minimal and fully adjusted models.</w:t>
      </w:r>
    </w:p>
    <w:p w14:paraId="133F36D7" w14:textId="77777777" w:rsidR="00CA217A" w:rsidRDefault="00CA217A" w:rsidP="00CA217A">
      <w:pPr>
        <w:spacing w:line="360" w:lineRule="auto"/>
        <w:jc w:val="center"/>
        <w:rPr>
          <w:rFonts w:ascii="Times New Roman" w:hAnsi="Times New Roman"/>
          <w:sz w:val="22"/>
          <w:szCs w:val="22"/>
        </w:rPr>
      </w:pPr>
      <w:r>
        <w:rPr>
          <w:noProof/>
        </w:rPr>
        <w:lastRenderedPageBreak/>
        <w:drawing>
          <wp:inline distT="0" distB="0" distL="0" distR="0" wp14:anchorId="6813412F" wp14:editId="45B8A97A">
            <wp:extent cx="5943600" cy="4814011"/>
            <wp:effectExtent l="0" t="0" r="0" b="5715"/>
            <wp:docPr id="20511708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805"/>
                    <a:stretch>
                      <a:fillRect/>
                    </a:stretch>
                  </pic:blipFill>
                  <pic:spPr bwMode="auto">
                    <a:xfrm>
                      <a:off x="0" y="0"/>
                      <a:ext cx="5943600" cy="4814011"/>
                    </a:xfrm>
                    <a:prstGeom prst="rect">
                      <a:avLst/>
                    </a:prstGeom>
                    <a:noFill/>
                    <a:ln>
                      <a:noFill/>
                    </a:ln>
                    <a:extLst>
                      <a:ext uri="{53640926-AAD7-44D8-BBD7-CCE9431645EC}">
                        <a14:shadowObscured xmlns:a14="http://schemas.microsoft.com/office/drawing/2010/main"/>
                      </a:ext>
                    </a:extLst>
                  </pic:spPr>
                </pic:pic>
              </a:graphicData>
            </a:graphic>
          </wp:inline>
        </w:drawing>
      </w:r>
    </w:p>
    <w:p w14:paraId="7B279498" w14:textId="1637B792" w:rsidR="00CA217A" w:rsidRDefault="00CA217A" w:rsidP="00CA217A">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Pr>
          <w:rFonts w:ascii="Times New Roman" w:hAnsi="Times New Roman"/>
          <w:b/>
          <w:bCs/>
          <w:sz w:val="22"/>
          <w:szCs w:val="22"/>
        </w:rPr>
        <w:t>7</w:t>
      </w:r>
      <w:r w:rsidRPr="00CB1A1F">
        <w:rPr>
          <w:rFonts w:ascii="Times New Roman" w:hAnsi="Times New Roman"/>
          <w:b/>
          <w:bCs/>
          <w:sz w:val="22"/>
          <w:szCs w:val="22"/>
        </w:rPr>
        <w:t>:</w:t>
      </w:r>
      <w:r>
        <w:rPr>
          <w:rFonts w:ascii="Times New Roman" w:hAnsi="Times New Roman"/>
          <w:sz w:val="22"/>
          <w:szCs w:val="22"/>
        </w:rPr>
        <w:t xml:space="preserve"> Forest Plot using NIHTB with minimal and fully adjusted models.</w:t>
      </w:r>
    </w:p>
    <w:p w14:paraId="383599DA" w14:textId="77777777" w:rsidR="00CA217A" w:rsidRDefault="00CA217A" w:rsidP="00CB1A1F">
      <w:pPr>
        <w:spacing w:line="240" w:lineRule="auto"/>
        <w:jc w:val="center"/>
        <w:rPr>
          <w:rFonts w:ascii="Times New Roman" w:hAnsi="Times New Roman"/>
          <w:sz w:val="22"/>
          <w:szCs w:val="22"/>
        </w:rPr>
      </w:pPr>
    </w:p>
    <w:p w14:paraId="028BD776" w14:textId="77777777" w:rsidR="00CB1A1F" w:rsidRDefault="00CB1A1F" w:rsidP="0012344F">
      <w:pPr>
        <w:spacing w:line="360" w:lineRule="auto"/>
        <w:jc w:val="center"/>
        <w:rPr>
          <w:rFonts w:ascii="Times New Roman" w:hAnsi="Times New Roman"/>
          <w:sz w:val="22"/>
          <w:szCs w:val="22"/>
        </w:rPr>
      </w:pPr>
    </w:p>
    <w:p w14:paraId="5FAE8CEF" w14:textId="77777777" w:rsidR="00CB1A1F" w:rsidRDefault="00CB1A1F" w:rsidP="0012344F">
      <w:pPr>
        <w:spacing w:line="360" w:lineRule="auto"/>
        <w:jc w:val="center"/>
        <w:rPr>
          <w:rFonts w:ascii="Times New Roman" w:hAnsi="Times New Roman"/>
          <w:sz w:val="22"/>
          <w:szCs w:val="22"/>
        </w:rPr>
      </w:pPr>
      <w:r>
        <w:rPr>
          <w:noProof/>
        </w:rPr>
        <w:lastRenderedPageBreak/>
        <w:drawing>
          <wp:inline distT="0" distB="0" distL="0" distR="0" wp14:anchorId="45616F62" wp14:editId="6B124E05">
            <wp:extent cx="5943600" cy="2766974"/>
            <wp:effectExtent l="0" t="0" r="0" b="0"/>
            <wp:docPr id="211162009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6892"/>
                    <a:stretch>
                      <a:fillRect/>
                    </a:stretch>
                  </pic:blipFill>
                  <pic:spPr bwMode="auto">
                    <a:xfrm>
                      <a:off x="0" y="0"/>
                      <a:ext cx="5943600" cy="2766974"/>
                    </a:xfrm>
                    <a:prstGeom prst="rect">
                      <a:avLst/>
                    </a:prstGeom>
                    <a:noFill/>
                    <a:ln>
                      <a:noFill/>
                    </a:ln>
                    <a:extLst>
                      <a:ext uri="{53640926-AAD7-44D8-BBD7-CCE9431645EC}">
                        <a14:shadowObscured xmlns:a14="http://schemas.microsoft.com/office/drawing/2010/main"/>
                      </a:ext>
                    </a:extLst>
                  </pic:spPr>
                </pic:pic>
              </a:graphicData>
            </a:graphic>
          </wp:inline>
        </w:drawing>
      </w:r>
    </w:p>
    <w:p w14:paraId="161E4423" w14:textId="35C429A7" w:rsidR="00CB1A1F" w:rsidRDefault="00CB1A1F" w:rsidP="00CB1A1F">
      <w:pPr>
        <w:spacing w:line="240" w:lineRule="auto"/>
        <w:jc w:val="center"/>
        <w:rPr>
          <w:rFonts w:ascii="Times New Roman" w:hAnsi="Times New Roman"/>
          <w:sz w:val="22"/>
          <w:szCs w:val="22"/>
        </w:rPr>
      </w:pPr>
      <w:r w:rsidRPr="00CB1A1F">
        <w:rPr>
          <w:rFonts w:ascii="Times New Roman" w:hAnsi="Times New Roman"/>
          <w:b/>
          <w:bCs/>
          <w:sz w:val="22"/>
          <w:szCs w:val="22"/>
        </w:rPr>
        <w:t xml:space="preserve">Supplementary Figure </w:t>
      </w:r>
      <w:r w:rsidR="00CA217A">
        <w:rPr>
          <w:rFonts w:ascii="Times New Roman" w:hAnsi="Times New Roman"/>
          <w:b/>
          <w:bCs/>
          <w:sz w:val="22"/>
          <w:szCs w:val="22"/>
        </w:rPr>
        <w:t>8</w:t>
      </w:r>
      <w:r>
        <w:rPr>
          <w:rFonts w:ascii="Times New Roman" w:hAnsi="Times New Roman"/>
          <w:sz w:val="22"/>
          <w:szCs w:val="22"/>
        </w:rPr>
        <w:t>: NeuroScreen Low vs High Cognition (Quartile 1+2 vs Quartile 3+4)</w:t>
      </w:r>
    </w:p>
    <w:p w14:paraId="57D4B485" w14:textId="77777777" w:rsidR="00CB1A1F" w:rsidRDefault="00CB1A1F" w:rsidP="0012344F">
      <w:pPr>
        <w:spacing w:line="360" w:lineRule="auto"/>
        <w:jc w:val="center"/>
        <w:rPr>
          <w:rFonts w:ascii="Times New Roman" w:hAnsi="Times New Roman"/>
          <w:sz w:val="22"/>
          <w:szCs w:val="22"/>
        </w:rPr>
      </w:pPr>
    </w:p>
    <w:p w14:paraId="7269CFCC" w14:textId="34A8BDB7" w:rsidR="00CB1A1F" w:rsidRDefault="00CB1A1F" w:rsidP="00CB1A1F">
      <w:pPr>
        <w:spacing w:line="360" w:lineRule="auto"/>
        <w:jc w:val="center"/>
        <w:rPr>
          <w:rFonts w:ascii="Times New Roman" w:hAnsi="Times New Roman"/>
          <w:sz w:val="22"/>
          <w:szCs w:val="22"/>
        </w:rPr>
      </w:pPr>
      <w:r>
        <w:rPr>
          <w:noProof/>
        </w:rPr>
        <w:drawing>
          <wp:inline distT="0" distB="0" distL="0" distR="0" wp14:anchorId="45FAEB47" wp14:editId="3C9995BD">
            <wp:extent cx="5540183" cy="2633472"/>
            <wp:effectExtent l="0" t="0" r="3810" b="0"/>
            <wp:docPr id="205880796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4932"/>
                    <a:stretch>
                      <a:fillRect/>
                    </a:stretch>
                  </pic:blipFill>
                  <pic:spPr bwMode="auto">
                    <a:xfrm>
                      <a:off x="0" y="0"/>
                      <a:ext cx="5542267" cy="2634463"/>
                    </a:xfrm>
                    <a:prstGeom prst="rect">
                      <a:avLst/>
                    </a:prstGeom>
                    <a:noFill/>
                    <a:ln>
                      <a:noFill/>
                    </a:ln>
                    <a:extLst>
                      <a:ext uri="{53640926-AAD7-44D8-BBD7-CCE9431645EC}">
                        <a14:shadowObscured xmlns:a14="http://schemas.microsoft.com/office/drawing/2010/main"/>
                      </a:ext>
                    </a:extLst>
                  </pic:spPr>
                </pic:pic>
              </a:graphicData>
            </a:graphic>
          </wp:inline>
        </w:drawing>
      </w:r>
      <w:r w:rsidRPr="00CB1A1F">
        <w:rPr>
          <w:rFonts w:ascii="Times New Roman" w:hAnsi="Times New Roman"/>
          <w:b/>
          <w:bCs/>
          <w:sz w:val="22"/>
          <w:szCs w:val="22"/>
        </w:rPr>
        <w:t xml:space="preserve">Supplementary Figure </w:t>
      </w:r>
      <w:r w:rsidR="00CA217A">
        <w:rPr>
          <w:rFonts w:ascii="Times New Roman" w:hAnsi="Times New Roman"/>
          <w:b/>
          <w:bCs/>
          <w:sz w:val="22"/>
          <w:szCs w:val="22"/>
        </w:rPr>
        <w:t>9</w:t>
      </w:r>
      <w:r>
        <w:rPr>
          <w:rFonts w:ascii="Times New Roman" w:hAnsi="Times New Roman"/>
          <w:sz w:val="22"/>
          <w:szCs w:val="22"/>
        </w:rPr>
        <w:t>: NIH Toolbox Low vs High Cognition (Quartile 1+2 vs Quartile 3+4)</w:t>
      </w:r>
    </w:p>
    <w:p w14:paraId="76906AC7" w14:textId="454D3CE2" w:rsidR="00C90EFF" w:rsidRPr="00C90EFF" w:rsidRDefault="00C90EFF" w:rsidP="00C90EFF">
      <w:pPr>
        <w:spacing w:after="0" w:line="240" w:lineRule="auto"/>
        <w:rPr>
          <w:rFonts w:ascii="Times New Roman" w:hAnsi="Times New Roman"/>
          <w:sz w:val="22"/>
          <w:szCs w:val="22"/>
          <w14:ligatures w14:val="standardContextual"/>
        </w:rPr>
      </w:pPr>
    </w:p>
    <w:p w14:paraId="1D5D59D1" w14:textId="5CD6F039" w:rsidR="00C90EFF" w:rsidRPr="00C90EFF" w:rsidRDefault="00C90EFF" w:rsidP="00C90EFF">
      <w:pPr>
        <w:spacing w:after="0" w:line="240" w:lineRule="auto"/>
        <w:rPr>
          <w:rFonts w:ascii="Times New Roman" w:hAnsi="Times New Roman"/>
          <w:sz w:val="22"/>
          <w:szCs w:val="22"/>
          <w14:ligatures w14:val="standardContextual"/>
        </w:rPr>
      </w:pPr>
      <w:r>
        <w:rPr>
          <w:rFonts w:ascii="Times New Roman" w:hAnsi="Times New Roman"/>
          <w:b/>
          <w:bCs/>
          <w:sz w:val="22"/>
          <w:szCs w:val="22"/>
          <w14:ligatures w14:val="standardContextual"/>
        </w:rPr>
        <w:t xml:space="preserve">Supplementary </w:t>
      </w:r>
      <w:r w:rsidRPr="00C90EFF">
        <w:rPr>
          <w:rFonts w:ascii="Times New Roman" w:hAnsi="Times New Roman"/>
          <w:b/>
          <w:bCs/>
          <w:sz w:val="22"/>
          <w:szCs w:val="22"/>
          <w14:ligatures w14:val="standardContextual"/>
        </w:rPr>
        <w:t>T</w:t>
      </w:r>
      <w:r>
        <w:rPr>
          <w:rFonts w:ascii="Times New Roman" w:hAnsi="Times New Roman"/>
          <w:b/>
          <w:bCs/>
          <w:sz w:val="22"/>
          <w:szCs w:val="22"/>
          <w14:ligatures w14:val="standardContextual"/>
        </w:rPr>
        <w:t>able</w:t>
      </w:r>
      <w:r w:rsidRPr="00C90EFF">
        <w:rPr>
          <w:rFonts w:ascii="Times New Roman" w:hAnsi="Times New Roman"/>
          <w:b/>
          <w:bCs/>
          <w:sz w:val="22"/>
          <w:szCs w:val="22"/>
          <w14:ligatures w14:val="standardContextual"/>
        </w:rPr>
        <w:t xml:space="preserve"> </w:t>
      </w:r>
      <w:r>
        <w:rPr>
          <w:rFonts w:ascii="Times New Roman" w:hAnsi="Times New Roman"/>
          <w:b/>
          <w:bCs/>
          <w:sz w:val="22"/>
          <w:szCs w:val="22"/>
          <w14:ligatures w14:val="standardContextual"/>
        </w:rPr>
        <w:t>1: Demographics, Oral and Dental Health, and Clinical Features based on NeuroScreen and NIH Toolbox categories used for sensitivity analysis.</w:t>
      </w:r>
    </w:p>
    <w:tbl>
      <w:tblPr>
        <w:tblStyle w:val="PlainTable21"/>
        <w:tblW w:w="10260" w:type="dxa"/>
        <w:tblInd w:w="0" w:type="dxa"/>
        <w:tblLayout w:type="fixed"/>
        <w:tblLook w:val="0420" w:firstRow="1" w:lastRow="0" w:firstColumn="0" w:lastColumn="0" w:noHBand="0" w:noVBand="1"/>
      </w:tblPr>
      <w:tblGrid>
        <w:gridCol w:w="2610"/>
        <w:gridCol w:w="1260"/>
        <w:gridCol w:w="1350"/>
        <w:gridCol w:w="1080"/>
        <w:gridCol w:w="1530"/>
        <w:gridCol w:w="1350"/>
        <w:gridCol w:w="1080"/>
      </w:tblGrid>
      <w:tr w:rsidR="00C90EFF" w:rsidRPr="00C90EFF" w14:paraId="2C20496E" w14:textId="77777777" w:rsidTr="00C90EFF">
        <w:trPr>
          <w:cnfStyle w:val="100000000000" w:firstRow="1" w:lastRow="0" w:firstColumn="0" w:lastColumn="0" w:oddVBand="0" w:evenVBand="0" w:oddHBand="0" w:evenHBand="0" w:firstRowFirstColumn="0" w:firstRowLastColumn="0" w:lastRowFirstColumn="0" w:lastRowLastColumn="0"/>
          <w:trHeight w:val="305"/>
        </w:trPr>
        <w:tc>
          <w:tcPr>
            <w:tcW w:w="2610" w:type="dxa"/>
            <w:vMerge w:val="restart"/>
            <w:tcBorders>
              <w:top w:val="single" w:sz="4" w:space="0" w:color="7F7F7F"/>
              <w:left w:val="nil"/>
              <w:right w:val="nil"/>
            </w:tcBorders>
            <w:shd w:val="clear" w:color="auto" w:fill="E8E8E8"/>
            <w:hideMark/>
          </w:tcPr>
          <w:p w14:paraId="214B74C7"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Variables</w:t>
            </w:r>
          </w:p>
        </w:tc>
        <w:tc>
          <w:tcPr>
            <w:tcW w:w="2610" w:type="dxa"/>
            <w:gridSpan w:val="2"/>
            <w:tcBorders>
              <w:top w:val="single" w:sz="4" w:space="0" w:color="7F7F7F"/>
              <w:left w:val="nil"/>
              <w:right w:val="nil"/>
            </w:tcBorders>
            <w:shd w:val="clear" w:color="auto" w:fill="E8E8E8"/>
            <w:hideMark/>
          </w:tcPr>
          <w:p w14:paraId="66CBC591"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NeuroScreen</w:t>
            </w:r>
          </w:p>
        </w:tc>
        <w:tc>
          <w:tcPr>
            <w:tcW w:w="1080" w:type="dxa"/>
            <w:vMerge w:val="restart"/>
            <w:tcBorders>
              <w:top w:val="single" w:sz="4" w:space="0" w:color="7F7F7F"/>
              <w:left w:val="nil"/>
              <w:right w:val="nil"/>
            </w:tcBorders>
            <w:shd w:val="clear" w:color="auto" w:fill="E8E8E8"/>
            <w:hideMark/>
          </w:tcPr>
          <w:p w14:paraId="32672C42"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p-Value</w:t>
            </w:r>
          </w:p>
        </w:tc>
        <w:tc>
          <w:tcPr>
            <w:tcW w:w="2880" w:type="dxa"/>
            <w:gridSpan w:val="2"/>
            <w:tcBorders>
              <w:top w:val="single" w:sz="4" w:space="0" w:color="7F7F7F"/>
              <w:left w:val="nil"/>
              <w:right w:val="nil"/>
            </w:tcBorders>
            <w:shd w:val="clear" w:color="auto" w:fill="E8E8E8"/>
            <w:hideMark/>
          </w:tcPr>
          <w:p w14:paraId="3B19BEF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NIH Toolbox</w:t>
            </w:r>
          </w:p>
        </w:tc>
        <w:tc>
          <w:tcPr>
            <w:tcW w:w="1080" w:type="dxa"/>
            <w:vMerge w:val="restart"/>
            <w:tcBorders>
              <w:top w:val="single" w:sz="4" w:space="0" w:color="7F7F7F"/>
              <w:left w:val="nil"/>
              <w:right w:val="nil"/>
            </w:tcBorders>
            <w:shd w:val="clear" w:color="auto" w:fill="E8E8E8"/>
            <w:hideMark/>
          </w:tcPr>
          <w:p w14:paraId="65C0AFA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p-Value</w:t>
            </w:r>
          </w:p>
        </w:tc>
      </w:tr>
      <w:tr w:rsidR="00C90EFF" w:rsidRPr="00C90EFF" w14:paraId="5180E1FB" w14:textId="77777777" w:rsidTr="00C90EFF">
        <w:trPr>
          <w:cnfStyle w:val="000000100000" w:firstRow="0" w:lastRow="0" w:firstColumn="0" w:lastColumn="0" w:oddVBand="0" w:evenVBand="0" w:oddHBand="1" w:evenHBand="0" w:firstRowFirstColumn="0" w:firstRowLastColumn="0" w:lastRowFirstColumn="0" w:lastRowLastColumn="0"/>
        </w:trPr>
        <w:tc>
          <w:tcPr>
            <w:tcW w:w="10260" w:type="dxa"/>
            <w:vMerge/>
            <w:tcBorders>
              <w:left w:val="nil"/>
              <w:right w:val="nil"/>
            </w:tcBorders>
            <w:vAlign w:val="center"/>
            <w:hideMark/>
          </w:tcPr>
          <w:p w14:paraId="6DADC2AC" w14:textId="77777777" w:rsidR="00C90EFF" w:rsidRPr="00C90EFF" w:rsidRDefault="00C90EFF" w:rsidP="00C90EFF">
            <w:pPr>
              <w:spacing w:after="0" w:line="240" w:lineRule="auto"/>
              <w:rPr>
                <w:rFonts w:ascii="Times New Roman" w:hAnsi="Times New Roman"/>
                <w:bCs/>
                <w:sz w:val="20"/>
                <w:szCs w:val="20"/>
              </w:rPr>
            </w:pPr>
          </w:p>
        </w:tc>
        <w:tc>
          <w:tcPr>
            <w:tcW w:w="1260" w:type="dxa"/>
            <w:tcBorders>
              <w:left w:val="nil"/>
              <w:right w:val="nil"/>
            </w:tcBorders>
            <w:shd w:val="clear" w:color="auto" w:fill="E8E8E8"/>
            <w:hideMark/>
          </w:tcPr>
          <w:p w14:paraId="3E1225CA" w14:textId="77777777" w:rsidR="00C90EFF" w:rsidRPr="00C90EFF" w:rsidRDefault="00C90EFF" w:rsidP="00C90EFF">
            <w:pPr>
              <w:spacing w:after="0" w:line="240" w:lineRule="auto"/>
              <w:jc w:val="center"/>
              <w:rPr>
                <w:rFonts w:ascii="Times New Roman" w:hAnsi="Times New Roman"/>
                <w:b/>
                <w:sz w:val="20"/>
                <w:szCs w:val="20"/>
              </w:rPr>
            </w:pPr>
            <w:r w:rsidRPr="00C90EFF">
              <w:rPr>
                <w:rFonts w:ascii="Times New Roman" w:hAnsi="Times New Roman"/>
                <w:b/>
                <w:sz w:val="20"/>
                <w:szCs w:val="20"/>
              </w:rPr>
              <w:t>Above Average</w:t>
            </w:r>
          </w:p>
        </w:tc>
        <w:tc>
          <w:tcPr>
            <w:tcW w:w="1350" w:type="dxa"/>
            <w:tcBorders>
              <w:left w:val="nil"/>
              <w:right w:val="nil"/>
            </w:tcBorders>
            <w:shd w:val="clear" w:color="auto" w:fill="E8E8E8"/>
            <w:hideMark/>
          </w:tcPr>
          <w:p w14:paraId="59408009" w14:textId="77777777" w:rsidR="00C90EFF" w:rsidRPr="00C90EFF" w:rsidRDefault="00C90EFF" w:rsidP="00C90EFF">
            <w:pPr>
              <w:spacing w:after="0" w:line="240" w:lineRule="auto"/>
              <w:jc w:val="center"/>
              <w:rPr>
                <w:rFonts w:ascii="Times New Roman" w:hAnsi="Times New Roman"/>
                <w:b/>
                <w:sz w:val="20"/>
                <w:szCs w:val="20"/>
              </w:rPr>
            </w:pPr>
            <w:r w:rsidRPr="00C90EFF">
              <w:rPr>
                <w:rFonts w:ascii="Times New Roman" w:hAnsi="Times New Roman"/>
                <w:b/>
                <w:sz w:val="20"/>
                <w:szCs w:val="20"/>
              </w:rPr>
              <w:t>Below Average</w:t>
            </w:r>
          </w:p>
        </w:tc>
        <w:tc>
          <w:tcPr>
            <w:tcW w:w="1080" w:type="dxa"/>
            <w:vMerge/>
            <w:tcBorders>
              <w:left w:val="nil"/>
              <w:right w:val="nil"/>
            </w:tcBorders>
            <w:vAlign w:val="center"/>
            <w:hideMark/>
          </w:tcPr>
          <w:p w14:paraId="1A7CC851" w14:textId="77777777" w:rsidR="00C90EFF" w:rsidRPr="00C90EFF" w:rsidRDefault="00C90EFF" w:rsidP="00C90EFF">
            <w:pPr>
              <w:spacing w:after="0" w:line="240" w:lineRule="auto"/>
              <w:rPr>
                <w:rFonts w:ascii="Times New Roman" w:hAnsi="Times New Roman"/>
                <w:bCs/>
                <w:sz w:val="20"/>
                <w:szCs w:val="20"/>
              </w:rPr>
            </w:pPr>
          </w:p>
        </w:tc>
        <w:tc>
          <w:tcPr>
            <w:tcW w:w="1530" w:type="dxa"/>
            <w:tcBorders>
              <w:left w:val="nil"/>
              <w:right w:val="nil"/>
            </w:tcBorders>
            <w:shd w:val="clear" w:color="auto" w:fill="E8E8E8"/>
            <w:hideMark/>
          </w:tcPr>
          <w:p w14:paraId="401D863F" w14:textId="77777777" w:rsidR="00C90EFF" w:rsidRPr="00C90EFF" w:rsidRDefault="00C90EFF" w:rsidP="00C90EFF">
            <w:pPr>
              <w:spacing w:after="0" w:line="240" w:lineRule="auto"/>
              <w:jc w:val="center"/>
              <w:rPr>
                <w:rFonts w:ascii="Times New Roman" w:hAnsi="Times New Roman"/>
                <w:b/>
                <w:sz w:val="20"/>
                <w:szCs w:val="20"/>
              </w:rPr>
            </w:pPr>
            <w:r w:rsidRPr="00C90EFF">
              <w:rPr>
                <w:rFonts w:ascii="Times New Roman" w:hAnsi="Times New Roman"/>
                <w:b/>
                <w:sz w:val="20"/>
                <w:szCs w:val="20"/>
              </w:rPr>
              <w:t>Above Average</w:t>
            </w:r>
          </w:p>
        </w:tc>
        <w:tc>
          <w:tcPr>
            <w:tcW w:w="1350" w:type="dxa"/>
            <w:tcBorders>
              <w:left w:val="nil"/>
              <w:right w:val="nil"/>
            </w:tcBorders>
            <w:shd w:val="clear" w:color="auto" w:fill="E8E8E8"/>
            <w:hideMark/>
          </w:tcPr>
          <w:p w14:paraId="47B3E8EA" w14:textId="77777777" w:rsidR="00C90EFF" w:rsidRPr="00C90EFF" w:rsidRDefault="00C90EFF" w:rsidP="00C90EFF">
            <w:pPr>
              <w:spacing w:after="0" w:line="240" w:lineRule="auto"/>
              <w:jc w:val="center"/>
              <w:rPr>
                <w:rFonts w:ascii="Times New Roman" w:hAnsi="Times New Roman"/>
                <w:b/>
                <w:sz w:val="20"/>
                <w:szCs w:val="20"/>
              </w:rPr>
            </w:pPr>
            <w:r w:rsidRPr="00C90EFF">
              <w:rPr>
                <w:rFonts w:ascii="Times New Roman" w:hAnsi="Times New Roman"/>
                <w:b/>
                <w:sz w:val="20"/>
                <w:szCs w:val="20"/>
              </w:rPr>
              <w:t>Below Average</w:t>
            </w:r>
          </w:p>
        </w:tc>
        <w:tc>
          <w:tcPr>
            <w:tcW w:w="1080" w:type="dxa"/>
            <w:vMerge/>
            <w:tcBorders>
              <w:left w:val="nil"/>
              <w:right w:val="nil"/>
            </w:tcBorders>
            <w:vAlign w:val="center"/>
            <w:hideMark/>
          </w:tcPr>
          <w:p w14:paraId="5BFB4487" w14:textId="77777777" w:rsidR="00C90EFF" w:rsidRPr="00C90EFF" w:rsidRDefault="00C90EFF" w:rsidP="00C90EFF">
            <w:pPr>
              <w:spacing w:after="0" w:line="240" w:lineRule="auto"/>
              <w:rPr>
                <w:rFonts w:ascii="Times New Roman" w:hAnsi="Times New Roman"/>
                <w:bCs/>
                <w:sz w:val="20"/>
                <w:szCs w:val="20"/>
              </w:rPr>
            </w:pPr>
          </w:p>
        </w:tc>
      </w:tr>
      <w:tr w:rsidR="00C90EFF" w:rsidRPr="00C90EFF" w14:paraId="4341F461" w14:textId="77777777">
        <w:tc>
          <w:tcPr>
            <w:tcW w:w="2610" w:type="dxa"/>
            <w:tcBorders>
              <w:top w:val="nil"/>
              <w:left w:val="nil"/>
              <w:bottom w:val="nil"/>
              <w:right w:val="nil"/>
            </w:tcBorders>
            <w:hideMark/>
          </w:tcPr>
          <w:p w14:paraId="586A4C73"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HIV Status</w:t>
            </w:r>
          </w:p>
          <w:p w14:paraId="0103B1B2" w14:textId="77777777" w:rsidR="00C90EFF" w:rsidRPr="00C90EFF" w:rsidRDefault="00C90EFF" w:rsidP="00C90EFF">
            <w:pPr>
              <w:numPr>
                <w:ilvl w:val="0"/>
                <w:numId w:val="6"/>
              </w:numPr>
              <w:spacing w:after="0" w:line="240" w:lineRule="auto"/>
              <w:rPr>
                <w:rFonts w:ascii="Times New Roman" w:hAnsi="Times New Roman"/>
                <w:sz w:val="20"/>
                <w:szCs w:val="20"/>
              </w:rPr>
            </w:pPr>
            <w:r w:rsidRPr="00C90EFF">
              <w:rPr>
                <w:rFonts w:ascii="Times New Roman" w:hAnsi="Times New Roman"/>
                <w:sz w:val="20"/>
                <w:szCs w:val="20"/>
              </w:rPr>
              <w:t>PHIV, N (%)</w:t>
            </w:r>
          </w:p>
          <w:p w14:paraId="05C4ABF2" w14:textId="77777777" w:rsidR="00C90EFF" w:rsidRPr="00C90EFF" w:rsidRDefault="00C90EFF" w:rsidP="00C90EFF">
            <w:pPr>
              <w:numPr>
                <w:ilvl w:val="0"/>
                <w:numId w:val="6"/>
              </w:numPr>
              <w:spacing w:after="0" w:line="240" w:lineRule="auto"/>
              <w:rPr>
                <w:rFonts w:ascii="Times New Roman" w:hAnsi="Times New Roman"/>
                <w:sz w:val="20"/>
                <w:szCs w:val="20"/>
              </w:rPr>
            </w:pPr>
            <w:r w:rsidRPr="00C90EFF">
              <w:rPr>
                <w:rFonts w:ascii="Times New Roman" w:hAnsi="Times New Roman"/>
                <w:sz w:val="20"/>
                <w:szCs w:val="20"/>
              </w:rPr>
              <w:t>HUU, N (%)</w:t>
            </w:r>
          </w:p>
        </w:tc>
        <w:tc>
          <w:tcPr>
            <w:tcW w:w="1260" w:type="dxa"/>
            <w:tcBorders>
              <w:top w:val="nil"/>
              <w:left w:val="nil"/>
              <w:bottom w:val="nil"/>
              <w:right w:val="nil"/>
            </w:tcBorders>
          </w:tcPr>
          <w:p w14:paraId="650511D2" w14:textId="77777777" w:rsidR="00C90EFF" w:rsidRPr="00C90EFF" w:rsidRDefault="00C90EFF" w:rsidP="00C90EFF">
            <w:pPr>
              <w:spacing w:after="0" w:line="240" w:lineRule="auto"/>
              <w:jc w:val="center"/>
              <w:rPr>
                <w:rFonts w:ascii="Times New Roman" w:hAnsi="Times New Roman"/>
                <w:sz w:val="20"/>
                <w:szCs w:val="20"/>
              </w:rPr>
            </w:pPr>
          </w:p>
          <w:p w14:paraId="0E897F64"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33 (45.2)</w:t>
            </w:r>
            <w:r w:rsidRPr="00C90EFF">
              <w:rPr>
                <w:rFonts w:ascii="Times New Roman" w:hAnsi="Times New Roman"/>
                <w:sz w:val="20"/>
                <w:szCs w:val="20"/>
              </w:rPr>
              <w:br/>
              <w:t>40 (54.8)</w:t>
            </w:r>
          </w:p>
        </w:tc>
        <w:tc>
          <w:tcPr>
            <w:tcW w:w="1350" w:type="dxa"/>
            <w:tcBorders>
              <w:top w:val="nil"/>
              <w:left w:val="nil"/>
              <w:bottom w:val="nil"/>
              <w:right w:val="nil"/>
            </w:tcBorders>
          </w:tcPr>
          <w:p w14:paraId="4BE8C83D" w14:textId="77777777" w:rsidR="00C90EFF" w:rsidRPr="00C90EFF" w:rsidRDefault="00C90EFF" w:rsidP="00C90EFF">
            <w:pPr>
              <w:spacing w:after="0" w:line="240" w:lineRule="auto"/>
              <w:jc w:val="center"/>
              <w:rPr>
                <w:rFonts w:ascii="Times New Roman" w:hAnsi="Times New Roman"/>
                <w:sz w:val="20"/>
                <w:szCs w:val="20"/>
              </w:rPr>
            </w:pPr>
          </w:p>
          <w:p w14:paraId="3C56ACBE"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20 (74.1)</w:t>
            </w:r>
            <w:r w:rsidRPr="00C90EFF">
              <w:rPr>
                <w:rFonts w:ascii="Times New Roman" w:hAnsi="Times New Roman"/>
                <w:sz w:val="20"/>
                <w:szCs w:val="20"/>
              </w:rPr>
              <w:br/>
              <w:t>7 (25.9)</w:t>
            </w:r>
          </w:p>
        </w:tc>
        <w:tc>
          <w:tcPr>
            <w:tcW w:w="1080" w:type="dxa"/>
            <w:tcBorders>
              <w:top w:val="nil"/>
              <w:left w:val="nil"/>
              <w:bottom w:val="nil"/>
              <w:right w:val="nil"/>
            </w:tcBorders>
            <w:hideMark/>
          </w:tcPr>
          <w:p w14:paraId="642DD40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0.01</w:t>
            </w:r>
          </w:p>
        </w:tc>
        <w:tc>
          <w:tcPr>
            <w:tcW w:w="1530" w:type="dxa"/>
            <w:tcBorders>
              <w:top w:val="nil"/>
              <w:left w:val="nil"/>
              <w:bottom w:val="nil"/>
              <w:right w:val="nil"/>
            </w:tcBorders>
          </w:tcPr>
          <w:p w14:paraId="4D2C1D08" w14:textId="77777777" w:rsidR="00C90EFF" w:rsidRPr="00C90EFF" w:rsidRDefault="00C90EFF" w:rsidP="00C90EFF">
            <w:pPr>
              <w:spacing w:after="0" w:line="240" w:lineRule="auto"/>
              <w:jc w:val="center"/>
              <w:rPr>
                <w:rFonts w:ascii="Times New Roman" w:hAnsi="Times New Roman"/>
                <w:sz w:val="20"/>
                <w:szCs w:val="20"/>
              </w:rPr>
            </w:pPr>
          </w:p>
          <w:p w14:paraId="3062ABD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5 (22.7)</w:t>
            </w:r>
            <w:r w:rsidRPr="00C90EFF">
              <w:rPr>
                <w:rFonts w:ascii="Times New Roman" w:hAnsi="Times New Roman"/>
                <w:sz w:val="20"/>
                <w:szCs w:val="20"/>
              </w:rPr>
              <w:br/>
              <w:t>17 (77.3)</w:t>
            </w:r>
          </w:p>
        </w:tc>
        <w:tc>
          <w:tcPr>
            <w:tcW w:w="1350" w:type="dxa"/>
            <w:tcBorders>
              <w:top w:val="nil"/>
              <w:left w:val="nil"/>
              <w:bottom w:val="nil"/>
              <w:right w:val="nil"/>
            </w:tcBorders>
          </w:tcPr>
          <w:p w14:paraId="54678BE8" w14:textId="77777777" w:rsidR="00C90EFF" w:rsidRPr="00C90EFF" w:rsidRDefault="00C90EFF" w:rsidP="00C90EFF">
            <w:pPr>
              <w:spacing w:after="0" w:line="240" w:lineRule="auto"/>
              <w:jc w:val="center"/>
              <w:rPr>
                <w:rFonts w:ascii="Times New Roman" w:hAnsi="Times New Roman"/>
                <w:sz w:val="20"/>
                <w:szCs w:val="20"/>
              </w:rPr>
            </w:pPr>
          </w:p>
          <w:p w14:paraId="236F2896"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48 (61.5)</w:t>
            </w:r>
          </w:p>
          <w:p w14:paraId="7A74CC25"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30 (38.5)</w:t>
            </w:r>
          </w:p>
        </w:tc>
        <w:tc>
          <w:tcPr>
            <w:tcW w:w="1080" w:type="dxa"/>
            <w:tcBorders>
              <w:top w:val="nil"/>
              <w:left w:val="nil"/>
              <w:bottom w:val="nil"/>
              <w:right w:val="nil"/>
            </w:tcBorders>
            <w:hideMark/>
          </w:tcPr>
          <w:p w14:paraId="6DC8967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&lt;0.01</w:t>
            </w:r>
          </w:p>
        </w:tc>
      </w:tr>
      <w:tr w:rsidR="00C90EFF" w:rsidRPr="00C90EFF" w14:paraId="105C5F0B" w14:textId="77777777" w:rsidTr="00C90EFF">
        <w:trPr>
          <w:cnfStyle w:val="000000100000" w:firstRow="0" w:lastRow="0" w:firstColumn="0" w:lastColumn="0" w:oddVBand="0" w:evenVBand="0" w:oddHBand="1" w:evenHBand="0" w:firstRowFirstColumn="0" w:firstRowLastColumn="0" w:lastRowFirstColumn="0" w:lastRowLastColumn="0"/>
        </w:trPr>
        <w:tc>
          <w:tcPr>
            <w:tcW w:w="10260" w:type="dxa"/>
            <w:gridSpan w:val="7"/>
            <w:tcBorders>
              <w:left w:val="nil"/>
              <w:right w:val="nil"/>
            </w:tcBorders>
            <w:shd w:val="clear" w:color="auto" w:fill="DAE9F7"/>
            <w:hideMark/>
          </w:tcPr>
          <w:p w14:paraId="54490547" w14:textId="77777777" w:rsidR="00C90EFF" w:rsidRPr="00C90EFF" w:rsidRDefault="00C90EFF" w:rsidP="00C90EFF">
            <w:pPr>
              <w:spacing w:after="0" w:line="240" w:lineRule="auto"/>
              <w:jc w:val="center"/>
              <w:rPr>
                <w:rFonts w:ascii="Times New Roman" w:hAnsi="Times New Roman"/>
                <w:b/>
                <w:bCs/>
                <w:sz w:val="20"/>
                <w:szCs w:val="20"/>
              </w:rPr>
            </w:pPr>
            <w:r w:rsidRPr="00C90EFF">
              <w:rPr>
                <w:rFonts w:ascii="Times New Roman" w:hAnsi="Times New Roman"/>
                <w:b/>
                <w:bCs/>
                <w:sz w:val="20"/>
                <w:szCs w:val="20"/>
              </w:rPr>
              <w:t>Sociodemographic</w:t>
            </w:r>
          </w:p>
        </w:tc>
      </w:tr>
      <w:tr w:rsidR="00C90EFF" w:rsidRPr="00C90EFF" w14:paraId="7028A5AD" w14:textId="77777777">
        <w:tc>
          <w:tcPr>
            <w:tcW w:w="2610" w:type="dxa"/>
            <w:tcBorders>
              <w:top w:val="nil"/>
              <w:left w:val="nil"/>
              <w:bottom w:val="nil"/>
              <w:right w:val="nil"/>
            </w:tcBorders>
            <w:hideMark/>
          </w:tcPr>
          <w:p w14:paraId="42B6F234"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lastRenderedPageBreak/>
              <w:t>Age (Years), Mean (SD)</w:t>
            </w:r>
          </w:p>
        </w:tc>
        <w:tc>
          <w:tcPr>
            <w:tcW w:w="1260" w:type="dxa"/>
            <w:tcBorders>
              <w:top w:val="nil"/>
              <w:left w:val="nil"/>
              <w:bottom w:val="nil"/>
              <w:right w:val="nil"/>
            </w:tcBorders>
            <w:hideMark/>
          </w:tcPr>
          <w:p w14:paraId="7F767A1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10.5 (0.9)</w:t>
            </w:r>
          </w:p>
        </w:tc>
        <w:tc>
          <w:tcPr>
            <w:tcW w:w="1350" w:type="dxa"/>
            <w:tcBorders>
              <w:top w:val="nil"/>
              <w:left w:val="nil"/>
              <w:bottom w:val="nil"/>
              <w:right w:val="nil"/>
            </w:tcBorders>
            <w:hideMark/>
          </w:tcPr>
          <w:p w14:paraId="7F37F12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10.2 (0.8)</w:t>
            </w:r>
          </w:p>
        </w:tc>
        <w:tc>
          <w:tcPr>
            <w:tcW w:w="1080" w:type="dxa"/>
            <w:tcBorders>
              <w:top w:val="nil"/>
              <w:left w:val="nil"/>
              <w:bottom w:val="nil"/>
              <w:right w:val="nil"/>
            </w:tcBorders>
            <w:hideMark/>
          </w:tcPr>
          <w:p w14:paraId="202BECD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0.17</w:t>
            </w:r>
          </w:p>
        </w:tc>
        <w:tc>
          <w:tcPr>
            <w:tcW w:w="1530" w:type="dxa"/>
            <w:tcBorders>
              <w:top w:val="nil"/>
              <w:left w:val="nil"/>
              <w:bottom w:val="nil"/>
              <w:right w:val="nil"/>
            </w:tcBorders>
            <w:hideMark/>
          </w:tcPr>
          <w:p w14:paraId="5029D570"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10.3 (1.0)</w:t>
            </w:r>
          </w:p>
        </w:tc>
        <w:tc>
          <w:tcPr>
            <w:tcW w:w="1350" w:type="dxa"/>
            <w:tcBorders>
              <w:top w:val="nil"/>
              <w:left w:val="nil"/>
              <w:bottom w:val="nil"/>
              <w:right w:val="nil"/>
            </w:tcBorders>
            <w:hideMark/>
          </w:tcPr>
          <w:p w14:paraId="6FEE01A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10.4 (0.9)</w:t>
            </w:r>
          </w:p>
        </w:tc>
        <w:tc>
          <w:tcPr>
            <w:tcW w:w="1080" w:type="dxa"/>
            <w:tcBorders>
              <w:top w:val="nil"/>
              <w:left w:val="nil"/>
              <w:bottom w:val="nil"/>
              <w:right w:val="nil"/>
            </w:tcBorders>
            <w:hideMark/>
          </w:tcPr>
          <w:p w14:paraId="18C246F3"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0.73</w:t>
            </w:r>
          </w:p>
        </w:tc>
      </w:tr>
      <w:tr w:rsidR="00C90EFF" w:rsidRPr="00C90EFF" w14:paraId="03FFC3A7" w14:textId="77777777">
        <w:trPr>
          <w:cnfStyle w:val="000000100000" w:firstRow="0" w:lastRow="0" w:firstColumn="0" w:lastColumn="0" w:oddVBand="0" w:evenVBand="0" w:oddHBand="1" w:evenHBand="0" w:firstRowFirstColumn="0" w:firstRowLastColumn="0" w:lastRowFirstColumn="0" w:lastRowLastColumn="0"/>
        </w:trPr>
        <w:tc>
          <w:tcPr>
            <w:tcW w:w="2610" w:type="dxa"/>
            <w:tcBorders>
              <w:left w:val="nil"/>
              <w:right w:val="nil"/>
            </w:tcBorders>
            <w:hideMark/>
          </w:tcPr>
          <w:p w14:paraId="6268D009"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Gender, N (%)</w:t>
            </w:r>
          </w:p>
          <w:p w14:paraId="6A01E294" w14:textId="77777777" w:rsidR="00C90EFF" w:rsidRPr="00C90EFF" w:rsidRDefault="00C90EFF" w:rsidP="00C90EFF">
            <w:pPr>
              <w:numPr>
                <w:ilvl w:val="0"/>
                <w:numId w:val="7"/>
              </w:numPr>
              <w:spacing w:after="0" w:line="240" w:lineRule="auto"/>
              <w:rPr>
                <w:rFonts w:ascii="Times New Roman" w:hAnsi="Times New Roman"/>
                <w:sz w:val="20"/>
                <w:szCs w:val="20"/>
              </w:rPr>
            </w:pPr>
            <w:r w:rsidRPr="00C90EFF">
              <w:rPr>
                <w:rFonts w:ascii="Times New Roman" w:hAnsi="Times New Roman"/>
                <w:sz w:val="20"/>
                <w:szCs w:val="20"/>
              </w:rPr>
              <w:t>Males</w:t>
            </w:r>
          </w:p>
        </w:tc>
        <w:tc>
          <w:tcPr>
            <w:tcW w:w="1260" w:type="dxa"/>
            <w:tcBorders>
              <w:left w:val="nil"/>
              <w:right w:val="nil"/>
            </w:tcBorders>
          </w:tcPr>
          <w:p w14:paraId="655E2486" w14:textId="77777777" w:rsidR="00C90EFF" w:rsidRPr="00C90EFF" w:rsidRDefault="00C90EFF" w:rsidP="00C90EFF">
            <w:pPr>
              <w:spacing w:after="0" w:line="240" w:lineRule="auto"/>
              <w:jc w:val="center"/>
              <w:rPr>
                <w:rFonts w:ascii="Times New Roman" w:hAnsi="Times New Roman"/>
                <w:sz w:val="20"/>
                <w:szCs w:val="20"/>
              </w:rPr>
            </w:pPr>
          </w:p>
          <w:p w14:paraId="67AC23E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28 (38.4)</w:t>
            </w:r>
          </w:p>
        </w:tc>
        <w:tc>
          <w:tcPr>
            <w:tcW w:w="1350" w:type="dxa"/>
            <w:tcBorders>
              <w:left w:val="nil"/>
              <w:right w:val="nil"/>
            </w:tcBorders>
          </w:tcPr>
          <w:p w14:paraId="51EB804F" w14:textId="77777777" w:rsidR="00C90EFF" w:rsidRPr="00C90EFF" w:rsidRDefault="00C90EFF" w:rsidP="00C90EFF">
            <w:pPr>
              <w:spacing w:after="0" w:line="240" w:lineRule="auto"/>
              <w:jc w:val="center"/>
              <w:rPr>
                <w:rFonts w:ascii="Times New Roman" w:hAnsi="Times New Roman"/>
                <w:sz w:val="20"/>
                <w:szCs w:val="20"/>
              </w:rPr>
            </w:pPr>
          </w:p>
          <w:p w14:paraId="52A6338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12 (44.4)</w:t>
            </w:r>
          </w:p>
        </w:tc>
        <w:tc>
          <w:tcPr>
            <w:tcW w:w="1080" w:type="dxa"/>
            <w:tcBorders>
              <w:left w:val="nil"/>
              <w:right w:val="nil"/>
            </w:tcBorders>
            <w:hideMark/>
          </w:tcPr>
          <w:p w14:paraId="4D13EAA2"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0.74</w:t>
            </w:r>
          </w:p>
        </w:tc>
        <w:tc>
          <w:tcPr>
            <w:tcW w:w="1530" w:type="dxa"/>
            <w:tcBorders>
              <w:left w:val="nil"/>
              <w:right w:val="nil"/>
            </w:tcBorders>
          </w:tcPr>
          <w:p w14:paraId="101D16DB" w14:textId="77777777" w:rsidR="00C90EFF" w:rsidRPr="00C90EFF" w:rsidRDefault="00C90EFF" w:rsidP="00C90EFF">
            <w:pPr>
              <w:spacing w:after="0" w:line="240" w:lineRule="auto"/>
              <w:jc w:val="center"/>
              <w:rPr>
                <w:rFonts w:ascii="Times New Roman" w:hAnsi="Times New Roman"/>
                <w:sz w:val="20"/>
                <w:szCs w:val="20"/>
              </w:rPr>
            </w:pPr>
          </w:p>
          <w:p w14:paraId="4702866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13 (59.1)</w:t>
            </w:r>
          </w:p>
        </w:tc>
        <w:tc>
          <w:tcPr>
            <w:tcW w:w="1350" w:type="dxa"/>
            <w:tcBorders>
              <w:left w:val="nil"/>
              <w:right w:val="nil"/>
            </w:tcBorders>
          </w:tcPr>
          <w:p w14:paraId="46EB1C1F" w14:textId="77777777" w:rsidR="00C90EFF" w:rsidRPr="00C90EFF" w:rsidRDefault="00C90EFF" w:rsidP="00C90EFF">
            <w:pPr>
              <w:spacing w:after="0" w:line="240" w:lineRule="auto"/>
              <w:jc w:val="center"/>
              <w:rPr>
                <w:rFonts w:ascii="Times New Roman" w:hAnsi="Times New Roman"/>
                <w:sz w:val="20"/>
                <w:szCs w:val="20"/>
              </w:rPr>
            </w:pPr>
          </w:p>
          <w:p w14:paraId="44A2B105"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27 (34.6)</w:t>
            </w:r>
          </w:p>
        </w:tc>
        <w:tc>
          <w:tcPr>
            <w:tcW w:w="1080" w:type="dxa"/>
            <w:tcBorders>
              <w:left w:val="nil"/>
              <w:right w:val="nil"/>
            </w:tcBorders>
            <w:hideMark/>
          </w:tcPr>
          <w:p w14:paraId="306DEBE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0.06</w:t>
            </w:r>
          </w:p>
        </w:tc>
      </w:tr>
      <w:tr w:rsidR="00C90EFF" w:rsidRPr="00C90EFF" w14:paraId="6E097C02" w14:textId="77777777">
        <w:tc>
          <w:tcPr>
            <w:tcW w:w="2610" w:type="dxa"/>
            <w:tcBorders>
              <w:top w:val="nil"/>
              <w:left w:val="nil"/>
              <w:bottom w:val="nil"/>
              <w:right w:val="nil"/>
            </w:tcBorders>
            <w:hideMark/>
          </w:tcPr>
          <w:p w14:paraId="0601A321"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Delivery Method, N (%)</w:t>
            </w:r>
          </w:p>
          <w:p w14:paraId="07DBEB14" w14:textId="77777777" w:rsidR="00C90EFF" w:rsidRPr="00C90EFF" w:rsidRDefault="00C90EFF" w:rsidP="00C90EFF">
            <w:pPr>
              <w:numPr>
                <w:ilvl w:val="0"/>
                <w:numId w:val="8"/>
              </w:numPr>
              <w:spacing w:after="0" w:line="240" w:lineRule="auto"/>
              <w:rPr>
                <w:rFonts w:ascii="Times New Roman" w:hAnsi="Times New Roman"/>
                <w:sz w:val="20"/>
                <w:szCs w:val="20"/>
              </w:rPr>
            </w:pPr>
            <w:r w:rsidRPr="00C90EFF">
              <w:rPr>
                <w:rFonts w:ascii="Times New Roman" w:hAnsi="Times New Roman"/>
                <w:sz w:val="20"/>
                <w:szCs w:val="20"/>
              </w:rPr>
              <w:t>Vaginal</w:t>
            </w:r>
          </w:p>
          <w:p w14:paraId="1AD619B0" w14:textId="77777777" w:rsidR="00C90EFF" w:rsidRPr="00C90EFF" w:rsidRDefault="00C90EFF" w:rsidP="00C90EFF">
            <w:pPr>
              <w:numPr>
                <w:ilvl w:val="0"/>
                <w:numId w:val="8"/>
              </w:numPr>
              <w:spacing w:after="0" w:line="240" w:lineRule="auto"/>
              <w:rPr>
                <w:rFonts w:ascii="Times New Roman" w:hAnsi="Times New Roman"/>
                <w:sz w:val="20"/>
                <w:szCs w:val="20"/>
              </w:rPr>
            </w:pPr>
            <w:r w:rsidRPr="00C90EFF">
              <w:rPr>
                <w:rFonts w:ascii="Times New Roman" w:hAnsi="Times New Roman"/>
                <w:sz w:val="20"/>
                <w:szCs w:val="20"/>
              </w:rPr>
              <w:t>C-Section</w:t>
            </w:r>
          </w:p>
        </w:tc>
        <w:tc>
          <w:tcPr>
            <w:tcW w:w="1260" w:type="dxa"/>
            <w:tcBorders>
              <w:top w:val="nil"/>
              <w:left w:val="nil"/>
              <w:bottom w:val="nil"/>
              <w:right w:val="nil"/>
            </w:tcBorders>
          </w:tcPr>
          <w:p w14:paraId="22A429FD" w14:textId="77777777" w:rsidR="00C90EFF" w:rsidRPr="00C90EFF" w:rsidRDefault="00C90EFF" w:rsidP="00C90EFF">
            <w:pPr>
              <w:spacing w:after="0" w:line="240" w:lineRule="auto"/>
              <w:jc w:val="center"/>
              <w:rPr>
                <w:rFonts w:ascii="Times New Roman" w:hAnsi="Times New Roman"/>
                <w:sz w:val="20"/>
                <w:szCs w:val="20"/>
              </w:rPr>
            </w:pPr>
          </w:p>
          <w:p w14:paraId="0EEB997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66 (90.4)</w:t>
            </w:r>
          </w:p>
          <w:p w14:paraId="7F6B39C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7 (9.6)</w:t>
            </w:r>
          </w:p>
        </w:tc>
        <w:tc>
          <w:tcPr>
            <w:tcW w:w="1350" w:type="dxa"/>
            <w:tcBorders>
              <w:top w:val="nil"/>
              <w:left w:val="nil"/>
              <w:bottom w:val="nil"/>
              <w:right w:val="nil"/>
            </w:tcBorders>
          </w:tcPr>
          <w:p w14:paraId="4F9569EE" w14:textId="77777777" w:rsidR="00C90EFF" w:rsidRPr="00C90EFF" w:rsidRDefault="00C90EFF" w:rsidP="00C90EFF">
            <w:pPr>
              <w:spacing w:after="0" w:line="240" w:lineRule="auto"/>
              <w:jc w:val="center"/>
              <w:rPr>
                <w:rFonts w:ascii="Times New Roman" w:hAnsi="Times New Roman"/>
                <w:sz w:val="20"/>
                <w:szCs w:val="20"/>
              </w:rPr>
            </w:pPr>
          </w:p>
          <w:p w14:paraId="320D9E10"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24 (88.9)</w:t>
            </w:r>
          </w:p>
          <w:p w14:paraId="4F75940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 (11.1)</w:t>
            </w:r>
          </w:p>
        </w:tc>
        <w:tc>
          <w:tcPr>
            <w:tcW w:w="1080" w:type="dxa"/>
            <w:tcBorders>
              <w:top w:val="nil"/>
              <w:left w:val="nil"/>
              <w:bottom w:val="nil"/>
              <w:right w:val="nil"/>
            </w:tcBorders>
            <w:hideMark/>
          </w:tcPr>
          <w:p w14:paraId="6CBD47B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w:t>
            </w:r>
          </w:p>
        </w:tc>
        <w:tc>
          <w:tcPr>
            <w:tcW w:w="1530" w:type="dxa"/>
            <w:tcBorders>
              <w:top w:val="nil"/>
              <w:left w:val="nil"/>
              <w:bottom w:val="nil"/>
              <w:right w:val="nil"/>
            </w:tcBorders>
          </w:tcPr>
          <w:p w14:paraId="3475B3B1" w14:textId="77777777" w:rsidR="00C90EFF" w:rsidRPr="00C90EFF" w:rsidRDefault="00C90EFF" w:rsidP="00C90EFF">
            <w:pPr>
              <w:spacing w:after="0" w:line="240" w:lineRule="auto"/>
              <w:jc w:val="center"/>
              <w:rPr>
                <w:rFonts w:ascii="Times New Roman" w:hAnsi="Times New Roman"/>
                <w:sz w:val="20"/>
                <w:szCs w:val="20"/>
              </w:rPr>
            </w:pPr>
          </w:p>
          <w:p w14:paraId="227B505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18 (81.8)</w:t>
            </w:r>
          </w:p>
          <w:p w14:paraId="6FC6C910"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4 (18.2)</w:t>
            </w:r>
          </w:p>
        </w:tc>
        <w:tc>
          <w:tcPr>
            <w:tcW w:w="1350" w:type="dxa"/>
            <w:tcBorders>
              <w:top w:val="nil"/>
              <w:left w:val="nil"/>
              <w:bottom w:val="nil"/>
              <w:right w:val="nil"/>
            </w:tcBorders>
          </w:tcPr>
          <w:p w14:paraId="381C5D61" w14:textId="77777777" w:rsidR="00C90EFF" w:rsidRPr="00C90EFF" w:rsidRDefault="00C90EFF" w:rsidP="00C90EFF">
            <w:pPr>
              <w:spacing w:after="0" w:line="240" w:lineRule="auto"/>
              <w:jc w:val="center"/>
              <w:rPr>
                <w:rFonts w:ascii="Times New Roman" w:hAnsi="Times New Roman"/>
                <w:sz w:val="20"/>
                <w:szCs w:val="20"/>
              </w:rPr>
            </w:pPr>
          </w:p>
          <w:p w14:paraId="333721B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72 (92.3)</w:t>
            </w:r>
          </w:p>
          <w:p w14:paraId="65161EC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6 (7.7)</w:t>
            </w:r>
          </w:p>
        </w:tc>
        <w:tc>
          <w:tcPr>
            <w:tcW w:w="1080" w:type="dxa"/>
            <w:tcBorders>
              <w:top w:val="nil"/>
              <w:left w:val="nil"/>
              <w:bottom w:val="nil"/>
              <w:right w:val="nil"/>
            </w:tcBorders>
            <w:hideMark/>
          </w:tcPr>
          <w:p w14:paraId="1CA7D7A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0.22</w:t>
            </w:r>
          </w:p>
        </w:tc>
      </w:tr>
      <w:tr w:rsidR="00C90EFF" w:rsidRPr="00C90EFF" w14:paraId="5DEB1B85" w14:textId="77777777">
        <w:trPr>
          <w:cnfStyle w:val="000000100000" w:firstRow="0" w:lastRow="0" w:firstColumn="0" w:lastColumn="0" w:oddVBand="0" w:evenVBand="0" w:oddHBand="1" w:evenHBand="0" w:firstRowFirstColumn="0" w:firstRowLastColumn="0" w:lastRowFirstColumn="0" w:lastRowLastColumn="0"/>
        </w:trPr>
        <w:tc>
          <w:tcPr>
            <w:tcW w:w="2610" w:type="dxa"/>
            <w:tcBorders>
              <w:left w:val="nil"/>
              <w:right w:val="nil"/>
            </w:tcBorders>
            <w:hideMark/>
          </w:tcPr>
          <w:p w14:paraId="7CE73E1A"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Weight (Kg), Mean (SD)</w:t>
            </w:r>
          </w:p>
        </w:tc>
        <w:tc>
          <w:tcPr>
            <w:tcW w:w="1260" w:type="dxa"/>
            <w:tcBorders>
              <w:left w:val="nil"/>
              <w:right w:val="nil"/>
            </w:tcBorders>
            <w:hideMark/>
          </w:tcPr>
          <w:p w14:paraId="4E466281"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31.2 (6.5)</w:t>
            </w:r>
          </w:p>
        </w:tc>
        <w:tc>
          <w:tcPr>
            <w:tcW w:w="1350" w:type="dxa"/>
            <w:tcBorders>
              <w:left w:val="nil"/>
              <w:right w:val="nil"/>
            </w:tcBorders>
            <w:hideMark/>
          </w:tcPr>
          <w:p w14:paraId="7D3DE0D3"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27.3 (4.8)</w:t>
            </w:r>
          </w:p>
        </w:tc>
        <w:tc>
          <w:tcPr>
            <w:tcW w:w="1080" w:type="dxa"/>
            <w:tcBorders>
              <w:left w:val="nil"/>
              <w:right w:val="nil"/>
            </w:tcBorders>
            <w:hideMark/>
          </w:tcPr>
          <w:p w14:paraId="49E7096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&lt;0.01</w:t>
            </w:r>
          </w:p>
        </w:tc>
        <w:tc>
          <w:tcPr>
            <w:tcW w:w="1530" w:type="dxa"/>
            <w:tcBorders>
              <w:left w:val="nil"/>
              <w:right w:val="nil"/>
            </w:tcBorders>
            <w:hideMark/>
          </w:tcPr>
          <w:p w14:paraId="3F6136F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32.3 (5.8)</w:t>
            </w:r>
          </w:p>
        </w:tc>
        <w:tc>
          <w:tcPr>
            <w:tcW w:w="1350" w:type="dxa"/>
            <w:tcBorders>
              <w:left w:val="nil"/>
              <w:right w:val="nil"/>
            </w:tcBorders>
            <w:hideMark/>
          </w:tcPr>
          <w:p w14:paraId="0F87A86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29.5 (6.3)</w:t>
            </w:r>
          </w:p>
        </w:tc>
        <w:tc>
          <w:tcPr>
            <w:tcW w:w="1080" w:type="dxa"/>
            <w:tcBorders>
              <w:left w:val="nil"/>
              <w:right w:val="nil"/>
            </w:tcBorders>
            <w:hideMark/>
          </w:tcPr>
          <w:p w14:paraId="62547A7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0.06</w:t>
            </w:r>
          </w:p>
        </w:tc>
      </w:tr>
      <w:tr w:rsidR="00C90EFF" w:rsidRPr="00C90EFF" w14:paraId="6D187F60" w14:textId="77777777">
        <w:tc>
          <w:tcPr>
            <w:tcW w:w="2610" w:type="dxa"/>
            <w:tcBorders>
              <w:top w:val="nil"/>
              <w:left w:val="nil"/>
              <w:bottom w:val="nil"/>
              <w:right w:val="nil"/>
            </w:tcBorders>
            <w:hideMark/>
          </w:tcPr>
          <w:p w14:paraId="1F8B9390"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Height (cm), Mean (SD)</w:t>
            </w:r>
          </w:p>
        </w:tc>
        <w:tc>
          <w:tcPr>
            <w:tcW w:w="1260" w:type="dxa"/>
            <w:tcBorders>
              <w:top w:val="nil"/>
              <w:left w:val="nil"/>
              <w:bottom w:val="nil"/>
              <w:right w:val="nil"/>
            </w:tcBorders>
            <w:hideMark/>
          </w:tcPr>
          <w:p w14:paraId="48A8B16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142.0 (8.8)</w:t>
            </w:r>
          </w:p>
        </w:tc>
        <w:tc>
          <w:tcPr>
            <w:tcW w:w="1350" w:type="dxa"/>
            <w:tcBorders>
              <w:top w:val="nil"/>
              <w:left w:val="nil"/>
              <w:bottom w:val="nil"/>
              <w:right w:val="nil"/>
            </w:tcBorders>
            <w:hideMark/>
          </w:tcPr>
          <w:p w14:paraId="0AAAE88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136.9 (7.9)</w:t>
            </w:r>
          </w:p>
        </w:tc>
        <w:tc>
          <w:tcPr>
            <w:tcW w:w="1080" w:type="dxa"/>
            <w:tcBorders>
              <w:top w:val="nil"/>
              <w:left w:val="nil"/>
              <w:bottom w:val="nil"/>
              <w:right w:val="nil"/>
            </w:tcBorders>
            <w:hideMark/>
          </w:tcPr>
          <w:p w14:paraId="59A765A6"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&lt;0.01</w:t>
            </w:r>
          </w:p>
        </w:tc>
        <w:tc>
          <w:tcPr>
            <w:tcW w:w="1530" w:type="dxa"/>
            <w:tcBorders>
              <w:top w:val="nil"/>
              <w:left w:val="nil"/>
              <w:bottom w:val="nil"/>
              <w:right w:val="nil"/>
            </w:tcBorders>
            <w:hideMark/>
          </w:tcPr>
          <w:p w14:paraId="05F36CA5"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144.1 (9.3)</w:t>
            </w:r>
          </w:p>
        </w:tc>
        <w:tc>
          <w:tcPr>
            <w:tcW w:w="1350" w:type="dxa"/>
            <w:tcBorders>
              <w:top w:val="nil"/>
              <w:left w:val="nil"/>
              <w:bottom w:val="nil"/>
              <w:right w:val="nil"/>
            </w:tcBorders>
            <w:hideMark/>
          </w:tcPr>
          <w:p w14:paraId="669BB986"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139.7 (8.5)</w:t>
            </w:r>
          </w:p>
        </w:tc>
        <w:tc>
          <w:tcPr>
            <w:tcW w:w="1080" w:type="dxa"/>
            <w:tcBorders>
              <w:top w:val="nil"/>
              <w:left w:val="nil"/>
              <w:bottom w:val="nil"/>
              <w:right w:val="nil"/>
            </w:tcBorders>
            <w:hideMark/>
          </w:tcPr>
          <w:p w14:paraId="7F2943B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0.04</w:t>
            </w:r>
          </w:p>
        </w:tc>
      </w:tr>
      <w:tr w:rsidR="00C90EFF" w:rsidRPr="00C90EFF" w14:paraId="248D0773" w14:textId="77777777">
        <w:trPr>
          <w:cnfStyle w:val="000000100000" w:firstRow="0" w:lastRow="0" w:firstColumn="0" w:lastColumn="0" w:oddVBand="0" w:evenVBand="0" w:oddHBand="1" w:evenHBand="0" w:firstRowFirstColumn="0" w:firstRowLastColumn="0" w:lastRowFirstColumn="0" w:lastRowLastColumn="0"/>
        </w:trPr>
        <w:tc>
          <w:tcPr>
            <w:tcW w:w="2610" w:type="dxa"/>
            <w:tcBorders>
              <w:left w:val="nil"/>
              <w:right w:val="nil"/>
            </w:tcBorders>
            <w:hideMark/>
          </w:tcPr>
          <w:p w14:paraId="5FDB7E48"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BMI (kg/cm2), Mean (SD)</w:t>
            </w:r>
          </w:p>
        </w:tc>
        <w:tc>
          <w:tcPr>
            <w:tcW w:w="1260" w:type="dxa"/>
            <w:tcBorders>
              <w:left w:val="nil"/>
              <w:right w:val="nil"/>
            </w:tcBorders>
            <w:hideMark/>
          </w:tcPr>
          <w:p w14:paraId="02888C7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15.3 (2.1)</w:t>
            </w:r>
          </w:p>
        </w:tc>
        <w:tc>
          <w:tcPr>
            <w:tcW w:w="1350" w:type="dxa"/>
            <w:tcBorders>
              <w:left w:val="nil"/>
              <w:right w:val="nil"/>
            </w:tcBorders>
            <w:hideMark/>
          </w:tcPr>
          <w:p w14:paraId="4B8171D1"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14.5 (2.0)</w:t>
            </w:r>
          </w:p>
        </w:tc>
        <w:tc>
          <w:tcPr>
            <w:tcW w:w="1080" w:type="dxa"/>
            <w:tcBorders>
              <w:left w:val="nil"/>
              <w:right w:val="nil"/>
            </w:tcBorders>
            <w:hideMark/>
          </w:tcPr>
          <w:p w14:paraId="3FF84EC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0.0879</w:t>
            </w:r>
          </w:p>
        </w:tc>
        <w:tc>
          <w:tcPr>
            <w:tcW w:w="1530" w:type="dxa"/>
            <w:tcBorders>
              <w:left w:val="nil"/>
              <w:right w:val="nil"/>
            </w:tcBorders>
            <w:hideMark/>
          </w:tcPr>
          <w:p w14:paraId="33F3B9D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15.3 (2.1)</w:t>
            </w:r>
          </w:p>
        </w:tc>
        <w:tc>
          <w:tcPr>
            <w:tcW w:w="1350" w:type="dxa"/>
            <w:tcBorders>
              <w:left w:val="nil"/>
              <w:right w:val="nil"/>
            </w:tcBorders>
            <w:hideMark/>
          </w:tcPr>
          <w:p w14:paraId="282DE6E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15.0 (2.1)</w:t>
            </w:r>
          </w:p>
        </w:tc>
        <w:tc>
          <w:tcPr>
            <w:tcW w:w="1080" w:type="dxa"/>
            <w:tcBorders>
              <w:left w:val="nil"/>
              <w:right w:val="nil"/>
            </w:tcBorders>
            <w:hideMark/>
          </w:tcPr>
          <w:p w14:paraId="04008F7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0.56</w:t>
            </w:r>
          </w:p>
        </w:tc>
      </w:tr>
      <w:tr w:rsidR="00C90EFF" w:rsidRPr="00C90EFF" w14:paraId="4CDBFA4A" w14:textId="77777777">
        <w:tc>
          <w:tcPr>
            <w:tcW w:w="2610" w:type="dxa"/>
            <w:tcBorders>
              <w:top w:val="nil"/>
              <w:left w:val="nil"/>
              <w:bottom w:val="nil"/>
              <w:right w:val="nil"/>
            </w:tcBorders>
            <w:hideMark/>
          </w:tcPr>
          <w:p w14:paraId="51638F3B"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Education, N (%)</w:t>
            </w:r>
          </w:p>
          <w:p w14:paraId="737ABD12" w14:textId="77777777" w:rsidR="00C90EFF" w:rsidRPr="00C90EFF" w:rsidRDefault="00C90EFF" w:rsidP="00C90EFF">
            <w:pPr>
              <w:numPr>
                <w:ilvl w:val="0"/>
                <w:numId w:val="9"/>
              </w:numPr>
              <w:spacing w:after="0" w:line="240" w:lineRule="auto"/>
              <w:rPr>
                <w:rFonts w:ascii="Times New Roman" w:hAnsi="Times New Roman"/>
                <w:sz w:val="20"/>
                <w:szCs w:val="20"/>
              </w:rPr>
            </w:pPr>
            <w:r w:rsidRPr="00C90EFF">
              <w:rPr>
                <w:rFonts w:ascii="Times New Roman" w:hAnsi="Times New Roman"/>
                <w:sz w:val="20"/>
                <w:szCs w:val="20"/>
              </w:rPr>
              <w:t>Primary</w:t>
            </w:r>
          </w:p>
          <w:p w14:paraId="46B4584B" w14:textId="77777777" w:rsidR="00C90EFF" w:rsidRPr="00C90EFF" w:rsidRDefault="00C90EFF" w:rsidP="00C90EFF">
            <w:pPr>
              <w:numPr>
                <w:ilvl w:val="0"/>
                <w:numId w:val="9"/>
              </w:numPr>
              <w:spacing w:after="0" w:line="240" w:lineRule="auto"/>
              <w:rPr>
                <w:rFonts w:ascii="Times New Roman" w:hAnsi="Times New Roman"/>
                <w:sz w:val="20"/>
                <w:szCs w:val="20"/>
              </w:rPr>
            </w:pPr>
            <w:r w:rsidRPr="00C90EFF">
              <w:rPr>
                <w:rFonts w:ascii="Times New Roman" w:hAnsi="Times New Roman"/>
                <w:sz w:val="20"/>
                <w:szCs w:val="20"/>
              </w:rPr>
              <w:t>JSS</w:t>
            </w:r>
          </w:p>
        </w:tc>
        <w:tc>
          <w:tcPr>
            <w:tcW w:w="1260" w:type="dxa"/>
            <w:tcBorders>
              <w:top w:val="nil"/>
              <w:left w:val="nil"/>
              <w:bottom w:val="nil"/>
              <w:right w:val="nil"/>
            </w:tcBorders>
            <w:hideMark/>
          </w:tcPr>
          <w:p w14:paraId="0FAC1FB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br/>
              <w:t>44 (60.3)</w:t>
            </w:r>
          </w:p>
          <w:p w14:paraId="5949B3F4"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29 (39.7)</w:t>
            </w:r>
          </w:p>
        </w:tc>
        <w:tc>
          <w:tcPr>
            <w:tcW w:w="1350" w:type="dxa"/>
            <w:tcBorders>
              <w:top w:val="nil"/>
              <w:left w:val="nil"/>
              <w:bottom w:val="nil"/>
              <w:right w:val="nil"/>
            </w:tcBorders>
          </w:tcPr>
          <w:p w14:paraId="7B8976DF" w14:textId="77777777" w:rsidR="00C90EFF" w:rsidRPr="00C90EFF" w:rsidRDefault="00C90EFF" w:rsidP="00C90EFF">
            <w:pPr>
              <w:spacing w:after="0" w:line="240" w:lineRule="auto"/>
              <w:jc w:val="center"/>
              <w:rPr>
                <w:rFonts w:ascii="Times New Roman" w:hAnsi="Times New Roman"/>
                <w:sz w:val="20"/>
                <w:szCs w:val="20"/>
              </w:rPr>
            </w:pPr>
          </w:p>
          <w:p w14:paraId="63A2440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24 (88.9)</w:t>
            </w:r>
          </w:p>
          <w:p w14:paraId="63193DB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 (11.1)</w:t>
            </w:r>
          </w:p>
        </w:tc>
        <w:tc>
          <w:tcPr>
            <w:tcW w:w="1080" w:type="dxa"/>
            <w:tcBorders>
              <w:top w:val="nil"/>
              <w:left w:val="nil"/>
              <w:bottom w:val="nil"/>
              <w:right w:val="nil"/>
            </w:tcBorders>
            <w:hideMark/>
          </w:tcPr>
          <w:p w14:paraId="5A61D95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&lt;0.01</w:t>
            </w:r>
          </w:p>
        </w:tc>
        <w:tc>
          <w:tcPr>
            <w:tcW w:w="1530" w:type="dxa"/>
            <w:tcBorders>
              <w:top w:val="nil"/>
              <w:left w:val="nil"/>
              <w:bottom w:val="nil"/>
              <w:right w:val="nil"/>
            </w:tcBorders>
          </w:tcPr>
          <w:p w14:paraId="76DBD776" w14:textId="77777777" w:rsidR="00C90EFF" w:rsidRPr="00C90EFF" w:rsidRDefault="00C90EFF" w:rsidP="00C90EFF">
            <w:pPr>
              <w:spacing w:after="0" w:line="240" w:lineRule="auto"/>
              <w:jc w:val="center"/>
              <w:rPr>
                <w:rFonts w:ascii="Times New Roman" w:hAnsi="Times New Roman"/>
                <w:sz w:val="20"/>
                <w:szCs w:val="20"/>
              </w:rPr>
            </w:pPr>
          </w:p>
          <w:p w14:paraId="6AE5C98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12 (54.4)</w:t>
            </w:r>
          </w:p>
          <w:p w14:paraId="0C71C71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10 (45.5)</w:t>
            </w:r>
          </w:p>
        </w:tc>
        <w:tc>
          <w:tcPr>
            <w:tcW w:w="1350" w:type="dxa"/>
            <w:tcBorders>
              <w:top w:val="nil"/>
              <w:left w:val="nil"/>
              <w:bottom w:val="nil"/>
              <w:right w:val="nil"/>
            </w:tcBorders>
          </w:tcPr>
          <w:p w14:paraId="03F099DA" w14:textId="77777777" w:rsidR="00C90EFF" w:rsidRPr="00C90EFF" w:rsidRDefault="00C90EFF" w:rsidP="00C90EFF">
            <w:pPr>
              <w:spacing w:after="0" w:line="240" w:lineRule="auto"/>
              <w:jc w:val="center"/>
              <w:rPr>
                <w:rFonts w:ascii="Times New Roman" w:hAnsi="Times New Roman"/>
                <w:sz w:val="20"/>
                <w:szCs w:val="20"/>
              </w:rPr>
            </w:pPr>
          </w:p>
          <w:p w14:paraId="404AEC6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56 (71.8)</w:t>
            </w:r>
          </w:p>
          <w:p w14:paraId="155C0BB4"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22 (28.2)</w:t>
            </w:r>
          </w:p>
        </w:tc>
        <w:tc>
          <w:tcPr>
            <w:tcW w:w="1080" w:type="dxa"/>
            <w:tcBorders>
              <w:top w:val="nil"/>
              <w:left w:val="nil"/>
              <w:bottom w:val="nil"/>
              <w:right w:val="nil"/>
            </w:tcBorders>
            <w:hideMark/>
          </w:tcPr>
          <w:p w14:paraId="0739BB8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0.2</w:t>
            </w:r>
          </w:p>
        </w:tc>
      </w:tr>
      <w:tr w:rsidR="00C90EFF" w:rsidRPr="00C90EFF" w14:paraId="49DA8150" w14:textId="77777777" w:rsidTr="00C90EFF">
        <w:trPr>
          <w:cnfStyle w:val="000000100000" w:firstRow="0" w:lastRow="0" w:firstColumn="0" w:lastColumn="0" w:oddVBand="0" w:evenVBand="0" w:oddHBand="1" w:evenHBand="0" w:firstRowFirstColumn="0" w:firstRowLastColumn="0" w:lastRowFirstColumn="0" w:lastRowLastColumn="0"/>
        </w:trPr>
        <w:tc>
          <w:tcPr>
            <w:tcW w:w="10260" w:type="dxa"/>
            <w:gridSpan w:val="7"/>
            <w:tcBorders>
              <w:left w:val="nil"/>
              <w:right w:val="nil"/>
            </w:tcBorders>
            <w:shd w:val="clear" w:color="auto" w:fill="DAE9F7"/>
            <w:hideMark/>
          </w:tcPr>
          <w:p w14:paraId="2E1DD754" w14:textId="77777777" w:rsidR="00C90EFF" w:rsidRPr="00C90EFF" w:rsidRDefault="00C90EFF" w:rsidP="00C90EFF">
            <w:pPr>
              <w:spacing w:after="0" w:line="240" w:lineRule="auto"/>
              <w:jc w:val="center"/>
              <w:rPr>
                <w:rFonts w:ascii="Times New Roman" w:hAnsi="Times New Roman"/>
                <w:b/>
                <w:sz w:val="20"/>
                <w:szCs w:val="20"/>
              </w:rPr>
            </w:pPr>
            <w:r w:rsidRPr="00C90EFF">
              <w:rPr>
                <w:rFonts w:ascii="Times New Roman" w:hAnsi="Times New Roman"/>
                <w:b/>
                <w:sz w:val="20"/>
                <w:szCs w:val="20"/>
              </w:rPr>
              <w:t>Oral and Dental Health</w:t>
            </w:r>
          </w:p>
        </w:tc>
      </w:tr>
      <w:tr w:rsidR="00C90EFF" w:rsidRPr="00C90EFF" w14:paraId="0086601F" w14:textId="77777777">
        <w:tc>
          <w:tcPr>
            <w:tcW w:w="2610" w:type="dxa"/>
            <w:tcBorders>
              <w:top w:val="nil"/>
              <w:left w:val="nil"/>
              <w:bottom w:val="nil"/>
              <w:right w:val="nil"/>
            </w:tcBorders>
            <w:hideMark/>
          </w:tcPr>
          <w:p w14:paraId="5E9FC50F"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DMFT Score, Mean (SD)</w:t>
            </w:r>
          </w:p>
        </w:tc>
        <w:tc>
          <w:tcPr>
            <w:tcW w:w="1260" w:type="dxa"/>
            <w:tcBorders>
              <w:top w:val="nil"/>
              <w:left w:val="nil"/>
              <w:bottom w:val="nil"/>
              <w:right w:val="nil"/>
            </w:tcBorders>
            <w:hideMark/>
          </w:tcPr>
          <w:p w14:paraId="3257B8F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0.2 (0.7)</w:t>
            </w:r>
          </w:p>
        </w:tc>
        <w:tc>
          <w:tcPr>
            <w:tcW w:w="1350" w:type="dxa"/>
            <w:tcBorders>
              <w:top w:val="nil"/>
              <w:left w:val="nil"/>
              <w:bottom w:val="nil"/>
              <w:right w:val="nil"/>
            </w:tcBorders>
            <w:hideMark/>
          </w:tcPr>
          <w:p w14:paraId="6A601134"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0.6 (1.1)</w:t>
            </w:r>
          </w:p>
        </w:tc>
        <w:tc>
          <w:tcPr>
            <w:tcW w:w="1080" w:type="dxa"/>
            <w:tcBorders>
              <w:top w:val="nil"/>
              <w:left w:val="nil"/>
              <w:bottom w:val="nil"/>
              <w:right w:val="nil"/>
            </w:tcBorders>
            <w:hideMark/>
          </w:tcPr>
          <w:p w14:paraId="0280F58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0.1</w:t>
            </w:r>
          </w:p>
        </w:tc>
        <w:tc>
          <w:tcPr>
            <w:tcW w:w="1530" w:type="dxa"/>
            <w:tcBorders>
              <w:top w:val="nil"/>
              <w:left w:val="nil"/>
              <w:bottom w:val="nil"/>
              <w:right w:val="nil"/>
            </w:tcBorders>
            <w:hideMark/>
          </w:tcPr>
          <w:p w14:paraId="2858C6C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0.2 (0.6)</w:t>
            </w:r>
          </w:p>
        </w:tc>
        <w:tc>
          <w:tcPr>
            <w:tcW w:w="1350" w:type="dxa"/>
            <w:tcBorders>
              <w:top w:val="nil"/>
              <w:left w:val="nil"/>
              <w:bottom w:val="nil"/>
              <w:right w:val="nil"/>
            </w:tcBorders>
            <w:hideMark/>
          </w:tcPr>
          <w:p w14:paraId="70CEFF6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0.4 (0.9)</w:t>
            </w:r>
          </w:p>
        </w:tc>
        <w:tc>
          <w:tcPr>
            <w:tcW w:w="1080" w:type="dxa"/>
            <w:tcBorders>
              <w:top w:val="nil"/>
              <w:left w:val="nil"/>
              <w:bottom w:val="nil"/>
              <w:right w:val="nil"/>
            </w:tcBorders>
            <w:hideMark/>
          </w:tcPr>
          <w:p w14:paraId="502A442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0.34</w:t>
            </w:r>
          </w:p>
        </w:tc>
      </w:tr>
      <w:tr w:rsidR="00C90EFF" w:rsidRPr="00C90EFF" w14:paraId="751DF184" w14:textId="77777777">
        <w:trPr>
          <w:cnfStyle w:val="000000100000" w:firstRow="0" w:lastRow="0" w:firstColumn="0" w:lastColumn="0" w:oddVBand="0" w:evenVBand="0" w:oddHBand="1" w:evenHBand="0" w:firstRowFirstColumn="0" w:firstRowLastColumn="0" w:lastRowFirstColumn="0" w:lastRowLastColumn="0"/>
        </w:trPr>
        <w:tc>
          <w:tcPr>
            <w:tcW w:w="2610" w:type="dxa"/>
            <w:tcBorders>
              <w:left w:val="nil"/>
              <w:right w:val="nil"/>
            </w:tcBorders>
            <w:hideMark/>
          </w:tcPr>
          <w:p w14:paraId="3E223CB6"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PUFA Score, Mean (SD)</w:t>
            </w:r>
          </w:p>
        </w:tc>
        <w:tc>
          <w:tcPr>
            <w:tcW w:w="1260" w:type="dxa"/>
            <w:tcBorders>
              <w:left w:val="nil"/>
              <w:right w:val="nil"/>
            </w:tcBorders>
            <w:hideMark/>
          </w:tcPr>
          <w:p w14:paraId="427FD57B"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 (0.2)</w:t>
            </w:r>
          </w:p>
        </w:tc>
        <w:tc>
          <w:tcPr>
            <w:tcW w:w="1350" w:type="dxa"/>
            <w:tcBorders>
              <w:left w:val="nil"/>
              <w:right w:val="nil"/>
            </w:tcBorders>
            <w:hideMark/>
          </w:tcPr>
          <w:p w14:paraId="3D2D99F0"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 (0.2)</w:t>
            </w:r>
          </w:p>
        </w:tc>
        <w:tc>
          <w:tcPr>
            <w:tcW w:w="1080" w:type="dxa"/>
            <w:tcBorders>
              <w:left w:val="nil"/>
              <w:right w:val="nil"/>
            </w:tcBorders>
            <w:hideMark/>
          </w:tcPr>
          <w:p w14:paraId="19776641"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0.83</w:t>
            </w:r>
          </w:p>
        </w:tc>
        <w:tc>
          <w:tcPr>
            <w:tcW w:w="1530" w:type="dxa"/>
            <w:tcBorders>
              <w:left w:val="nil"/>
              <w:right w:val="nil"/>
            </w:tcBorders>
            <w:hideMark/>
          </w:tcPr>
          <w:p w14:paraId="149A8BD4"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 (0.0)</w:t>
            </w:r>
          </w:p>
        </w:tc>
        <w:tc>
          <w:tcPr>
            <w:tcW w:w="1350" w:type="dxa"/>
            <w:tcBorders>
              <w:left w:val="nil"/>
              <w:right w:val="nil"/>
            </w:tcBorders>
            <w:hideMark/>
          </w:tcPr>
          <w:p w14:paraId="07F3110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 (0.3)</w:t>
            </w:r>
          </w:p>
        </w:tc>
        <w:tc>
          <w:tcPr>
            <w:tcW w:w="1080" w:type="dxa"/>
            <w:tcBorders>
              <w:left w:val="nil"/>
              <w:right w:val="nil"/>
            </w:tcBorders>
            <w:hideMark/>
          </w:tcPr>
          <w:p w14:paraId="12E1A25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0.18</w:t>
            </w:r>
          </w:p>
        </w:tc>
      </w:tr>
      <w:tr w:rsidR="00C90EFF" w:rsidRPr="00C90EFF" w14:paraId="793624C4" w14:textId="77777777">
        <w:tc>
          <w:tcPr>
            <w:tcW w:w="2610" w:type="dxa"/>
            <w:tcBorders>
              <w:top w:val="nil"/>
              <w:left w:val="nil"/>
              <w:bottom w:val="nil"/>
              <w:right w:val="nil"/>
            </w:tcBorders>
            <w:hideMark/>
          </w:tcPr>
          <w:p w14:paraId="18C75635"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OHIS Category, N (%)</w:t>
            </w:r>
          </w:p>
          <w:p w14:paraId="3242EF78"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1. 0-1.2: Good</w:t>
            </w:r>
          </w:p>
          <w:p w14:paraId="4CE99B9F"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2. 1.3-3: Fair</w:t>
            </w:r>
          </w:p>
          <w:p w14:paraId="3903F21D"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3. &gt;3.1: Poor</w:t>
            </w:r>
          </w:p>
        </w:tc>
        <w:tc>
          <w:tcPr>
            <w:tcW w:w="1260" w:type="dxa"/>
            <w:tcBorders>
              <w:top w:val="nil"/>
              <w:left w:val="nil"/>
              <w:bottom w:val="nil"/>
              <w:right w:val="nil"/>
            </w:tcBorders>
          </w:tcPr>
          <w:p w14:paraId="676C03B8" w14:textId="77777777" w:rsidR="00C90EFF" w:rsidRPr="00C90EFF" w:rsidRDefault="00C90EFF" w:rsidP="00C90EFF">
            <w:pPr>
              <w:spacing w:after="0" w:line="240" w:lineRule="auto"/>
              <w:jc w:val="center"/>
              <w:rPr>
                <w:rFonts w:ascii="Times New Roman" w:hAnsi="Times New Roman"/>
                <w:sz w:val="20"/>
                <w:szCs w:val="20"/>
              </w:rPr>
            </w:pPr>
          </w:p>
          <w:p w14:paraId="35D7AB1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26 (35.6)</w:t>
            </w:r>
          </w:p>
          <w:p w14:paraId="2DCB9E3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44 (60.3)</w:t>
            </w:r>
          </w:p>
          <w:p w14:paraId="7781B6C3"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 (4.1)</w:t>
            </w:r>
          </w:p>
        </w:tc>
        <w:tc>
          <w:tcPr>
            <w:tcW w:w="1350" w:type="dxa"/>
            <w:tcBorders>
              <w:top w:val="nil"/>
              <w:left w:val="nil"/>
              <w:bottom w:val="nil"/>
              <w:right w:val="nil"/>
            </w:tcBorders>
          </w:tcPr>
          <w:p w14:paraId="464D50AC" w14:textId="77777777" w:rsidR="00C90EFF" w:rsidRPr="00C90EFF" w:rsidRDefault="00C90EFF" w:rsidP="00C90EFF">
            <w:pPr>
              <w:spacing w:after="0" w:line="240" w:lineRule="auto"/>
              <w:jc w:val="center"/>
              <w:rPr>
                <w:rFonts w:ascii="Times New Roman" w:hAnsi="Times New Roman"/>
                <w:sz w:val="20"/>
                <w:szCs w:val="20"/>
              </w:rPr>
            </w:pPr>
          </w:p>
          <w:p w14:paraId="1F1CBDD0"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11 (40.7)</w:t>
            </w:r>
          </w:p>
          <w:p w14:paraId="2CAA9A8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12 (44.4)</w:t>
            </w:r>
          </w:p>
          <w:p w14:paraId="27F7B95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4 (14.8)</w:t>
            </w:r>
          </w:p>
        </w:tc>
        <w:tc>
          <w:tcPr>
            <w:tcW w:w="1080" w:type="dxa"/>
            <w:tcBorders>
              <w:top w:val="nil"/>
              <w:left w:val="nil"/>
              <w:bottom w:val="nil"/>
              <w:right w:val="nil"/>
            </w:tcBorders>
            <w:hideMark/>
          </w:tcPr>
          <w:p w14:paraId="658EE9B8"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0.1</w:t>
            </w:r>
          </w:p>
        </w:tc>
        <w:tc>
          <w:tcPr>
            <w:tcW w:w="1530" w:type="dxa"/>
            <w:tcBorders>
              <w:top w:val="nil"/>
              <w:left w:val="nil"/>
              <w:bottom w:val="nil"/>
              <w:right w:val="nil"/>
            </w:tcBorders>
          </w:tcPr>
          <w:p w14:paraId="36A915E1" w14:textId="77777777" w:rsidR="00C90EFF" w:rsidRPr="00C90EFF" w:rsidRDefault="00C90EFF" w:rsidP="00C90EFF">
            <w:pPr>
              <w:spacing w:after="0" w:line="240" w:lineRule="auto"/>
              <w:jc w:val="center"/>
              <w:rPr>
                <w:rFonts w:ascii="Times New Roman" w:hAnsi="Times New Roman"/>
                <w:sz w:val="20"/>
                <w:szCs w:val="20"/>
              </w:rPr>
            </w:pPr>
          </w:p>
          <w:p w14:paraId="0FB93102"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9 (40.9)</w:t>
            </w:r>
          </w:p>
          <w:p w14:paraId="4E99CC2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11 (50)</w:t>
            </w:r>
          </w:p>
          <w:p w14:paraId="7D39D75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 (9.1)</w:t>
            </w:r>
          </w:p>
        </w:tc>
        <w:tc>
          <w:tcPr>
            <w:tcW w:w="1350" w:type="dxa"/>
            <w:tcBorders>
              <w:top w:val="nil"/>
              <w:left w:val="nil"/>
              <w:bottom w:val="nil"/>
              <w:right w:val="nil"/>
            </w:tcBorders>
          </w:tcPr>
          <w:p w14:paraId="2F08443C" w14:textId="77777777" w:rsidR="00C90EFF" w:rsidRPr="00C90EFF" w:rsidRDefault="00C90EFF" w:rsidP="00C90EFF">
            <w:pPr>
              <w:spacing w:after="0" w:line="240" w:lineRule="auto"/>
              <w:jc w:val="center"/>
              <w:rPr>
                <w:rFonts w:ascii="Times New Roman" w:hAnsi="Times New Roman"/>
                <w:sz w:val="20"/>
                <w:szCs w:val="20"/>
              </w:rPr>
            </w:pPr>
          </w:p>
          <w:p w14:paraId="6B2E7AD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28 (35.9)</w:t>
            </w:r>
          </w:p>
          <w:p w14:paraId="712BDAD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45 (57.7)</w:t>
            </w:r>
          </w:p>
          <w:p w14:paraId="3A77DF7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5 (6.4)</w:t>
            </w:r>
          </w:p>
        </w:tc>
        <w:tc>
          <w:tcPr>
            <w:tcW w:w="1080" w:type="dxa"/>
            <w:tcBorders>
              <w:top w:val="nil"/>
              <w:left w:val="nil"/>
              <w:bottom w:val="nil"/>
              <w:right w:val="nil"/>
            </w:tcBorders>
            <w:hideMark/>
          </w:tcPr>
          <w:p w14:paraId="23C5E02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0.68</w:t>
            </w:r>
          </w:p>
        </w:tc>
      </w:tr>
      <w:tr w:rsidR="00C90EFF" w:rsidRPr="00C90EFF" w14:paraId="42E7F795" w14:textId="77777777" w:rsidTr="00C90EFF">
        <w:trPr>
          <w:cnfStyle w:val="000000100000" w:firstRow="0" w:lastRow="0" w:firstColumn="0" w:lastColumn="0" w:oddVBand="0" w:evenVBand="0" w:oddHBand="1" w:evenHBand="0" w:firstRowFirstColumn="0" w:firstRowLastColumn="0" w:lastRowFirstColumn="0" w:lastRowLastColumn="0"/>
        </w:trPr>
        <w:tc>
          <w:tcPr>
            <w:tcW w:w="10260" w:type="dxa"/>
            <w:gridSpan w:val="7"/>
            <w:tcBorders>
              <w:left w:val="nil"/>
              <w:right w:val="nil"/>
            </w:tcBorders>
            <w:shd w:val="clear" w:color="auto" w:fill="DAE9F7"/>
            <w:hideMark/>
          </w:tcPr>
          <w:p w14:paraId="2D2D6E29" w14:textId="77777777" w:rsidR="00C90EFF" w:rsidRPr="00C90EFF" w:rsidRDefault="00C90EFF" w:rsidP="00C90EFF">
            <w:pPr>
              <w:spacing w:after="0" w:line="240" w:lineRule="auto"/>
              <w:jc w:val="center"/>
              <w:rPr>
                <w:rFonts w:ascii="Times New Roman" w:hAnsi="Times New Roman"/>
                <w:b/>
                <w:sz w:val="20"/>
                <w:szCs w:val="20"/>
              </w:rPr>
            </w:pPr>
            <w:r w:rsidRPr="00C90EFF">
              <w:rPr>
                <w:rFonts w:ascii="Times New Roman" w:hAnsi="Times New Roman"/>
                <w:b/>
                <w:sz w:val="20"/>
                <w:szCs w:val="20"/>
              </w:rPr>
              <w:t>Clinical Features</w:t>
            </w:r>
          </w:p>
        </w:tc>
      </w:tr>
      <w:tr w:rsidR="00C90EFF" w:rsidRPr="00C90EFF" w14:paraId="2F934AD9" w14:textId="77777777">
        <w:tc>
          <w:tcPr>
            <w:tcW w:w="2610" w:type="dxa"/>
            <w:tcBorders>
              <w:top w:val="nil"/>
              <w:left w:val="nil"/>
              <w:bottom w:val="nil"/>
              <w:right w:val="nil"/>
            </w:tcBorders>
            <w:hideMark/>
          </w:tcPr>
          <w:p w14:paraId="5811DD0E"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CD4 Count, Mean (SD)</w:t>
            </w:r>
          </w:p>
        </w:tc>
        <w:tc>
          <w:tcPr>
            <w:tcW w:w="1260" w:type="dxa"/>
            <w:tcBorders>
              <w:top w:val="nil"/>
              <w:left w:val="nil"/>
              <w:bottom w:val="nil"/>
              <w:right w:val="nil"/>
            </w:tcBorders>
            <w:hideMark/>
          </w:tcPr>
          <w:p w14:paraId="405A3854"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767.3 (334.8)</w:t>
            </w:r>
          </w:p>
        </w:tc>
        <w:tc>
          <w:tcPr>
            <w:tcW w:w="1350" w:type="dxa"/>
            <w:tcBorders>
              <w:top w:val="nil"/>
              <w:left w:val="nil"/>
              <w:bottom w:val="nil"/>
              <w:right w:val="nil"/>
            </w:tcBorders>
            <w:hideMark/>
          </w:tcPr>
          <w:p w14:paraId="602FCAF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678.9 (274.3)</w:t>
            </w:r>
          </w:p>
        </w:tc>
        <w:tc>
          <w:tcPr>
            <w:tcW w:w="1080" w:type="dxa"/>
            <w:tcBorders>
              <w:top w:val="nil"/>
              <w:left w:val="nil"/>
              <w:bottom w:val="nil"/>
              <w:right w:val="nil"/>
            </w:tcBorders>
            <w:hideMark/>
          </w:tcPr>
          <w:p w14:paraId="248AB835"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0.18</w:t>
            </w:r>
          </w:p>
        </w:tc>
        <w:tc>
          <w:tcPr>
            <w:tcW w:w="1530" w:type="dxa"/>
            <w:tcBorders>
              <w:top w:val="nil"/>
              <w:left w:val="nil"/>
              <w:bottom w:val="nil"/>
              <w:right w:val="nil"/>
            </w:tcBorders>
            <w:hideMark/>
          </w:tcPr>
          <w:p w14:paraId="78C9857E"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869.5 (369.1)</w:t>
            </w:r>
          </w:p>
        </w:tc>
        <w:tc>
          <w:tcPr>
            <w:tcW w:w="1350" w:type="dxa"/>
            <w:tcBorders>
              <w:top w:val="nil"/>
              <w:left w:val="nil"/>
              <w:bottom w:val="nil"/>
              <w:right w:val="nil"/>
            </w:tcBorders>
            <w:hideMark/>
          </w:tcPr>
          <w:p w14:paraId="6613347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707.9 (298.7)</w:t>
            </w:r>
          </w:p>
        </w:tc>
        <w:tc>
          <w:tcPr>
            <w:tcW w:w="1080" w:type="dxa"/>
            <w:tcBorders>
              <w:top w:val="nil"/>
              <w:left w:val="nil"/>
              <w:bottom w:val="nil"/>
              <w:right w:val="nil"/>
            </w:tcBorders>
            <w:hideMark/>
          </w:tcPr>
          <w:p w14:paraId="09D0EFFC"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0.06</w:t>
            </w:r>
          </w:p>
        </w:tc>
      </w:tr>
      <w:tr w:rsidR="00C90EFF" w:rsidRPr="00C90EFF" w14:paraId="223541FA" w14:textId="77777777">
        <w:trPr>
          <w:cnfStyle w:val="000000100000" w:firstRow="0" w:lastRow="0" w:firstColumn="0" w:lastColumn="0" w:oddVBand="0" w:evenVBand="0" w:oddHBand="1" w:evenHBand="0" w:firstRowFirstColumn="0" w:firstRowLastColumn="0" w:lastRowFirstColumn="0" w:lastRowLastColumn="0"/>
        </w:trPr>
        <w:tc>
          <w:tcPr>
            <w:tcW w:w="2610" w:type="dxa"/>
            <w:tcBorders>
              <w:left w:val="nil"/>
              <w:right w:val="nil"/>
            </w:tcBorders>
            <w:hideMark/>
          </w:tcPr>
          <w:p w14:paraId="40AB386E"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CD8 Count, Mean (SD)</w:t>
            </w:r>
          </w:p>
        </w:tc>
        <w:tc>
          <w:tcPr>
            <w:tcW w:w="1260" w:type="dxa"/>
            <w:tcBorders>
              <w:left w:val="nil"/>
              <w:right w:val="nil"/>
            </w:tcBorders>
            <w:hideMark/>
          </w:tcPr>
          <w:p w14:paraId="03A0A663"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556.4 (445.1)</w:t>
            </w:r>
          </w:p>
        </w:tc>
        <w:tc>
          <w:tcPr>
            <w:tcW w:w="1350" w:type="dxa"/>
            <w:tcBorders>
              <w:left w:val="nil"/>
              <w:right w:val="nil"/>
            </w:tcBorders>
            <w:hideMark/>
          </w:tcPr>
          <w:p w14:paraId="451BCFF3"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632.7 (247.4)</w:t>
            </w:r>
          </w:p>
        </w:tc>
        <w:tc>
          <w:tcPr>
            <w:tcW w:w="1080" w:type="dxa"/>
            <w:tcBorders>
              <w:left w:val="nil"/>
              <w:right w:val="nil"/>
            </w:tcBorders>
            <w:hideMark/>
          </w:tcPr>
          <w:p w14:paraId="570568A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0.28</w:t>
            </w:r>
          </w:p>
        </w:tc>
        <w:tc>
          <w:tcPr>
            <w:tcW w:w="1530" w:type="dxa"/>
            <w:tcBorders>
              <w:left w:val="nil"/>
              <w:right w:val="nil"/>
            </w:tcBorders>
            <w:hideMark/>
          </w:tcPr>
          <w:p w14:paraId="058CC48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621.0 (770.9)</w:t>
            </w:r>
          </w:p>
        </w:tc>
        <w:tc>
          <w:tcPr>
            <w:tcW w:w="1350" w:type="dxa"/>
            <w:tcBorders>
              <w:left w:val="nil"/>
              <w:right w:val="nil"/>
            </w:tcBorders>
            <w:hideMark/>
          </w:tcPr>
          <w:p w14:paraId="045C648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564.6 (211.2)</w:t>
            </w:r>
          </w:p>
        </w:tc>
        <w:tc>
          <w:tcPr>
            <w:tcW w:w="1080" w:type="dxa"/>
            <w:tcBorders>
              <w:left w:val="nil"/>
              <w:right w:val="nil"/>
            </w:tcBorders>
            <w:hideMark/>
          </w:tcPr>
          <w:p w14:paraId="6789880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0.73</w:t>
            </w:r>
          </w:p>
        </w:tc>
      </w:tr>
      <w:tr w:rsidR="00C90EFF" w:rsidRPr="00C90EFF" w14:paraId="7CA0FE34" w14:textId="77777777" w:rsidTr="00C90EFF">
        <w:tc>
          <w:tcPr>
            <w:tcW w:w="2610" w:type="dxa"/>
            <w:tcBorders>
              <w:top w:val="nil"/>
              <w:left w:val="nil"/>
              <w:bottom w:val="single" w:sz="4" w:space="0" w:color="7F7F7F"/>
              <w:right w:val="nil"/>
            </w:tcBorders>
            <w:hideMark/>
          </w:tcPr>
          <w:p w14:paraId="7030D2D5" w14:textId="77777777" w:rsidR="00C90EFF" w:rsidRPr="00C90EFF" w:rsidRDefault="00C90EFF" w:rsidP="00C90EFF">
            <w:pPr>
              <w:spacing w:after="0" w:line="240" w:lineRule="auto"/>
              <w:rPr>
                <w:rFonts w:ascii="Times New Roman" w:hAnsi="Times New Roman"/>
                <w:sz w:val="20"/>
                <w:szCs w:val="20"/>
              </w:rPr>
            </w:pPr>
            <w:r w:rsidRPr="00C90EFF">
              <w:rPr>
                <w:rFonts w:ascii="Times New Roman" w:hAnsi="Times New Roman"/>
                <w:sz w:val="20"/>
                <w:szCs w:val="20"/>
              </w:rPr>
              <w:t>Viral Load, N (%)</w:t>
            </w:r>
          </w:p>
          <w:p w14:paraId="1C152C5E" w14:textId="77777777" w:rsidR="00C90EFF" w:rsidRPr="00C90EFF" w:rsidRDefault="00C90EFF" w:rsidP="00C90EFF">
            <w:pPr>
              <w:numPr>
                <w:ilvl w:val="0"/>
                <w:numId w:val="10"/>
              </w:numPr>
              <w:spacing w:after="0" w:line="240" w:lineRule="auto"/>
              <w:rPr>
                <w:rFonts w:ascii="Times New Roman" w:hAnsi="Times New Roman"/>
                <w:sz w:val="20"/>
                <w:szCs w:val="20"/>
              </w:rPr>
            </w:pPr>
            <w:r w:rsidRPr="00C90EFF">
              <w:rPr>
                <w:rFonts w:ascii="Times New Roman" w:hAnsi="Times New Roman"/>
                <w:sz w:val="20"/>
                <w:szCs w:val="20"/>
              </w:rPr>
              <w:t>Detectable (&lt;20 copies)</w:t>
            </w:r>
          </w:p>
          <w:p w14:paraId="7353D6B4" w14:textId="77777777" w:rsidR="00C90EFF" w:rsidRPr="00C90EFF" w:rsidRDefault="00C90EFF" w:rsidP="00C90EFF">
            <w:pPr>
              <w:numPr>
                <w:ilvl w:val="0"/>
                <w:numId w:val="10"/>
              </w:numPr>
              <w:spacing w:after="0" w:line="240" w:lineRule="auto"/>
              <w:rPr>
                <w:rFonts w:ascii="Times New Roman" w:hAnsi="Times New Roman"/>
                <w:sz w:val="20"/>
                <w:szCs w:val="20"/>
              </w:rPr>
            </w:pPr>
            <w:r w:rsidRPr="00C90EFF">
              <w:rPr>
                <w:rFonts w:ascii="Times New Roman" w:hAnsi="Times New Roman"/>
                <w:sz w:val="20"/>
                <w:szCs w:val="20"/>
              </w:rPr>
              <w:t>Not Detectable (&gt;20 copies)</w:t>
            </w:r>
          </w:p>
        </w:tc>
        <w:tc>
          <w:tcPr>
            <w:tcW w:w="1260" w:type="dxa"/>
            <w:tcBorders>
              <w:top w:val="nil"/>
              <w:left w:val="nil"/>
              <w:bottom w:val="single" w:sz="4" w:space="0" w:color="7F7F7F"/>
              <w:right w:val="nil"/>
            </w:tcBorders>
          </w:tcPr>
          <w:p w14:paraId="7260BF4F" w14:textId="77777777" w:rsidR="00C90EFF" w:rsidRPr="00C90EFF" w:rsidRDefault="00C90EFF" w:rsidP="00C90EFF">
            <w:pPr>
              <w:spacing w:after="0" w:line="240" w:lineRule="auto"/>
              <w:jc w:val="center"/>
              <w:rPr>
                <w:rFonts w:ascii="Times New Roman" w:hAnsi="Times New Roman"/>
                <w:sz w:val="20"/>
                <w:szCs w:val="20"/>
              </w:rPr>
            </w:pPr>
          </w:p>
          <w:p w14:paraId="049826B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9 (12.3)</w:t>
            </w:r>
          </w:p>
          <w:p w14:paraId="5C1245C5"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24 (32.9)</w:t>
            </w:r>
          </w:p>
        </w:tc>
        <w:tc>
          <w:tcPr>
            <w:tcW w:w="1350" w:type="dxa"/>
            <w:tcBorders>
              <w:top w:val="nil"/>
              <w:left w:val="nil"/>
              <w:bottom w:val="single" w:sz="4" w:space="0" w:color="7F7F7F"/>
              <w:right w:val="nil"/>
            </w:tcBorders>
          </w:tcPr>
          <w:p w14:paraId="440B8A1B" w14:textId="77777777" w:rsidR="00C90EFF" w:rsidRPr="00C90EFF" w:rsidRDefault="00C90EFF" w:rsidP="00C90EFF">
            <w:pPr>
              <w:spacing w:after="0" w:line="240" w:lineRule="auto"/>
              <w:jc w:val="center"/>
              <w:rPr>
                <w:rFonts w:ascii="Times New Roman" w:hAnsi="Times New Roman"/>
                <w:sz w:val="20"/>
                <w:szCs w:val="20"/>
              </w:rPr>
            </w:pPr>
          </w:p>
          <w:p w14:paraId="09BE0B19"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6 (22.2)</w:t>
            </w:r>
          </w:p>
          <w:p w14:paraId="5ABC770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14 (51.9)</w:t>
            </w:r>
          </w:p>
        </w:tc>
        <w:tc>
          <w:tcPr>
            <w:tcW w:w="1080" w:type="dxa"/>
            <w:tcBorders>
              <w:top w:val="nil"/>
              <w:left w:val="nil"/>
              <w:bottom w:val="single" w:sz="4" w:space="0" w:color="7F7F7F"/>
              <w:right w:val="nil"/>
            </w:tcBorders>
            <w:hideMark/>
          </w:tcPr>
          <w:p w14:paraId="0B2F232F"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0.03</w:t>
            </w:r>
          </w:p>
        </w:tc>
        <w:tc>
          <w:tcPr>
            <w:tcW w:w="1530" w:type="dxa"/>
            <w:tcBorders>
              <w:top w:val="nil"/>
              <w:left w:val="nil"/>
              <w:bottom w:val="single" w:sz="4" w:space="0" w:color="7F7F7F"/>
              <w:right w:val="nil"/>
            </w:tcBorders>
          </w:tcPr>
          <w:p w14:paraId="2A657B2C" w14:textId="77777777" w:rsidR="00C90EFF" w:rsidRPr="00C90EFF" w:rsidRDefault="00C90EFF" w:rsidP="00C90EFF">
            <w:pPr>
              <w:spacing w:after="0" w:line="240" w:lineRule="auto"/>
              <w:jc w:val="center"/>
              <w:rPr>
                <w:rFonts w:ascii="Times New Roman" w:hAnsi="Times New Roman"/>
                <w:sz w:val="20"/>
                <w:szCs w:val="20"/>
              </w:rPr>
            </w:pPr>
          </w:p>
          <w:p w14:paraId="12330A33"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2 (9.1)</w:t>
            </w:r>
          </w:p>
          <w:p w14:paraId="4B1AF761"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 (13.6)</w:t>
            </w:r>
          </w:p>
        </w:tc>
        <w:tc>
          <w:tcPr>
            <w:tcW w:w="1350" w:type="dxa"/>
            <w:tcBorders>
              <w:top w:val="nil"/>
              <w:left w:val="nil"/>
              <w:bottom w:val="single" w:sz="4" w:space="0" w:color="7F7F7F"/>
              <w:right w:val="nil"/>
            </w:tcBorders>
          </w:tcPr>
          <w:p w14:paraId="64912E8F" w14:textId="77777777" w:rsidR="00C90EFF" w:rsidRPr="00C90EFF" w:rsidRDefault="00C90EFF" w:rsidP="00C90EFF">
            <w:pPr>
              <w:spacing w:after="0" w:line="240" w:lineRule="auto"/>
              <w:jc w:val="center"/>
              <w:rPr>
                <w:rFonts w:ascii="Times New Roman" w:hAnsi="Times New Roman"/>
                <w:sz w:val="20"/>
                <w:szCs w:val="20"/>
              </w:rPr>
            </w:pPr>
          </w:p>
          <w:p w14:paraId="30B41A7D"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13 (16.7)</w:t>
            </w:r>
          </w:p>
          <w:p w14:paraId="0868EE87"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35 (44.9)</w:t>
            </w:r>
          </w:p>
        </w:tc>
        <w:tc>
          <w:tcPr>
            <w:tcW w:w="1080" w:type="dxa"/>
            <w:tcBorders>
              <w:top w:val="nil"/>
              <w:left w:val="nil"/>
              <w:bottom w:val="single" w:sz="4" w:space="0" w:color="7F7F7F"/>
              <w:right w:val="nil"/>
            </w:tcBorders>
            <w:hideMark/>
          </w:tcPr>
          <w:p w14:paraId="3C935E9A" w14:textId="77777777" w:rsidR="00C90EFF" w:rsidRPr="00C90EFF" w:rsidRDefault="00C90EFF" w:rsidP="00C90EFF">
            <w:pPr>
              <w:spacing w:after="0" w:line="240" w:lineRule="auto"/>
              <w:jc w:val="center"/>
              <w:rPr>
                <w:rFonts w:ascii="Times New Roman" w:hAnsi="Times New Roman"/>
                <w:sz w:val="20"/>
                <w:szCs w:val="20"/>
              </w:rPr>
            </w:pPr>
            <w:r w:rsidRPr="00C90EFF">
              <w:rPr>
                <w:rFonts w:ascii="Times New Roman" w:hAnsi="Times New Roman"/>
                <w:sz w:val="20"/>
                <w:szCs w:val="20"/>
              </w:rPr>
              <w:t>&lt;0.01</w:t>
            </w:r>
          </w:p>
        </w:tc>
      </w:tr>
    </w:tbl>
    <w:p w14:paraId="4744FCF0" w14:textId="77777777" w:rsidR="00C90EFF" w:rsidRPr="00C90EFF" w:rsidRDefault="00C90EFF" w:rsidP="00C90EFF">
      <w:pPr>
        <w:spacing w:after="0" w:line="240" w:lineRule="auto"/>
        <w:rPr>
          <w:rFonts w:ascii="Times New Roman" w:hAnsi="Times New Roman"/>
          <w:sz w:val="22"/>
          <w:szCs w:val="22"/>
          <w14:ligatures w14:val="standardContextual"/>
        </w:rPr>
      </w:pPr>
    </w:p>
    <w:p w14:paraId="48E08B91" w14:textId="77777777" w:rsidR="00CB1A1F" w:rsidRPr="00B94C35" w:rsidRDefault="00CB1A1F" w:rsidP="00C90EFF">
      <w:pPr>
        <w:spacing w:line="360" w:lineRule="auto"/>
        <w:rPr>
          <w:rFonts w:ascii="Times New Roman" w:hAnsi="Times New Roman"/>
          <w:sz w:val="22"/>
          <w:szCs w:val="22"/>
        </w:rPr>
      </w:pPr>
    </w:p>
    <w:sectPr w:rsidR="00CB1A1F" w:rsidRPr="00B94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161F6"/>
    <w:multiLevelType w:val="hybridMultilevel"/>
    <w:tmpl w:val="1C6CD082"/>
    <w:lvl w:ilvl="0" w:tplc="82020B18">
      <w:start w:val="1"/>
      <w:numFmt w:val="decimal"/>
      <w:lvlText w:val="%1."/>
      <w:lvlJc w:val="left"/>
      <w:pPr>
        <w:ind w:left="460" w:hanging="360"/>
      </w:pPr>
    </w:lvl>
    <w:lvl w:ilvl="1" w:tplc="04090019">
      <w:start w:val="1"/>
      <w:numFmt w:val="lowerLetter"/>
      <w:lvlText w:val="%2."/>
      <w:lvlJc w:val="left"/>
      <w:pPr>
        <w:ind w:left="1180" w:hanging="360"/>
      </w:pPr>
    </w:lvl>
    <w:lvl w:ilvl="2" w:tplc="0409001B">
      <w:start w:val="1"/>
      <w:numFmt w:val="lowerRoman"/>
      <w:lvlText w:val="%3."/>
      <w:lvlJc w:val="right"/>
      <w:pPr>
        <w:ind w:left="1900" w:hanging="180"/>
      </w:pPr>
    </w:lvl>
    <w:lvl w:ilvl="3" w:tplc="0409000F">
      <w:start w:val="1"/>
      <w:numFmt w:val="decimal"/>
      <w:lvlText w:val="%4."/>
      <w:lvlJc w:val="left"/>
      <w:pPr>
        <w:ind w:left="2620" w:hanging="360"/>
      </w:pPr>
    </w:lvl>
    <w:lvl w:ilvl="4" w:tplc="04090019">
      <w:start w:val="1"/>
      <w:numFmt w:val="lowerLetter"/>
      <w:lvlText w:val="%5."/>
      <w:lvlJc w:val="left"/>
      <w:pPr>
        <w:ind w:left="3340" w:hanging="360"/>
      </w:pPr>
    </w:lvl>
    <w:lvl w:ilvl="5" w:tplc="0409001B">
      <w:start w:val="1"/>
      <w:numFmt w:val="lowerRoman"/>
      <w:lvlText w:val="%6."/>
      <w:lvlJc w:val="right"/>
      <w:pPr>
        <w:ind w:left="4060" w:hanging="180"/>
      </w:pPr>
    </w:lvl>
    <w:lvl w:ilvl="6" w:tplc="0409000F">
      <w:start w:val="1"/>
      <w:numFmt w:val="decimal"/>
      <w:lvlText w:val="%7."/>
      <w:lvlJc w:val="left"/>
      <w:pPr>
        <w:ind w:left="4780" w:hanging="360"/>
      </w:pPr>
    </w:lvl>
    <w:lvl w:ilvl="7" w:tplc="04090019">
      <w:start w:val="1"/>
      <w:numFmt w:val="lowerLetter"/>
      <w:lvlText w:val="%8."/>
      <w:lvlJc w:val="left"/>
      <w:pPr>
        <w:ind w:left="5500" w:hanging="360"/>
      </w:pPr>
    </w:lvl>
    <w:lvl w:ilvl="8" w:tplc="0409001B">
      <w:start w:val="1"/>
      <w:numFmt w:val="lowerRoman"/>
      <w:lvlText w:val="%9."/>
      <w:lvlJc w:val="right"/>
      <w:pPr>
        <w:ind w:left="6220" w:hanging="180"/>
      </w:pPr>
    </w:lvl>
  </w:abstractNum>
  <w:abstractNum w:abstractNumId="1" w15:restartNumberingAfterBreak="0">
    <w:nsid w:val="2B3F4C60"/>
    <w:multiLevelType w:val="hybridMultilevel"/>
    <w:tmpl w:val="F7423D2E"/>
    <w:lvl w:ilvl="0" w:tplc="ABC096C2">
      <w:start w:val="1"/>
      <w:numFmt w:val="decimal"/>
      <w:lvlText w:val="%1."/>
      <w:lvlJc w:val="left"/>
      <w:pPr>
        <w:ind w:left="460" w:hanging="360"/>
      </w:pPr>
    </w:lvl>
    <w:lvl w:ilvl="1" w:tplc="04090019">
      <w:start w:val="1"/>
      <w:numFmt w:val="lowerLetter"/>
      <w:lvlText w:val="%2."/>
      <w:lvlJc w:val="left"/>
      <w:pPr>
        <w:ind w:left="1180" w:hanging="360"/>
      </w:pPr>
    </w:lvl>
    <w:lvl w:ilvl="2" w:tplc="0409001B">
      <w:start w:val="1"/>
      <w:numFmt w:val="lowerRoman"/>
      <w:lvlText w:val="%3."/>
      <w:lvlJc w:val="right"/>
      <w:pPr>
        <w:ind w:left="1900" w:hanging="180"/>
      </w:pPr>
    </w:lvl>
    <w:lvl w:ilvl="3" w:tplc="0409000F">
      <w:start w:val="1"/>
      <w:numFmt w:val="decimal"/>
      <w:lvlText w:val="%4."/>
      <w:lvlJc w:val="left"/>
      <w:pPr>
        <w:ind w:left="2620" w:hanging="360"/>
      </w:pPr>
    </w:lvl>
    <w:lvl w:ilvl="4" w:tplc="04090019">
      <w:start w:val="1"/>
      <w:numFmt w:val="lowerLetter"/>
      <w:lvlText w:val="%5."/>
      <w:lvlJc w:val="left"/>
      <w:pPr>
        <w:ind w:left="3340" w:hanging="360"/>
      </w:pPr>
    </w:lvl>
    <w:lvl w:ilvl="5" w:tplc="0409001B">
      <w:start w:val="1"/>
      <w:numFmt w:val="lowerRoman"/>
      <w:lvlText w:val="%6."/>
      <w:lvlJc w:val="right"/>
      <w:pPr>
        <w:ind w:left="4060" w:hanging="180"/>
      </w:pPr>
    </w:lvl>
    <w:lvl w:ilvl="6" w:tplc="0409000F">
      <w:start w:val="1"/>
      <w:numFmt w:val="decimal"/>
      <w:lvlText w:val="%7."/>
      <w:lvlJc w:val="left"/>
      <w:pPr>
        <w:ind w:left="4780" w:hanging="360"/>
      </w:pPr>
    </w:lvl>
    <w:lvl w:ilvl="7" w:tplc="04090019">
      <w:start w:val="1"/>
      <w:numFmt w:val="lowerLetter"/>
      <w:lvlText w:val="%8."/>
      <w:lvlJc w:val="left"/>
      <w:pPr>
        <w:ind w:left="5500" w:hanging="360"/>
      </w:pPr>
    </w:lvl>
    <w:lvl w:ilvl="8" w:tplc="0409001B">
      <w:start w:val="1"/>
      <w:numFmt w:val="lowerRoman"/>
      <w:lvlText w:val="%9."/>
      <w:lvlJc w:val="right"/>
      <w:pPr>
        <w:ind w:left="6220" w:hanging="180"/>
      </w:pPr>
    </w:lvl>
  </w:abstractNum>
  <w:abstractNum w:abstractNumId="2" w15:restartNumberingAfterBreak="0">
    <w:nsid w:val="2CD10737"/>
    <w:multiLevelType w:val="hybridMultilevel"/>
    <w:tmpl w:val="FB04514C"/>
    <w:lvl w:ilvl="0" w:tplc="2750A34A">
      <w:start w:val="1"/>
      <w:numFmt w:val="decimal"/>
      <w:lvlText w:val="%1."/>
      <w:lvlJc w:val="left"/>
      <w:pPr>
        <w:ind w:left="460" w:hanging="360"/>
      </w:pPr>
    </w:lvl>
    <w:lvl w:ilvl="1" w:tplc="04090019">
      <w:start w:val="1"/>
      <w:numFmt w:val="lowerLetter"/>
      <w:lvlText w:val="%2."/>
      <w:lvlJc w:val="left"/>
      <w:pPr>
        <w:ind w:left="1180" w:hanging="360"/>
      </w:pPr>
    </w:lvl>
    <w:lvl w:ilvl="2" w:tplc="0409001B">
      <w:start w:val="1"/>
      <w:numFmt w:val="lowerRoman"/>
      <w:lvlText w:val="%3."/>
      <w:lvlJc w:val="right"/>
      <w:pPr>
        <w:ind w:left="1900" w:hanging="180"/>
      </w:pPr>
    </w:lvl>
    <w:lvl w:ilvl="3" w:tplc="0409000F">
      <w:start w:val="1"/>
      <w:numFmt w:val="decimal"/>
      <w:lvlText w:val="%4."/>
      <w:lvlJc w:val="left"/>
      <w:pPr>
        <w:ind w:left="2620" w:hanging="360"/>
      </w:pPr>
    </w:lvl>
    <w:lvl w:ilvl="4" w:tplc="04090019">
      <w:start w:val="1"/>
      <w:numFmt w:val="lowerLetter"/>
      <w:lvlText w:val="%5."/>
      <w:lvlJc w:val="left"/>
      <w:pPr>
        <w:ind w:left="3340" w:hanging="360"/>
      </w:pPr>
    </w:lvl>
    <w:lvl w:ilvl="5" w:tplc="0409001B">
      <w:start w:val="1"/>
      <w:numFmt w:val="lowerRoman"/>
      <w:lvlText w:val="%6."/>
      <w:lvlJc w:val="right"/>
      <w:pPr>
        <w:ind w:left="4060" w:hanging="180"/>
      </w:pPr>
    </w:lvl>
    <w:lvl w:ilvl="6" w:tplc="0409000F">
      <w:start w:val="1"/>
      <w:numFmt w:val="decimal"/>
      <w:lvlText w:val="%7."/>
      <w:lvlJc w:val="left"/>
      <w:pPr>
        <w:ind w:left="4780" w:hanging="360"/>
      </w:pPr>
    </w:lvl>
    <w:lvl w:ilvl="7" w:tplc="04090019">
      <w:start w:val="1"/>
      <w:numFmt w:val="lowerLetter"/>
      <w:lvlText w:val="%8."/>
      <w:lvlJc w:val="left"/>
      <w:pPr>
        <w:ind w:left="5500" w:hanging="360"/>
      </w:pPr>
    </w:lvl>
    <w:lvl w:ilvl="8" w:tplc="0409001B">
      <w:start w:val="1"/>
      <w:numFmt w:val="lowerRoman"/>
      <w:lvlText w:val="%9."/>
      <w:lvlJc w:val="right"/>
      <w:pPr>
        <w:ind w:left="6220" w:hanging="180"/>
      </w:pPr>
    </w:lvl>
  </w:abstractNum>
  <w:abstractNum w:abstractNumId="3" w15:restartNumberingAfterBreak="0">
    <w:nsid w:val="37BB2F39"/>
    <w:multiLevelType w:val="hybridMultilevel"/>
    <w:tmpl w:val="1D607396"/>
    <w:lvl w:ilvl="0" w:tplc="B3E00A64">
      <w:start w:val="1"/>
      <w:numFmt w:val="decimal"/>
      <w:lvlText w:val="%1."/>
      <w:lvlJc w:val="left"/>
      <w:pPr>
        <w:ind w:left="460" w:hanging="360"/>
      </w:pPr>
    </w:lvl>
    <w:lvl w:ilvl="1" w:tplc="04090019">
      <w:start w:val="1"/>
      <w:numFmt w:val="lowerLetter"/>
      <w:lvlText w:val="%2."/>
      <w:lvlJc w:val="left"/>
      <w:pPr>
        <w:ind w:left="1180" w:hanging="360"/>
      </w:pPr>
    </w:lvl>
    <w:lvl w:ilvl="2" w:tplc="0409001B">
      <w:start w:val="1"/>
      <w:numFmt w:val="lowerRoman"/>
      <w:lvlText w:val="%3."/>
      <w:lvlJc w:val="right"/>
      <w:pPr>
        <w:ind w:left="1900" w:hanging="180"/>
      </w:pPr>
    </w:lvl>
    <w:lvl w:ilvl="3" w:tplc="0409000F">
      <w:start w:val="1"/>
      <w:numFmt w:val="decimal"/>
      <w:lvlText w:val="%4."/>
      <w:lvlJc w:val="left"/>
      <w:pPr>
        <w:ind w:left="2620" w:hanging="360"/>
      </w:pPr>
    </w:lvl>
    <w:lvl w:ilvl="4" w:tplc="04090019">
      <w:start w:val="1"/>
      <w:numFmt w:val="lowerLetter"/>
      <w:lvlText w:val="%5."/>
      <w:lvlJc w:val="left"/>
      <w:pPr>
        <w:ind w:left="3340" w:hanging="360"/>
      </w:pPr>
    </w:lvl>
    <w:lvl w:ilvl="5" w:tplc="0409001B">
      <w:start w:val="1"/>
      <w:numFmt w:val="lowerRoman"/>
      <w:lvlText w:val="%6."/>
      <w:lvlJc w:val="right"/>
      <w:pPr>
        <w:ind w:left="4060" w:hanging="180"/>
      </w:pPr>
    </w:lvl>
    <w:lvl w:ilvl="6" w:tplc="0409000F">
      <w:start w:val="1"/>
      <w:numFmt w:val="decimal"/>
      <w:lvlText w:val="%7."/>
      <w:lvlJc w:val="left"/>
      <w:pPr>
        <w:ind w:left="4780" w:hanging="360"/>
      </w:pPr>
    </w:lvl>
    <w:lvl w:ilvl="7" w:tplc="04090019">
      <w:start w:val="1"/>
      <w:numFmt w:val="lowerLetter"/>
      <w:lvlText w:val="%8."/>
      <w:lvlJc w:val="left"/>
      <w:pPr>
        <w:ind w:left="5500" w:hanging="360"/>
      </w:pPr>
    </w:lvl>
    <w:lvl w:ilvl="8" w:tplc="0409001B">
      <w:start w:val="1"/>
      <w:numFmt w:val="lowerRoman"/>
      <w:lvlText w:val="%9."/>
      <w:lvlJc w:val="right"/>
      <w:pPr>
        <w:ind w:left="6220" w:hanging="180"/>
      </w:pPr>
    </w:lvl>
  </w:abstractNum>
  <w:abstractNum w:abstractNumId="4" w15:restartNumberingAfterBreak="0">
    <w:nsid w:val="3A3D711D"/>
    <w:multiLevelType w:val="hybridMultilevel"/>
    <w:tmpl w:val="D1EA92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344230"/>
    <w:multiLevelType w:val="hybridMultilevel"/>
    <w:tmpl w:val="1D70C42E"/>
    <w:lvl w:ilvl="0" w:tplc="1DD6E634">
      <w:start w:val="1"/>
      <w:numFmt w:val="decimal"/>
      <w:lvlText w:val="%1."/>
      <w:lvlJc w:val="left"/>
      <w:pPr>
        <w:ind w:left="460" w:hanging="360"/>
      </w:pPr>
    </w:lvl>
    <w:lvl w:ilvl="1" w:tplc="04090019">
      <w:start w:val="1"/>
      <w:numFmt w:val="lowerLetter"/>
      <w:lvlText w:val="%2."/>
      <w:lvlJc w:val="left"/>
      <w:pPr>
        <w:ind w:left="1180" w:hanging="360"/>
      </w:pPr>
    </w:lvl>
    <w:lvl w:ilvl="2" w:tplc="0409001B">
      <w:start w:val="1"/>
      <w:numFmt w:val="lowerRoman"/>
      <w:lvlText w:val="%3."/>
      <w:lvlJc w:val="right"/>
      <w:pPr>
        <w:ind w:left="1900" w:hanging="180"/>
      </w:pPr>
    </w:lvl>
    <w:lvl w:ilvl="3" w:tplc="0409000F">
      <w:start w:val="1"/>
      <w:numFmt w:val="decimal"/>
      <w:lvlText w:val="%4."/>
      <w:lvlJc w:val="left"/>
      <w:pPr>
        <w:ind w:left="2620" w:hanging="360"/>
      </w:pPr>
    </w:lvl>
    <w:lvl w:ilvl="4" w:tplc="04090019">
      <w:start w:val="1"/>
      <w:numFmt w:val="lowerLetter"/>
      <w:lvlText w:val="%5."/>
      <w:lvlJc w:val="left"/>
      <w:pPr>
        <w:ind w:left="3340" w:hanging="360"/>
      </w:pPr>
    </w:lvl>
    <w:lvl w:ilvl="5" w:tplc="0409001B">
      <w:start w:val="1"/>
      <w:numFmt w:val="lowerRoman"/>
      <w:lvlText w:val="%6."/>
      <w:lvlJc w:val="right"/>
      <w:pPr>
        <w:ind w:left="4060" w:hanging="180"/>
      </w:pPr>
    </w:lvl>
    <w:lvl w:ilvl="6" w:tplc="0409000F">
      <w:start w:val="1"/>
      <w:numFmt w:val="decimal"/>
      <w:lvlText w:val="%7."/>
      <w:lvlJc w:val="left"/>
      <w:pPr>
        <w:ind w:left="4780" w:hanging="360"/>
      </w:pPr>
    </w:lvl>
    <w:lvl w:ilvl="7" w:tplc="04090019">
      <w:start w:val="1"/>
      <w:numFmt w:val="lowerLetter"/>
      <w:lvlText w:val="%8."/>
      <w:lvlJc w:val="left"/>
      <w:pPr>
        <w:ind w:left="5500" w:hanging="360"/>
      </w:pPr>
    </w:lvl>
    <w:lvl w:ilvl="8" w:tplc="0409001B">
      <w:start w:val="1"/>
      <w:numFmt w:val="lowerRoman"/>
      <w:lvlText w:val="%9."/>
      <w:lvlJc w:val="right"/>
      <w:pPr>
        <w:ind w:left="6220" w:hanging="180"/>
      </w:pPr>
    </w:lvl>
  </w:abstractNum>
  <w:abstractNum w:abstractNumId="6" w15:restartNumberingAfterBreak="0">
    <w:nsid w:val="56373780"/>
    <w:multiLevelType w:val="hybridMultilevel"/>
    <w:tmpl w:val="76D655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E32A0"/>
    <w:multiLevelType w:val="multilevel"/>
    <w:tmpl w:val="C49AE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1DD689F"/>
    <w:multiLevelType w:val="multilevel"/>
    <w:tmpl w:val="AE206E36"/>
    <w:lvl w:ilvl="0">
      <w:start w:val="1"/>
      <w:numFmt w:val="lowerLetter"/>
      <w:lvlText w:val="%1."/>
      <w:lvlJc w:val="left"/>
      <w:pPr>
        <w:tabs>
          <w:tab w:val="num" w:pos="720"/>
        </w:tabs>
        <w:ind w:left="720" w:hanging="360"/>
      </w:pPr>
      <w:rPr>
        <w:rFonts w:ascii="Arial" w:eastAsia="Aptos" w:hAnsi="Arial" w:cs="Arial"/>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642500"/>
    <w:multiLevelType w:val="hybridMultilevel"/>
    <w:tmpl w:val="F202FB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352856">
    <w:abstractNumId w:val="8"/>
  </w:num>
  <w:num w:numId="2" w16cid:durableId="1453860321">
    <w:abstractNumId w:val="7"/>
  </w:num>
  <w:num w:numId="3" w16cid:durableId="957956695">
    <w:abstractNumId w:val="6"/>
  </w:num>
  <w:num w:numId="4" w16cid:durableId="2047831256">
    <w:abstractNumId w:val="9"/>
  </w:num>
  <w:num w:numId="5" w16cid:durableId="1441099258">
    <w:abstractNumId w:val="4"/>
  </w:num>
  <w:num w:numId="6" w16cid:durableId="3786764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46306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813725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1644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76044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698"/>
    <w:rsid w:val="00000B77"/>
    <w:rsid w:val="00006925"/>
    <w:rsid w:val="00012E60"/>
    <w:rsid w:val="00014BA2"/>
    <w:rsid w:val="00043BB7"/>
    <w:rsid w:val="00050849"/>
    <w:rsid w:val="00067196"/>
    <w:rsid w:val="00070463"/>
    <w:rsid w:val="000D1453"/>
    <w:rsid w:val="000F6714"/>
    <w:rsid w:val="001059B3"/>
    <w:rsid w:val="00114FB7"/>
    <w:rsid w:val="0012344F"/>
    <w:rsid w:val="00134E7B"/>
    <w:rsid w:val="001375DA"/>
    <w:rsid w:val="00142B2D"/>
    <w:rsid w:val="00145C88"/>
    <w:rsid w:val="0015710C"/>
    <w:rsid w:val="00173502"/>
    <w:rsid w:val="001A6698"/>
    <w:rsid w:val="001C5517"/>
    <w:rsid w:val="001D110D"/>
    <w:rsid w:val="001F13A9"/>
    <w:rsid w:val="0023581F"/>
    <w:rsid w:val="00242B79"/>
    <w:rsid w:val="002611D7"/>
    <w:rsid w:val="00261BB0"/>
    <w:rsid w:val="002730F2"/>
    <w:rsid w:val="00287DE3"/>
    <w:rsid w:val="00292950"/>
    <w:rsid w:val="00297219"/>
    <w:rsid w:val="002A2BD6"/>
    <w:rsid w:val="002B3D7A"/>
    <w:rsid w:val="002C6CA3"/>
    <w:rsid w:val="002D4B99"/>
    <w:rsid w:val="002E3B62"/>
    <w:rsid w:val="002F0DA9"/>
    <w:rsid w:val="002F2287"/>
    <w:rsid w:val="002F6766"/>
    <w:rsid w:val="00322C48"/>
    <w:rsid w:val="00344196"/>
    <w:rsid w:val="0035695E"/>
    <w:rsid w:val="00362A3D"/>
    <w:rsid w:val="00371B19"/>
    <w:rsid w:val="003767B4"/>
    <w:rsid w:val="00381AC7"/>
    <w:rsid w:val="00397FF6"/>
    <w:rsid w:val="003A6814"/>
    <w:rsid w:val="003A7607"/>
    <w:rsid w:val="003D4661"/>
    <w:rsid w:val="003D4E45"/>
    <w:rsid w:val="003E7360"/>
    <w:rsid w:val="003F1148"/>
    <w:rsid w:val="003F6169"/>
    <w:rsid w:val="00400EBC"/>
    <w:rsid w:val="00436329"/>
    <w:rsid w:val="004377C0"/>
    <w:rsid w:val="00443251"/>
    <w:rsid w:val="00443B57"/>
    <w:rsid w:val="00464001"/>
    <w:rsid w:val="004A5577"/>
    <w:rsid w:val="004C5CE4"/>
    <w:rsid w:val="004D50CF"/>
    <w:rsid w:val="004E0AA8"/>
    <w:rsid w:val="004E458B"/>
    <w:rsid w:val="004E7228"/>
    <w:rsid w:val="004F57D1"/>
    <w:rsid w:val="00520F86"/>
    <w:rsid w:val="005504B8"/>
    <w:rsid w:val="005522DC"/>
    <w:rsid w:val="00554AA1"/>
    <w:rsid w:val="0057144C"/>
    <w:rsid w:val="00577EF5"/>
    <w:rsid w:val="00591771"/>
    <w:rsid w:val="00593927"/>
    <w:rsid w:val="005C2F7C"/>
    <w:rsid w:val="005C6BD4"/>
    <w:rsid w:val="005E641E"/>
    <w:rsid w:val="006131F1"/>
    <w:rsid w:val="00631CCB"/>
    <w:rsid w:val="00637624"/>
    <w:rsid w:val="006554D1"/>
    <w:rsid w:val="0068780F"/>
    <w:rsid w:val="006978E1"/>
    <w:rsid w:val="006A0356"/>
    <w:rsid w:val="006A3F19"/>
    <w:rsid w:val="006B14B2"/>
    <w:rsid w:val="00701970"/>
    <w:rsid w:val="00742026"/>
    <w:rsid w:val="0075703D"/>
    <w:rsid w:val="007648DF"/>
    <w:rsid w:val="007649AC"/>
    <w:rsid w:val="007A3B6C"/>
    <w:rsid w:val="007D6F45"/>
    <w:rsid w:val="007E7F11"/>
    <w:rsid w:val="00802035"/>
    <w:rsid w:val="00804FBB"/>
    <w:rsid w:val="0080727E"/>
    <w:rsid w:val="00815309"/>
    <w:rsid w:val="0082334B"/>
    <w:rsid w:val="00824BF5"/>
    <w:rsid w:val="00842A13"/>
    <w:rsid w:val="00843D75"/>
    <w:rsid w:val="00844AFC"/>
    <w:rsid w:val="00883B5B"/>
    <w:rsid w:val="008917C6"/>
    <w:rsid w:val="0089463E"/>
    <w:rsid w:val="00897349"/>
    <w:rsid w:val="008B3C47"/>
    <w:rsid w:val="008C275C"/>
    <w:rsid w:val="008E6B18"/>
    <w:rsid w:val="008F26A2"/>
    <w:rsid w:val="00911785"/>
    <w:rsid w:val="009249F0"/>
    <w:rsid w:val="00930334"/>
    <w:rsid w:val="009408A3"/>
    <w:rsid w:val="00960617"/>
    <w:rsid w:val="00961E42"/>
    <w:rsid w:val="00962F81"/>
    <w:rsid w:val="009754EE"/>
    <w:rsid w:val="009823E6"/>
    <w:rsid w:val="009835E0"/>
    <w:rsid w:val="009915E1"/>
    <w:rsid w:val="009B5E47"/>
    <w:rsid w:val="009D2DFB"/>
    <w:rsid w:val="00A3251D"/>
    <w:rsid w:val="00A34287"/>
    <w:rsid w:val="00A43292"/>
    <w:rsid w:val="00A46F1F"/>
    <w:rsid w:val="00A61D9C"/>
    <w:rsid w:val="00A90C69"/>
    <w:rsid w:val="00A9222A"/>
    <w:rsid w:val="00AA5FC5"/>
    <w:rsid w:val="00AA692F"/>
    <w:rsid w:val="00AB281D"/>
    <w:rsid w:val="00AC1740"/>
    <w:rsid w:val="00AD3CCF"/>
    <w:rsid w:val="00AD545D"/>
    <w:rsid w:val="00AE4B54"/>
    <w:rsid w:val="00B14C4C"/>
    <w:rsid w:val="00B642C8"/>
    <w:rsid w:val="00B72562"/>
    <w:rsid w:val="00B73BA3"/>
    <w:rsid w:val="00B76FCE"/>
    <w:rsid w:val="00B77A53"/>
    <w:rsid w:val="00B85616"/>
    <w:rsid w:val="00B9394E"/>
    <w:rsid w:val="00B94C35"/>
    <w:rsid w:val="00BC1260"/>
    <w:rsid w:val="00BE3A06"/>
    <w:rsid w:val="00BE4CD9"/>
    <w:rsid w:val="00C10BF6"/>
    <w:rsid w:val="00C15041"/>
    <w:rsid w:val="00C33168"/>
    <w:rsid w:val="00C533A0"/>
    <w:rsid w:val="00C63F5E"/>
    <w:rsid w:val="00C90EFF"/>
    <w:rsid w:val="00C96749"/>
    <w:rsid w:val="00CA217A"/>
    <w:rsid w:val="00CA52C9"/>
    <w:rsid w:val="00CA7173"/>
    <w:rsid w:val="00CB1A1F"/>
    <w:rsid w:val="00CC75E5"/>
    <w:rsid w:val="00CE08BD"/>
    <w:rsid w:val="00CE54C9"/>
    <w:rsid w:val="00D22387"/>
    <w:rsid w:val="00D2354E"/>
    <w:rsid w:val="00D74B09"/>
    <w:rsid w:val="00D807CA"/>
    <w:rsid w:val="00DD2347"/>
    <w:rsid w:val="00DE248B"/>
    <w:rsid w:val="00DF7D36"/>
    <w:rsid w:val="00E02DD1"/>
    <w:rsid w:val="00E115BD"/>
    <w:rsid w:val="00E3350E"/>
    <w:rsid w:val="00E33EDE"/>
    <w:rsid w:val="00E3753B"/>
    <w:rsid w:val="00E42232"/>
    <w:rsid w:val="00E63397"/>
    <w:rsid w:val="00E73283"/>
    <w:rsid w:val="00E744B9"/>
    <w:rsid w:val="00EB005C"/>
    <w:rsid w:val="00EF04AE"/>
    <w:rsid w:val="00F107CE"/>
    <w:rsid w:val="00F25D29"/>
    <w:rsid w:val="00F277DB"/>
    <w:rsid w:val="00F54CB1"/>
    <w:rsid w:val="00F653BB"/>
    <w:rsid w:val="00F86229"/>
    <w:rsid w:val="00F94B66"/>
    <w:rsid w:val="00FA3988"/>
    <w:rsid w:val="00FA62DF"/>
    <w:rsid w:val="00FC631E"/>
    <w:rsid w:val="00FE1737"/>
    <w:rsid w:val="00FE1E01"/>
    <w:rsid w:val="00FE68F1"/>
    <w:rsid w:val="00FF3408"/>
    <w:rsid w:val="00FF55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89436"/>
  <w15:chartTrackingRefBased/>
  <w15:docId w15:val="{8D70AFBC-B0ED-4506-9078-1C41651A5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698"/>
    <w:pPr>
      <w:spacing w:after="160" w:line="278" w:lineRule="auto"/>
    </w:pPr>
    <w:rPr>
      <w:rFonts w:ascii="Aptos" w:eastAsia="Aptos" w:hAnsi="Aptos" w:cs="Times New Roman"/>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1A6698"/>
    <w:rPr>
      <w:sz w:val="16"/>
      <w:szCs w:val="16"/>
    </w:rPr>
  </w:style>
  <w:style w:type="paragraph" w:styleId="CommentText">
    <w:name w:val="annotation text"/>
    <w:basedOn w:val="Normal"/>
    <w:link w:val="CommentTextChar"/>
    <w:uiPriority w:val="99"/>
    <w:unhideWhenUsed/>
    <w:rsid w:val="001A6698"/>
    <w:pPr>
      <w:spacing w:after="0" w:line="240" w:lineRule="auto"/>
    </w:pPr>
    <w:rPr>
      <w:rFonts w:eastAsia="Times New Roman"/>
      <w:kern w:val="0"/>
      <w:sz w:val="20"/>
      <w:szCs w:val="20"/>
      <w:lang w:eastAsia="zh-CN"/>
    </w:rPr>
  </w:style>
  <w:style w:type="character" w:customStyle="1" w:styleId="CommentTextChar">
    <w:name w:val="Comment Text Char"/>
    <w:basedOn w:val="DefaultParagraphFont"/>
    <w:link w:val="CommentText"/>
    <w:uiPriority w:val="99"/>
    <w:rsid w:val="001A6698"/>
    <w:rPr>
      <w:rFonts w:ascii="Aptos" w:eastAsia="Times New Roman" w:hAnsi="Aptos" w:cs="Times New Roman"/>
      <w:sz w:val="20"/>
      <w:szCs w:val="20"/>
      <w:lang w:eastAsia="zh-CN"/>
    </w:rPr>
  </w:style>
  <w:style w:type="paragraph" w:styleId="ListParagraph">
    <w:name w:val="List Paragraph"/>
    <w:basedOn w:val="Normal"/>
    <w:uiPriority w:val="34"/>
    <w:qFormat/>
    <w:rsid w:val="004A5577"/>
    <w:pPr>
      <w:ind w:left="720"/>
      <w:contextualSpacing/>
    </w:pPr>
    <w:rPr>
      <w:rFonts w:asciiTheme="minorHAnsi" w:eastAsiaTheme="minorHAnsi" w:hAnsiTheme="minorHAnsi" w:cstheme="minorBidi"/>
      <w14:ligatures w14:val="standardContextual"/>
    </w:rPr>
  </w:style>
  <w:style w:type="paragraph" w:styleId="CommentSubject">
    <w:name w:val="annotation subject"/>
    <w:basedOn w:val="CommentText"/>
    <w:next w:val="CommentText"/>
    <w:link w:val="CommentSubjectChar"/>
    <w:uiPriority w:val="99"/>
    <w:semiHidden/>
    <w:unhideWhenUsed/>
    <w:rsid w:val="00CA217A"/>
    <w:pPr>
      <w:spacing w:after="160"/>
    </w:pPr>
    <w:rPr>
      <w:rFonts w:eastAsia="Aptos"/>
      <w:b/>
      <w:bCs/>
      <w:kern w:val="2"/>
      <w:lang w:eastAsia="en-US"/>
    </w:rPr>
  </w:style>
  <w:style w:type="character" w:customStyle="1" w:styleId="CommentSubjectChar">
    <w:name w:val="Comment Subject Char"/>
    <w:basedOn w:val="CommentTextChar"/>
    <w:link w:val="CommentSubject"/>
    <w:uiPriority w:val="99"/>
    <w:semiHidden/>
    <w:rsid w:val="00CA217A"/>
    <w:rPr>
      <w:rFonts w:ascii="Aptos" w:eastAsia="Aptos" w:hAnsi="Aptos" w:cs="Times New Roman"/>
      <w:b/>
      <w:bCs/>
      <w:kern w:val="2"/>
      <w:sz w:val="20"/>
      <w:szCs w:val="20"/>
      <w:lang w:eastAsia="zh-CN"/>
    </w:rPr>
  </w:style>
  <w:style w:type="table" w:customStyle="1" w:styleId="PlainTable21">
    <w:name w:val="Plain Table 21"/>
    <w:basedOn w:val="TableNormal"/>
    <w:next w:val="PlainTable2"/>
    <w:uiPriority w:val="42"/>
    <w:rsid w:val="00C90EFF"/>
    <w:rPr>
      <w:rFonts w:ascii="Aptos" w:eastAsia="Aptos" w:hAnsi="Aptos" w:cs="Times New Roman"/>
      <w:kern w:val="2"/>
      <w14:ligatures w14:val="standardContextual"/>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C90EF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1051</TotalTime>
  <Pages>10</Pages>
  <Words>2399</Words>
  <Characters>13677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Modupe Coker</dc:creator>
  <cp:keywords/>
  <dc:description/>
  <cp:lastModifiedBy>Kumar, Anil</cp:lastModifiedBy>
  <cp:revision>10</cp:revision>
  <dcterms:created xsi:type="dcterms:W3CDTF">2026-04-02T01:32:00Z</dcterms:created>
  <dcterms:modified xsi:type="dcterms:W3CDTF">2026-09-03T01:57:00Z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id="aMjHwpf5"/&gt;&lt;style id="http://www.zotero.org/styles/nature" hasBibliography="1" bibliographyStyleHasBeenSet="0"/&gt;&lt;prefs&gt;&lt;pref name="fieldType" value="Field"/&gt;&lt;pref name="automaticJournalAbbreviatio</vt:lpwstr>
  </property>
  <property fmtid="{D5CDD505-2E9C-101B-9397-08002B2CF9AE}" pid="3" name="ZOTERO_PREF_2">
    <vt:lpwstr>ns" value="true"/&gt;&lt;/prefs&gt;&lt;/data&gt;</vt:lpwstr>
  </property>
</Properties>
</file>