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73D9" w14:textId="77777777" w:rsidR="003F2D99" w:rsidRDefault="003F2D99" w:rsidP="003F2D99">
      <w:pPr>
        <w:pStyle w:val="NoSpacing"/>
      </w:pPr>
      <w:r>
        <w:t>TABLES</w:t>
      </w:r>
    </w:p>
    <w:p w14:paraId="3DEF3F99" w14:textId="77777777" w:rsidR="003F2D99" w:rsidRPr="00726E94" w:rsidRDefault="003F2D99" w:rsidP="003F2D99">
      <w:pPr>
        <w:pStyle w:val="NoSpacing"/>
      </w:pPr>
      <w:r>
        <w:t xml:space="preserve">1. Baseline characteristic  table </w:t>
      </w:r>
    </w:p>
    <w:p w14:paraId="1E679C7D" w14:textId="77777777" w:rsidR="003F2D99" w:rsidRPr="00726E94" w:rsidRDefault="003F2D99" w:rsidP="003F2D99">
      <w:pPr>
        <w:pStyle w:val="NoSpacing"/>
      </w:pPr>
      <w:r>
        <w:t>Table 2. Biomarker concentrations at the time point of maximum effect in each trial.</w:t>
      </w:r>
    </w:p>
    <w:p w14:paraId="07EB1AF7" w14:textId="77777777" w:rsidR="003F2D99" w:rsidRPr="00726E94" w:rsidRDefault="003F2D99" w:rsidP="003F2D99">
      <w:pPr>
        <w:pStyle w:val="NoSpacing"/>
      </w:pPr>
      <w:r>
        <w:t>Table 3. Secondary biomarkers with extractable data.</w:t>
      </w:r>
    </w:p>
    <w:p w14:paraId="61762801" w14:textId="77777777" w:rsidR="003F2D99" w:rsidRPr="00726E94" w:rsidRDefault="003F2D99" w:rsidP="003F2D99">
      <w:pPr>
        <w:pStyle w:val="NoSpacing"/>
      </w:pPr>
    </w:p>
    <w:p w14:paraId="0CE9AA00" w14:textId="77777777" w:rsidR="003F2D99" w:rsidRPr="00726E94" w:rsidRDefault="003F2D99" w:rsidP="003F2D99">
      <w:pPr>
        <w:pStyle w:val="NoSpacing"/>
      </w:pPr>
    </w:p>
    <w:p w14:paraId="7B2B6A3C" w14:textId="77777777" w:rsidR="003F2D99" w:rsidRDefault="003F2D99" w:rsidP="003F2D99">
      <w:pPr>
        <w:pStyle w:val="NoSpacing"/>
      </w:pPr>
    </w:p>
    <w:p w14:paraId="4B976E64" w14:textId="77777777" w:rsidR="003F2D99" w:rsidRPr="00726E94" w:rsidRDefault="003F2D99" w:rsidP="003F2D99">
      <w:pPr>
        <w:pStyle w:val="NoSpacing"/>
      </w:pPr>
    </w:p>
    <w:p w14:paraId="0B72D011" w14:textId="77777777" w:rsidR="003F2D99" w:rsidRDefault="003F2D99" w:rsidP="003F2D99">
      <w:pPr>
        <w:pStyle w:val="NoSpacing"/>
      </w:pPr>
    </w:p>
    <w:p w14:paraId="4EA4D891" w14:textId="77777777" w:rsidR="003F2D99" w:rsidRDefault="003F2D99" w:rsidP="003F2D99">
      <w:pPr>
        <w:pStyle w:val="NoSpacing"/>
      </w:pPr>
    </w:p>
    <w:p w14:paraId="25151BF4" w14:textId="77777777" w:rsidR="003F2D99" w:rsidRDefault="003F2D99" w:rsidP="003F2D99">
      <w:pPr>
        <w:pStyle w:val="NoSpacing"/>
      </w:pPr>
    </w:p>
    <w:p w14:paraId="35DE1AFC" w14:textId="77777777" w:rsidR="003F2D99" w:rsidRDefault="003F2D99" w:rsidP="003F2D99">
      <w:pPr>
        <w:pStyle w:val="NoSpacing"/>
      </w:pPr>
    </w:p>
    <w:p w14:paraId="24BE09FE" w14:textId="77777777" w:rsidR="003F2D99" w:rsidRDefault="003F2D99" w:rsidP="003F2D99">
      <w:pPr>
        <w:pStyle w:val="NoSpacing"/>
      </w:pPr>
    </w:p>
    <w:p w14:paraId="299223F3" w14:textId="77777777" w:rsidR="003F2D99" w:rsidRPr="00191D37" w:rsidRDefault="003F2D99" w:rsidP="003F2D99">
      <w:pPr>
        <w:pStyle w:val="NoSpacing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Table 1. </w:t>
      </w:r>
      <w:r>
        <w:rPr>
          <w:rFonts w:eastAsia="Times New Roman"/>
          <w:i/>
          <w:iCs/>
          <w:sz w:val="22"/>
          <w:szCs w:val="22"/>
        </w:rPr>
        <w:t xml:space="preserve">BASELINE TABLE </w:t>
      </w:r>
    </w:p>
    <w:tbl>
      <w:tblPr>
        <w:tblW w:w="9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0"/>
        <w:gridCol w:w="1150"/>
        <w:gridCol w:w="1500"/>
        <w:gridCol w:w="1650"/>
        <w:gridCol w:w="1300"/>
        <w:gridCol w:w="1500"/>
        <w:gridCol w:w="1496"/>
      </w:tblGrid>
      <w:tr w:rsidR="003F2D99" w:rsidRPr="00191D37" w14:paraId="2761D507" w14:textId="77777777" w:rsidTr="00C51B1D">
        <w:trPr>
          <w:tblHeader/>
        </w:trPr>
        <w:tc>
          <w:tcPr>
            <w:tcW w:w="11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79F079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Study, country</w:t>
            </w:r>
          </w:p>
        </w:tc>
        <w:tc>
          <w:tcPr>
            <w:tcW w:w="11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0B51EF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Design; sample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5320F5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Participants</w:t>
            </w:r>
          </w:p>
        </w:tc>
        <w:tc>
          <w:tcPr>
            <w:tcW w:w="16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241678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Intervention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ECDA9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Comparator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A4C4F4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Specimen; biomarkers; assay</w:t>
            </w:r>
          </w:p>
        </w:tc>
        <w:tc>
          <w:tcPr>
            <w:tcW w:w="149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24A885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Sampling time points</w:t>
            </w:r>
          </w:p>
        </w:tc>
      </w:tr>
      <w:tr w:rsidR="003F2D99" w:rsidRPr="00191D37" w14:paraId="307B4C41" w14:textId="77777777" w:rsidTr="00C51B1D">
        <w:trPr>
          <w:cantSplit/>
        </w:trPr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3637CB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Antonarakis 2020, Switzerland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07672D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Parallel-group RCT; n = 40 (20 headgear / 20 control)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0DE9B6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Children 8–12 y; mean 10.2 ± 1.3 vs 9.4 ± 1.2 y; Class II malocclusion, mixed dentition</w:t>
            </w:r>
          </w:p>
        </w:tc>
        <w:tc>
          <w:tcPr>
            <w:tcW w:w="1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BC615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Elastic separators (1 wk), then molar bands + cervical headgear, 250–300 cN, prescribed 12 h/day for 9 months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7ADABD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No orthodontic treatment during the 9-month study period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64699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GCF, maxillary first molars (mandibular molars as within-patient control); IL-1β, Substance P; Bio-Plex 200 multiplex</w:t>
            </w:r>
          </w:p>
        </w:tc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F2F6D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T0, 1 day, 1 wk, 2 wk, 3 wk, 6 wk, 9 mo (control: T0, 2 wk, 6 wk, 9 mo)</w:t>
            </w:r>
          </w:p>
        </w:tc>
      </w:tr>
      <w:tr w:rsidR="003F2D99" w:rsidRPr="00191D37" w14:paraId="0C17A461" w14:textId="77777777" w:rsidTr="00C51B1D">
        <w:trPr>
          <w:cantSplit/>
        </w:trPr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9236C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Afacan 2018, Turkey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40967E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Split-mouth RCT; n = 15 patients / 30 canines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DA125A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Adolescents 11–16 y; mean 14.53 ± 1.64 y; Class II division 1 malocclusion</w:t>
            </w:r>
          </w:p>
        </w:tc>
        <w:tc>
          <w:tcPr>
            <w:tcW w:w="1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ED17A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Maxillary canine distalization with NiTi closed coil spring at 150 g (miniscrew anchorage)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B6F36F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Contralateral canine distalized at 75 g; baseline values of both canines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A5D96B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GCF, mesial (tension) and distal (pressure) sites; 30-analyte panel incl. TNF-α, IL-1RA, IL-6, IL-8, MCP-1 (IL-1β below detection limit); Luminex 200 multiplex</w:t>
            </w:r>
          </w:p>
        </w:tc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92AD84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Baseline, 24 h, 28 days</w:t>
            </w:r>
          </w:p>
        </w:tc>
      </w:tr>
      <w:tr w:rsidR="003F2D99" w:rsidRPr="00191D37" w14:paraId="78651803" w14:textId="77777777" w:rsidTr="00C51B1D">
        <w:trPr>
          <w:cantSplit/>
        </w:trPr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09E7CC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Barhate 2022, India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0E2652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Split-mouth RCT; n = 15 patients / 30 sides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E0EDE3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Females 18–25 y; mean 20.73 ± 2.34 y; Class I bimaxillary dentoalveolar protrusion</w:t>
            </w:r>
          </w:p>
        </w:tc>
        <w:tc>
          <w:tcPr>
            <w:tcW w:w="1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12DCA2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L-PRF plug in first premolar extraction socket + canine retraction, NiTi coil spring 150 g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6EB0C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Contralateral extraction socket without L-PRF, same retraction protocol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940E0B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GCF, distal aspect of canine; IL-1β, TNF-α; ELISA</w:t>
            </w:r>
          </w:p>
        </w:tc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EB77F1" w14:textId="77777777" w:rsidR="003F2D99" w:rsidRPr="00191D37" w:rsidRDefault="003F2D99" w:rsidP="00C51B1D">
            <w:pPr>
              <w:pStyle w:val="NoSpacing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T0, 1 wk, 2 wk, 4 wk, 8 wk</w:t>
            </w:r>
          </w:p>
        </w:tc>
      </w:tr>
    </w:tbl>
    <w:p w14:paraId="53A1C0C4" w14:textId="77777777" w:rsidR="003F2D99" w:rsidRDefault="003F2D99" w:rsidP="003F2D99">
      <w:pPr>
        <w:pStyle w:val="NoSpacing"/>
      </w:pPr>
      <w:r>
        <w:rPr>
          <w:rFonts w:eastAsia="Times New Roman"/>
          <w:sz w:val="22"/>
          <w:szCs w:val="22"/>
        </w:rPr>
        <w:t xml:space="preserve">Table 2. </w:t>
      </w:r>
      <w:r>
        <w:rPr>
          <w:rFonts w:eastAsia="Times New Roman"/>
          <w:i/>
          <w:iCs/>
          <w:sz w:val="22"/>
          <w:szCs w:val="22"/>
        </w:rPr>
        <w:t>Biomarker concentrations at the time point of maximum effect in each trial.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1050"/>
        <w:gridCol w:w="2000"/>
        <w:gridCol w:w="1000"/>
        <w:gridCol w:w="1500"/>
        <w:gridCol w:w="1500"/>
        <w:gridCol w:w="1446"/>
      </w:tblGrid>
      <w:tr w:rsidR="003F2D99" w14:paraId="45E0429A" w14:textId="77777777" w:rsidTr="00C51B1D">
        <w:trPr>
          <w:cantSplit/>
          <w:tblHeader/>
        </w:trPr>
        <w:tc>
          <w:tcPr>
            <w:tcW w:w="125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6D045A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Study</w:t>
            </w:r>
          </w:p>
        </w:tc>
        <w:tc>
          <w:tcPr>
            <w:tcW w:w="105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4CF92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Biomarker</w:t>
            </w:r>
          </w:p>
        </w:tc>
        <w:tc>
          <w:tcPr>
            <w:tcW w:w="20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FEAB1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Specimen / site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F5DF4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Time point</w:t>
            </w:r>
          </w:p>
        </w:tc>
        <w:tc>
          <w:tcPr>
            <w:tcW w:w="15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84804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Intervention, mean ± SD</w:t>
            </w:r>
          </w:p>
        </w:tc>
        <w:tc>
          <w:tcPr>
            <w:tcW w:w="15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3A5F4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Comparator, mean ± SD</w:t>
            </w:r>
          </w:p>
        </w:tc>
        <w:tc>
          <w:tcPr>
            <w:tcW w:w="144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65790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Between-group effect (P)</w:t>
            </w:r>
          </w:p>
        </w:tc>
      </w:tr>
      <w:tr w:rsidR="003F2D99" w14:paraId="3757F6A7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67F7F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Antonarakis 2020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A0BFC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IL-1β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E9471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maxillary (test) vs mandibular (control) molars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587666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T1 day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C3005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54.06 ± 42.41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F203C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22.93 ± 29.97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76C7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0.011</w:t>
            </w:r>
          </w:p>
        </w:tc>
      </w:tr>
      <w:tr w:rsidR="003F2D99" w14:paraId="3E23FA81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9E491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Antonarakis 2020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6620A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Substance P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FFED86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maxillary (test) vs mandibular (control) molars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4830B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T1 day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8243E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53.04 ± 36.15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75050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27.66 ± 29.75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4F029C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0.020</w:t>
            </w:r>
          </w:p>
        </w:tc>
      </w:tr>
      <w:tr w:rsidR="003F2D99" w14:paraId="3115B66B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4E0CE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Antonarakis 2020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5255FC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IL-1β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B96A6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maxillary molars; headgear vs untreated group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32F02A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T9 months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346ECC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17.11 ± 33.51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8B658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17.97 ± 32.31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C372B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NS (exact P NR)</w:t>
            </w:r>
          </w:p>
        </w:tc>
      </w:tr>
      <w:tr w:rsidR="003F2D99" w14:paraId="60B3B0AC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04071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906CC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IL-8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AAA27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28106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24 hours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099FA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−38% vs baseline (means NR)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3E7C8C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+15% vs baseline (means NR)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3CC739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&lt; 0.05 (exact P NR)</w:t>
            </w:r>
          </w:p>
        </w:tc>
      </w:tr>
      <w:tr w:rsidR="003F2D99" w14:paraId="481421D5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8D949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8A6A7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MCP-1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22B8C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18C0C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24 hours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A87B7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−33% vs baseline (means NR)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966B8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+74% vs baseline (means NR)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A75927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&lt; 0.05 (exact P NR)</w:t>
            </w:r>
          </w:p>
        </w:tc>
      </w:tr>
      <w:tr w:rsidR="003F2D99" w14:paraId="3337E53B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62BB2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B37C2C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TNF-α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AF811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F953A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28 days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A51B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0.66 ± 0.37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EE51A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0.84 ± 0.68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BEF13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0.555</w:t>
            </w:r>
          </w:p>
        </w:tc>
      </w:tr>
      <w:tr w:rsidR="003F2D99" w14:paraId="45BC99BA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61C8A7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5B555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IL-1RA (pg/ml)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E56D3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9C48A0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28 days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9AF3F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11778.24 ± 7894.56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8D723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17616.76 ± 19667.83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647A8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0.320</w:t>
            </w:r>
          </w:p>
        </w:tc>
      </w:tr>
      <w:tr w:rsidR="003F2D99" w14:paraId="725DA902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625FD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04A5A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IL-1β; IL-6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5502EA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tension and pressure sites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5DAAC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All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6D0049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Not estimable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B0DD9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Not estimable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32BBD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IL-1β below detection limit; IL-6 “data not shown”</w:t>
            </w:r>
          </w:p>
        </w:tc>
      </w:tr>
      <w:tr w:rsidR="003F2D99" w14:paraId="667F992C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29938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Barhate 2022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0CBDB6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IL-1β (pg/µl)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D6E70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distal of canine; L-PRF vs control socket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68DCD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T1 (1 week)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EC146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165.73 ± 9.33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D731B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159.36 ± 7.87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9A4CC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0.091</w:t>
            </w:r>
          </w:p>
        </w:tc>
      </w:tr>
      <w:tr w:rsidR="003F2D99" w14:paraId="1C12CFE1" w14:textId="77777777" w:rsidTr="00C51B1D">
        <w:trPr>
          <w:cantSplit/>
        </w:trPr>
        <w:tc>
          <w:tcPr>
            <w:tcW w:w="12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242000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Barhate 2022</w:t>
            </w:r>
          </w:p>
        </w:tc>
        <w:tc>
          <w:tcPr>
            <w:tcW w:w="10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EC72D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TNF-α (pg/µl)</w:t>
            </w:r>
          </w:p>
        </w:tc>
        <w:tc>
          <w:tcPr>
            <w:tcW w:w="2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FFAAC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distal of canine; L-PRF vs control socket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4879DA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T1 (1 week)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7771F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8.78 ± 1.21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5B0AE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6.95 ± 0.67</w:t>
            </w:r>
          </w:p>
        </w:tc>
        <w:tc>
          <w:tcPr>
            <w:tcW w:w="144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BE56C0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&lt; 0.001</w:t>
            </w:r>
          </w:p>
        </w:tc>
      </w:tr>
    </w:tbl>
    <w:p w14:paraId="18BDB332" w14:textId="77777777" w:rsidR="003F2D99" w:rsidRDefault="003F2D99" w:rsidP="003F2D99">
      <w:pPr>
        <w:pStyle w:val="NoSpacing"/>
      </w:pPr>
      <w:r>
        <w:rPr>
          <w:rFonts w:eastAsia="Times New Roman"/>
          <w:sz w:val="22"/>
          <w:szCs w:val="22"/>
        </w:rPr>
        <w:t xml:space="preserve">Table 3. </w:t>
      </w:r>
      <w:r>
        <w:rPr>
          <w:rFonts w:eastAsia="Times New Roman"/>
          <w:i/>
          <w:iCs/>
          <w:sz w:val="22"/>
          <w:szCs w:val="22"/>
        </w:rPr>
        <w:t>Secondary biomarkers with extractable data.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450"/>
        <w:gridCol w:w="1700"/>
        <w:gridCol w:w="1700"/>
        <w:gridCol w:w="1896"/>
      </w:tblGrid>
      <w:tr w:rsidR="003F2D99" w14:paraId="68F64362" w14:textId="77777777" w:rsidTr="00C51B1D">
        <w:trPr>
          <w:cantSplit/>
          <w:tblHeader/>
        </w:trPr>
        <w:tc>
          <w:tcPr>
            <w:tcW w:w="15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90517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Biomarker</w:t>
            </w:r>
          </w:p>
        </w:tc>
        <w:tc>
          <w:tcPr>
            <w:tcW w:w="15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91327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Trial</w:t>
            </w:r>
          </w:p>
        </w:tc>
        <w:tc>
          <w:tcPr>
            <w:tcW w:w="145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49037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Site / comparison</w:t>
            </w:r>
          </w:p>
        </w:tc>
        <w:tc>
          <w:tcPr>
            <w:tcW w:w="17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1629EB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Peak intervention value</w:t>
            </w:r>
          </w:p>
        </w:tc>
        <w:tc>
          <w:tcPr>
            <w:tcW w:w="1700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52FFBA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Comparator value</w:t>
            </w:r>
          </w:p>
        </w:tc>
        <w:tc>
          <w:tcPr>
            <w:tcW w:w="189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2956D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Effect</w:t>
            </w:r>
          </w:p>
        </w:tc>
      </w:tr>
      <w:tr w:rsidR="003F2D99" w14:paraId="06AD0D6D" w14:textId="77777777" w:rsidTr="00C51B1D">
        <w:trPr>
          <w:cantSplit/>
        </w:trPr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84046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Substance P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A9E2A5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Antonarakis 2020</w:t>
            </w:r>
          </w:p>
        </w:tc>
        <w:tc>
          <w:tcPr>
            <w:tcW w:w="14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68BE1E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maxillary (test) vs mandibular (control) molars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52472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53.04 ± 36.15 pg/ml at T1 day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7FD31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27.66 ± 29.75 pg/ml</w:t>
            </w:r>
          </w:p>
        </w:tc>
        <w:tc>
          <w:tcPr>
            <w:tcW w:w="18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D12CB6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P = 0.020; returned to baseline by 1 week</w:t>
            </w:r>
          </w:p>
        </w:tc>
      </w:tr>
      <w:tr w:rsidR="003F2D99" w14:paraId="2DFBA8D4" w14:textId="77777777" w:rsidTr="00C51B1D">
        <w:trPr>
          <w:cantSplit/>
        </w:trPr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E8B0C4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IL-1RA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D22272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4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80680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247F49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11 778.24 ± 7894.56 pg/ml at 28 days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33CEB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17 616.76 ± 19 667.83 pg/ml</w:t>
            </w:r>
          </w:p>
        </w:tc>
        <w:tc>
          <w:tcPr>
            <w:tcW w:w="18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8E08FD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No force effect (P = 0.3200); rise over time P = 0.045; higher at pressure than tension sites (P = 0.0440)</w:t>
            </w:r>
          </w:p>
        </w:tc>
      </w:tr>
      <w:tr w:rsidR="003F2D99" w14:paraId="7A322C27" w14:textId="77777777" w:rsidTr="00C51B1D">
        <w:trPr>
          <w:cantSplit/>
        </w:trPr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889B7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MCP-1</w:t>
            </w:r>
          </w:p>
        </w:tc>
        <w:tc>
          <w:tcPr>
            <w:tcW w:w="15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C104E3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Afacan 2018</w:t>
            </w:r>
          </w:p>
        </w:tc>
        <w:tc>
          <w:tcPr>
            <w:tcW w:w="145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55E71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GCF, pressure site; 150 g vs 75 g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64F70F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−33% from baseline at 24 h</w:t>
            </w:r>
          </w:p>
        </w:tc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66C468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+74% from baseline</w:t>
            </w:r>
          </w:p>
        </w:tc>
        <w:tc>
          <w:tcPr>
            <w:tcW w:w="18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8987F9" w14:textId="77777777" w:rsidR="003F2D99" w:rsidRDefault="003F2D99" w:rsidP="00C51B1D">
            <w:pPr>
              <w:pStyle w:val="NoSpacing"/>
            </w:pPr>
            <w:r>
              <w:rPr>
                <w:rFonts w:eastAsia="Times New Roman"/>
                <w:sz w:val="17"/>
                <w:szCs w:val="17"/>
              </w:rPr>
              <w:t>Lower with 150 g, P &lt; 0.05; resolved by 28 days</w:t>
            </w:r>
          </w:p>
        </w:tc>
      </w:tr>
    </w:tbl>
    <w:p w14:paraId="71D4C60E" w14:textId="77777777" w:rsidR="003F2D99" w:rsidRPr="001E504A" w:rsidRDefault="003F2D99" w:rsidP="003F2D99">
      <w:pPr>
        <w:pStyle w:val="NoSpacing"/>
        <w:rPr>
          <w:color w:val="000000"/>
          <w:sz w:val="20"/>
          <w:szCs w:val="20"/>
        </w:rPr>
      </w:pPr>
    </w:p>
    <w:p w14:paraId="311E0A87" w14:textId="77777777" w:rsidR="00F34C37" w:rsidRDefault="00F34C37"/>
    <w:sectPr w:rsidR="00F34C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99"/>
    <w:rsid w:val="003048F5"/>
    <w:rsid w:val="003F2D99"/>
    <w:rsid w:val="00C87F5E"/>
    <w:rsid w:val="00D54BA6"/>
    <w:rsid w:val="00F3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AC670"/>
  <w15:chartTrackingRefBased/>
  <w15:docId w15:val="{F64AE311-A9C3-7647-A417-0FD21A77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D9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D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D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D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D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D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D9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D9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D9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D9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D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D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D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2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D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2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D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D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2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D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F2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u2023788</dc:creator>
  <cp:keywords/>
  <dc:description/>
  <cp:lastModifiedBy>u2023788</cp:lastModifiedBy>
  <cp:revision>1</cp:revision>
  <dcterms:created xsi:type="dcterms:W3CDTF">2026-09-04T14:18:00Z</dcterms:created>
  <dcterms:modified xsi:type="dcterms:W3CDTF">2026-09-04T14:19:00Z</dcterms:modified>
</cp:coreProperties>
</file>