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4F86C" w14:textId="77777777" w:rsidR="009E2B8C" w:rsidRDefault="009E2B8C" w:rsidP="009E2B8C">
      <w:pPr>
        <w:spacing w:after="80" w:line="240" w:lineRule="auto"/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CARE Checklist — 2016</w:t>
      </w:r>
    </w:p>
    <w:p w14:paraId="249AEE33" w14:textId="77777777" w:rsidR="009E2B8C" w:rsidRDefault="009E2B8C" w:rsidP="009E2B8C">
      <w:pPr>
        <w:spacing w:after="240" w:line="240" w:lineRule="auto"/>
      </w:pPr>
      <w:r>
        <w:rPr>
          <w:rFonts w:ascii="Times New Roman" w:eastAsia="Times New Roman" w:hAnsi="Times New Roman" w:cs="Times New Roman"/>
          <w:sz w:val="22"/>
          <w:szCs w:val="22"/>
        </w:rPr>
        <w:t>Information for writing a case report. Page numbers refer to this manuscript.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0"/>
        <w:gridCol w:w="660"/>
        <w:gridCol w:w="5220"/>
        <w:gridCol w:w="1520"/>
      </w:tblGrid>
      <w:tr w:rsidR="009E2B8C" w14:paraId="73F2121E" w14:textId="77777777" w:rsidTr="00F479EC">
        <w:trPr>
          <w:tblHeader/>
        </w:trPr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B0DF62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Topic</w:t>
            </w: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76B008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4BFF4B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Checklist item description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8DB8A9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Reported on page</w:t>
            </w:r>
          </w:p>
        </w:tc>
      </w:tr>
      <w:tr w:rsidR="009E2B8C" w14:paraId="665871DD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AE0A3A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Title</w:t>
            </w: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CB1A54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BDD865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The words “case report” should be in the title along with the area of focus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233FEE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E2B8C" w14:paraId="2CB8FD19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151468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Key words</w:t>
            </w: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BCD3EA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1A94B1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Four to seven key words — include “case report” as one of the key words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C73E97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9E2B8C" w14:paraId="38F3C649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D2848B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Abstract</w:t>
            </w: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33A7E1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3a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BC4559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Background: what does this case report add to the medical literature?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BD1C4E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9E2B8C" w14:paraId="080B5C13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0AB25C" w14:textId="77777777" w:rsidR="009E2B8C" w:rsidRDefault="009E2B8C" w:rsidP="00F479EC">
            <w:pPr>
              <w:spacing w:after="0" w:line="240" w:lineRule="auto"/>
            </w:pP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697D70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3b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FE2201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Case summary: chief complaint, diagnoses, interventions and outcomes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6B64EA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9E2B8C" w14:paraId="2E346D6A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D7EA11" w14:textId="77777777" w:rsidR="009E2B8C" w:rsidRDefault="009E2B8C" w:rsidP="00F479EC">
            <w:pPr>
              <w:spacing w:after="0" w:line="240" w:lineRule="auto"/>
            </w:pP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3B6B9D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3c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9C2CEB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Conclusion: what is the main “take-away” lesson from this case?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7406C3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2–3</w:t>
            </w:r>
          </w:p>
        </w:tc>
      </w:tr>
      <w:tr w:rsidR="009E2B8C" w14:paraId="7DF9BC3C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5637AD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Introduction</w:t>
            </w: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A2BC39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1B780D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The current standard of care and contributions of this case — with references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D95E0C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3–4</w:t>
            </w:r>
          </w:p>
        </w:tc>
      </w:tr>
      <w:tr w:rsidR="009E2B8C" w14:paraId="61BA833D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B74DBE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Timeline</w:t>
            </w: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2E6D48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23355A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Information from this case report organised into a timeline (table or figure)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C2A180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9 (Table 2)</w:t>
            </w:r>
          </w:p>
        </w:tc>
      </w:tr>
      <w:tr w:rsidR="009E2B8C" w14:paraId="1DE7F92B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49AFE6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Patient information</w:t>
            </w: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EDE43E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6a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5A08A0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De-identified demographic and other patient or client specific information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099D65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9E2B8C" w14:paraId="11BFD480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4EB96A" w14:textId="77777777" w:rsidR="009E2B8C" w:rsidRDefault="009E2B8C" w:rsidP="00F479EC">
            <w:pPr>
              <w:spacing w:after="0" w:line="240" w:lineRule="auto"/>
            </w:pP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2C0CB2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6b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EFE5CC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Chief complaint — what prompted this visit?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4FBAD8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2, 4</w:t>
            </w:r>
          </w:p>
        </w:tc>
      </w:tr>
      <w:tr w:rsidR="009E2B8C" w14:paraId="2B81CF6B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47F8C9" w14:textId="77777777" w:rsidR="009E2B8C" w:rsidRDefault="009E2B8C" w:rsidP="00F479EC">
            <w:pPr>
              <w:spacing w:after="0" w:line="240" w:lineRule="auto"/>
            </w:pP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1FF907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6c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A182B8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Relevant history including past interventions and outcomes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20AC61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9E2B8C" w14:paraId="1C858B14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FF0EF8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Physical exam</w:t>
            </w: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EE046E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2CBC9D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Relevant physical examination findings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4CA5E8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4–5</w:t>
            </w:r>
          </w:p>
        </w:tc>
      </w:tr>
      <w:tr w:rsidR="009E2B8C" w14:paraId="3AA1DB93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3530EB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Diagnostic assessment</w:t>
            </w: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A2791D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8a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0D5441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Evaluations such as surveys, laboratory testing, imaging, etc.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66323C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9E2B8C" w14:paraId="61AED253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715D95" w14:textId="77777777" w:rsidR="009E2B8C" w:rsidRDefault="009E2B8C" w:rsidP="00F479EC">
            <w:pPr>
              <w:spacing w:after="0" w:line="240" w:lineRule="auto"/>
            </w:pP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200C67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8b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8874DA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Diagnostic reasoning including other diagnoses considered and challenges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F7BA31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5–6</w:t>
            </w:r>
          </w:p>
        </w:tc>
      </w:tr>
      <w:tr w:rsidR="009E2B8C" w14:paraId="2F96BD7F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C7A2E8" w14:textId="77777777" w:rsidR="009E2B8C" w:rsidRDefault="009E2B8C" w:rsidP="00F479EC">
            <w:pPr>
              <w:spacing w:after="0" w:line="240" w:lineRule="auto"/>
            </w:pP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C14F36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8c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08958C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Consider tables or figures linking assessment, diagnoses and interventions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5DE7E9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6–9 (Figs. 1–4; Tables 1–2)</w:t>
            </w:r>
          </w:p>
        </w:tc>
      </w:tr>
      <w:tr w:rsidR="009E2B8C" w14:paraId="39B65A4E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F08189" w14:textId="77777777" w:rsidR="009E2B8C" w:rsidRDefault="009E2B8C" w:rsidP="00F479EC">
            <w:pPr>
              <w:spacing w:after="0" w:line="240" w:lineRule="auto"/>
            </w:pP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A63AC9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8d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2A1EF0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Prognostic characteristics where applicable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F1C8EF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Not applicable</w:t>
            </w:r>
          </w:p>
        </w:tc>
      </w:tr>
      <w:tr w:rsidR="009E2B8C" w14:paraId="6225FCD8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B3483E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Interventions</w:t>
            </w: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E72733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9a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D79D9A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Types such as life-style recommendations, treatments, medications, surgery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C60120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9E2B8C" w14:paraId="52480730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61CA9A" w14:textId="77777777" w:rsidR="009E2B8C" w:rsidRDefault="009E2B8C" w:rsidP="00F479EC">
            <w:pPr>
              <w:spacing w:after="0" w:line="240" w:lineRule="auto"/>
            </w:pP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A65182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9b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91C0B8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Intervention administration such as dosage, frequency and duration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9B1A2D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9E2B8C" w14:paraId="3E2E2F2F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48AA49" w14:textId="77777777" w:rsidR="009E2B8C" w:rsidRDefault="009E2B8C" w:rsidP="00F479EC">
            <w:pPr>
              <w:spacing w:after="0" w:line="240" w:lineRule="auto"/>
            </w:pP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B970EF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9c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2E666D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Note changes in intervention with explanation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1C4921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9E2B8C" w14:paraId="3A552048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D500C2" w14:textId="77777777" w:rsidR="009E2B8C" w:rsidRDefault="009E2B8C" w:rsidP="00F479EC">
            <w:pPr>
              <w:spacing w:after="0" w:line="240" w:lineRule="auto"/>
            </w:pP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8ACE6B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9d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1DC4B4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Other concurrent interventions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0FDB19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Not applicable</w:t>
            </w:r>
          </w:p>
        </w:tc>
      </w:tr>
      <w:tr w:rsidR="009E2B8C" w14:paraId="6C9E8BF7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C43E99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Follow-up and outcomes</w:t>
            </w: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A2689E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10a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946B1C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Clinician assessment (and patient or client assessed outcomes when appropriate)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DDF8CC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9E2B8C" w14:paraId="7D36D828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6C651D" w14:textId="77777777" w:rsidR="009E2B8C" w:rsidRDefault="009E2B8C" w:rsidP="00F479EC">
            <w:pPr>
              <w:spacing w:after="0" w:line="240" w:lineRule="auto"/>
            </w:pP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6FD00A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10b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8D0CE9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Important follow-up diagnostic evaluations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353B76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8–9</w:t>
            </w:r>
          </w:p>
        </w:tc>
      </w:tr>
      <w:tr w:rsidR="009E2B8C" w14:paraId="6C4E7C3C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0F82DF" w14:textId="77777777" w:rsidR="009E2B8C" w:rsidRDefault="009E2B8C" w:rsidP="00F479EC">
            <w:pPr>
              <w:spacing w:after="0" w:line="240" w:lineRule="auto"/>
            </w:pP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1C8718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10c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7774A3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Assessment of intervention adherence and tolerability, including adverse events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C29803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Not applicable</w:t>
            </w:r>
          </w:p>
        </w:tc>
      </w:tr>
      <w:tr w:rsidR="009E2B8C" w14:paraId="4BB21C99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00FF23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Discussion</w:t>
            </w: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48A693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11a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2B2C79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Strengths and limitations in your approach to this case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55D3FA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9E2B8C" w14:paraId="4DCB3156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000050" w14:textId="77777777" w:rsidR="009E2B8C" w:rsidRDefault="009E2B8C" w:rsidP="00F479EC">
            <w:pPr>
              <w:spacing w:after="0" w:line="240" w:lineRule="auto"/>
            </w:pP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18B1AA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11b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648DDD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Specify how this case report informs practice or Clinical Practice Guidelines (CPG)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A33F95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10–11</w:t>
            </w:r>
          </w:p>
        </w:tc>
      </w:tr>
      <w:tr w:rsidR="009E2B8C" w14:paraId="3695696C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3093FA" w14:textId="77777777" w:rsidR="009E2B8C" w:rsidRDefault="009E2B8C" w:rsidP="00F479EC">
            <w:pPr>
              <w:spacing w:after="0" w:line="240" w:lineRule="auto"/>
            </w:pP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A9883A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11c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DC11EF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How does this case report suggest a testable hypothesis?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A8B0D9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9E2B8C" w14:paraId="26DF67D7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FA1FFD" w14:textId="77777777" w:rsidR="009E2B8C" w:rsidRDefault="009E2B8C" w:rsidP="00F479EC">
            <w:pPr>
              <w:spacing w:after="0" w:line="240" w:lineRule="auto"/>
            </w:pP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A9F8E3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11d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BDFD5A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Conclusions and rationale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AD13DA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9E2B8C" w14:paraId="4E48F293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9F6E2F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Patient perspective</w:t>
            </w: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52DB0F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AAD46B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When appropriate include the assessment of the patient or client on this episode of care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A40462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Not applicable</w:t>
            </w:r>
          </w:p>
        </w:tc>
      </w:tr>
      <w:tr w:rsidR="009E2B8C" w14:paraId="62EFAD2F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8EDC79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Informed consent</w:t>
            </w: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ACFD74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840968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Informed consent from the person who is the subject of this case report is required by most journals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69B273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12 (Declarations — Consent to publish)</w:t>
            </w:r>
          </w:p>
        </w:tc>
      </w:tr>
      <w:tr w:rsidR="009E2B8C" w14:paraId="4F28174B" w14:textId="77777777" w:rsidTr="00F479EC">
        <w:tc>
          <w:tcPr>
            <w:tcW w:w="16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D3C1E3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Additional information</w:t>
            </w:r>
          </w:p>
        </w:tc>
        <w:tc>
          <w:tcPr>
            <w:tcW w:w="66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C1E4D4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2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7457CE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Acknowledgement section; Competing Interests; IRB approval when required</w:t>
            </w:r>
          </w:p>
        </w:tc>
        <w:tc>
          <w:tcPr>
            <w:tcW w:w="152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595BEC" w14:textId="77777777" w:rsidR="009E2B8C" w:rsidRDefault="009E2B8C" w:rsidP="00F479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12 (Declarations)</w:t>
            </w:r>
          </w:p>
        </w:tc>
      </w:tr>
    </w:tbl>
    <w:p w14:paraId="501278AE" w14:textId="77777777" w:rsidR="009E2B8C" w:rsidRDefault="009E2B8C" w:rsidP="009E2B8C">
      <w:pPr>
        <w:spacing w:line="240" w:lineRule="auto"/>
      </w:pPr>
    </w:p>
    <w:p w14:paraId="6FAC7C48" w14:textId="77777777" w:rsidR="009E2B8C" w:rsidRDefault="009E2B8C" w:rsidP="009E2B8C">
      <w:pPr>
        <w:spacing w:after="0" w:line="240" w:lineRule="auto"/>
      </w:pPr>
      <w:r>
        <w:rPr>
          <w:rFonts w:ascii="Times New Roman" w:eastAsia="Times New Roman" w:hAnsi="Times New Roman" w:cs="Times New Roman"/>
          <w:sz w:val="18"/>
          <w:szCs w:val="18"/>
        </w:rPr>
        <w:t>Source: CARE Checklist — 2016, www.care-statement.org. Riley DS, Barber MS, Kienle GS, Aronson JK, von Schoen-Angerer T, Tugwell P, et al. CARE guidelines for case reports: explanation and elaboration document. J Clin Epidemiol. 2017;89:218–35.</w:t>
      </w:r>
    </w:p>
    <w:p w14:paraId="5600EC69" w14:textId="77777777" w:rsidR="00DC2479" w:rsidRDefault="00DC2479"/>
    <w:sectPr w:rsidR="00DC2479" w:rsidSect="009E2B8C">
      <w:footerReference w:type="even" r:id="rId4"/>
      <w:footerReference w:type="default" r:id="rId5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46984726"/>
      <w:docPartObj>
        <w:docPartGallery w:val="Page Numbers (Bottom of Page)"/>
        <w:docPartUnique/>
      </w:docPartObj>
    </w:sdtPr>
    <w:sdtContent>
      <w:p w14:paraId="4728C487" w14:textId="77777777" w:rsidR="009E2B8C" w:rsidRDefault="009E2B8C" w:rsidP="00F77FA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20837F4" w14:textId="77777777" w:rsidR="009E2B8C" w:rsidRDefault="009E2B8C" w:rsidP="00C555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14324487"/>
      <w:docPartObj>
        <w:docPartGallery w:val="Page Numbers (Bottom of Page)"/>
        <w:docPartUnique/>
      </w:docPartObj>
    </w:sdtPr>
    <w:sdtContent>
      <w:p w14:paraId="7C992507" w14:textId="77777777" w:rsidR="009E2B8C" w:rsidRDefault="009E2B8C" w:rsidP="00F77FA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A2E8132" w14:textId="77777777" w:rsidR="009E2B8C" w:rsidRDefault="009E2B8C" w:rsidP="00C5551A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B8C"/>
    <w:rsid w:val="005B6877"/>
    <w:rsid w:val="009E2B8C"/>
    <w:rsid w:val="00AA0C39"/>
    <w:rsid w:val="00DC2479"/>
    <w:rsid w:val="00F3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86AB4"/>
  <w15:chartTrackingRefBased/>
  <w15:docId w15:val="{5F6B0E8C-62EE-432C-8E57-689C335B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B8C"/>
    <w:pPr>
      <w:spacing w:before="2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2B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2B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2B8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2B8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2B8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2B8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2B8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2B8C"/>
    <w:pPr>
      <w:keepNext/>
      <w:keepLines/>
      <w:spacing w:before="0"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2B8C"/>
    <w:pPr>
      <w:keepNext/>
      <w:keepLines/>
      <w:spacing w:before="0"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2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2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2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2B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2B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2B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2B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2B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2B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2B8C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E2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2B8C"/>
    <w:pPr>
      <w:numPr>
        <w:ilvl w:val="1"/>
      </w:numPr>
      <w:spacing w:before="0"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E2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2B8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E2B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2B8C"/>
    <w:pPr>
      <w:spacing w:before="0"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E2B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B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2B8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E2B8C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B8C"/>
    <w:rPr>
      <w:rFonts w:eastAsiaTheme="minorEastAsia"/>
      <w:kern w:val="0"/>
      <w:sz w:val="20"/>
      <w:szCs w:val="2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9E2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2026-10-16T16:02:00Z</dcterms:created>
  <dcterms:modified xsi:type="dcterms:W3CDTF">2026-10-16T16:02:00Z</dcterms:modified>
</cp:coreProperties>
</file>