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0"/>
        <w:jc w:val="center"/>
      </w:pPr>
      <w:r>
        <w:rPr>
          <w:rFonts w:ascii="Times New Roman" w:hAnsi="Times New Roman" w:eastAsia="Times New Roman" w:cs="Times New Roman"/>
          <w:b/>
          <w:i w:val="0"/>
          <w:sz w:val="28"/>
        </w:rPr>
        <w:t>Supplementary statistical analysis</w:t>
      </w:r>
    </w:p>
    <w:p>
      <w:pPr>
        <w:spacing w:line="240" w:lineRule="auto"/>
      </w:pPr>
      <w:r>
        <w:rPr>
          <w:rFonts w:ascii="Times New Roman" w:hAnsi="Times New Roman" w:eastAsia="Times New Roman" w:cs="Times New Roman"/>
          <w:b w:val="0"/>
          <w:i w:val="0"/>
          <w:sz w:val="20"/>
        </w:rPr>
        <w:t>Study: Robot-assisted cement-augmented percutaneous pedicle screw fixation is associated with greater screw accuracy and fewer mechanical complications in osteoporotic thoracolumbar spine fractures: a retrospective comparative cohort study</w:t>
      </w:r>
    </w:p>
    <w:p>
      <w:pPr>
        <w:pStyle w:val="Heading1"/>
      </w:pPr>
      <w:r>
        <w:t>S1. Analysis populations and missing data</w:t>
      </w:r>
    </w:p>
    <w:p>
      <w:pPr>
        <w:pStyle w:val="ListBullet"/>
      </w:pPr>
      <w:r>
        <w:rPr>
          <w:rFonts w:ascii="Times New Roman" w:hAnsi="Times New Roman" w:eastAsia="Times New Roman" w:cs="Times New Roman"/>
          <w:b w:val="0"/>
          <w:i w:val="0"/>
          <w:sz w:val="18"/>
        </w:rPr>
        <w:t>Screening population: 342 records were identified in the institutional screening log, 214 were excluded across 12 stated categories, and 128 were included.</w:t>
      </w:r>
    </w:p>
    <w:p>
      <w:pPr>
        <w:pStyle w:val="ListBullet"/>
      </w:pPr>
      <w:r>
        <w:rPr>
          <w:rFonts w:ascii="Times New Roman" w:hAnsi="Times New Roman" w:eastAsia="Times New Roman" w:cs="Times New Roman"/>
          <w:b w:val="0"/>
          <w:i w:val="0"/>
          <w:sz w:val="18"/>
        </w:rPr>
        <w:t>Patient-level population: 128 records (64 conventional and 64 robot-assisted).</w:t>
      </w:r>
    </w:p>
    <w:p>
      <w:pPr>
        <w:pStyle w:val="ListBullet"/>
      </w:pPr>
      <w:r>
        <w:rPr>
          <w:rFonts w:ascii="Times New Roman" w:hAnsi="Times New Roman" w:eastAsia="Times New Roman" w:cs="Times New Roman"/>
          <w:b w:val="0"/>
          <w:i w:val="0"/>
          <w:sz w:val="18"/>
        </w:rPr>
        <w:t>Screw-level population: 658 screws (326 conventional and 332 robot-assisted), linked to 128 unique patients.</w:t>
      </w:r>
    </w:p>
    <w:p>
      <w:pPr>
        <w:pStyle w:val="ListBullet"/>
      </w:pPr>
      <w:r>
        <w:rPr>
          <w:rFonts w:ascii="Times New Roman" w:hAnsi="Times New Roman" w:eastAsia="Times New Roman" w:cs="Times New Roman"/>
          <w:b w:val="0"/>
          <w:i w:val="0"/>
          <w:sz w:val="18"/>
        </w:rPr>
        <w:t>Primary accuracy was complete for all screws. Twelve-month VAS, ODI, Cobb angle, anterior vertebral height ratio and fixed-time mechanical status were complete for 118 patients (FH-CA 60/64; RA-CA 58/64).</w:t>
      </w:r>
      <w:r>
        <w:t xml:space="preserve"> Figure 4 uses these same complete-case denominators for all outcomes, including adjacent vertebral fracture (FH-CA 3/60, 5.0%; RA-CA 1/58, 1.7%; two-sided Fisher exact P=0.619).</w:t>
      </w:r>
    </w:p>
    <w:p>
      <w:pPr>
        <w:pStyle w:val="ListBullet"/>
      </w:pPr>
      <w:r>
        <w:rPr>
          <w:rFonts w:ascii="Times New Roman" w:hAnsi="Times New Roman" w:eastAsia="Times New Roman" w:cs="Times New Roman"/>
          <w:b w:val="0"/>
          <w:i w:val="0"/>
          <w:sz w:val="18"/>
        </w:rPr>
        <w:t>The source-reconciled grades locked on 31 July 2026 remained the primary accuracy data. An independent reliability assessment after database lock retained two raw rating sets for all 658 screws and did not alter the locked Grade A counts.</w:t>
      </w:r>
    </w:p>
    <w:p>
      <w:pPr>
        <w:pStyle w:val="ListBullet"/>
      </w:pPr>
      <w:r>
        <w:rPr>
          <w:rFonts w:ascii="Times New Roman" w:hAnsi="Times New Roman" w:eastAsia="Times New Roman" w:cs="Times New Roman"/>
          <w:b w:val="0"/>
          <w:i w:val="0"/>
          <w:sz w:val="18"/>
        </w:rPr>
        <w:t>Seven patients were recorded as lost to follow-up and three died; all ten lacked an evaluable fixed 12-month outcome. Earlier observations were retained in mixed models, and exact censoring times were not used.</w:t>
      </w:r>
    </w:p>
    <w:p>
      <w:pPr>
        <w:pStyle w:val="ListBullet"/>
      </w:pPr>
      <w:r>
        <w:rPr>
          <w:rFonts w:ascii="Times New Roman" w:hAnsi="Times New Roman" w:eastAsia="Times New Roman" w:cs="Times New Roman"/>
          <w:b w:val="0"/>
          <w:i w:val="0"/>
          <w:sz w:val="18"/>
        </w:rPr>
        <w:t>No endpoint values were imputed. Fixed 12-month mechanical comparisons used complete cases; extreme-case sensitivity bounds are reported below.</w:t>
      </w:r>
    </w:p>
    <w:p>
      <w:pPr>
        <w:pStyle w:val="Heading1"/>
      </w:pPr>
      <w:r>
        <w:t>S2. Prespecified outcome hierarchy</w:t>
      </w:r>
    </w:p>
    <w:p>
      <w:pPr>
        <w:spacing w:line="240" w:lineRule="auto"/>
      </w:pPr>
      <w:r>
        <w:rPr>
          <w:rFonts w:ascii="Times New Roman" w:hAnsi="Times New Roman" w:eastAsia="Times New Roman" w:cs="Times New Roman"/>
          <w:b/>
          <w:i w:val="0"/>
          <w:sz w:val="20"/>
        </w:rPr>
        <w:t>Primary outcome:</w:t>
      </w:r>
      <w:r>
        <w:rPr>
          <w:rFonts w:ascii="Times New Roman" w:hAnsi="Times New Roman" w:eastAsia="Times New Roman" w:cs="Times New Roman"/>
          <w:b w:val="0"/>
          <w:i w:val="0"/>
          <w:sz w:val="20"/>
        </w:rPr>
        <w:t xml:space="preserve"> screw-level modified Gertzbein–Robbins grade A placement from the locked source-reconciled CT grades, analysed with patient-clustered GEE.</w:t>
      </w:r>
    </w:p>
    <w:p>
      <w:pPr>
        <w:spacing w:line="240" w:lineRule="auto"/>
      </w:pPr>
      <w:r>
        <w:rPr>
          <w:rFonts w:ascii="Times New Roman" w:hAnsi="Times New Roman" w:eastAsia="Times New Roman" w:cs="Times New Roman"/>
          <w:b/>
          <w:i w:val="0"/>
          <w:sz w:val="20"/>
        </w:rPr>
        <w:t>Key secondary outcome:</w:t>
      </w:r>
      <w:r>
        <w:rPr>
          <w:rFonts w:ascii="Times New Roman" w:hAnsi="Times New Roman" w:eastAsia="Times New Roman" w:cs="Times New Roman"/>
          <w:b w:val="0"/>
          <w:i w:val="0"/>
          <w:sz w:val="20"/>
        </w:rPr>
        <w:t xml:space="preserve"> any patient-level mechanical complication through 12 months.</w:t>
      </w:r>
    </w:p>
    <w:p>
      <w:pPr>
        <w:spacing w:line="240" w:lineRule="auto"/>
      </w:pPr>
      <w:r>
        <w:rPr>
          <w:rFonts w:ascii="Times New Roman" w:hAnsi="Times New Roman" w:eastAsia="Times New Roman" w:cs="Times New Roman"/>
          <w:b/>
          <w:i w:val="0"/>
          <w:sz w:val="20"/>
        </w:rPr>
        <w:t>Other secondary outcomes:</w:t>
      </w:r>
      <w:r>
        <w:rPr>
          <w:rFonts w:ascii="Times New Roman" w:hAnsi="Times New Roman" w:eastAsia="Times New Roman" w:cs="Times New Roman"/>
          <w:b w:val="0"/>
          <w:i w:val="0"/>
          <w:sz w:val="20"/>
        </w:rPr>
        <w:t xml:space="preserve"> grade A–B placement, patient-level breach, peri-operative efficiency and safety, cement leakage, reoperation, Cobb angle, anterior vertebral height ratio, VAS, and ODI.</w:t>
      </w:r>
    </w:p>
    <w:p>
      <w:pPr>
        <w:pStyle w:val="Heading1"/>
      </w:pPr>
      <w:r>
        <w:t>S3. Model specification and sensitivity decisions</w:t>
      </w:r>
    </w:p>
    <w:p>
      <w:pPr>
        <w:pStyle w:val="ListBullet"/>
      </w:pPr>
      <w:r>
        <w:rPr>
          <w:rFonts w:ascii="Times New Roman" w:hAnsi="Times New Roman" w:eastAsia="Times New Roman" w:cs="Times New Roman"/>
          <w:b w:val="0"/>
          <w:i w:val="0"/>
          <w:sz w:val="18"/>
        </w:rPr>
        <w:t>Primary GEE: binomial logit, exchangeable within-patient correlation and robust standard errors. Adjusted covariates were age, sex, body mass index, bone mineral density T-score, AO A4 subtype and multilevel fracture. Screw-level location was excluded because duplicated patient/level/side keys required source verification.</w:t>
      </w:r>
    </w:p>
    <w:p>
      <w:pPr>
        <w:pStyle w:val="ListBullet"/>
      </w:pPr>
      <w:r>
        <w:rPr>
          <w:rFonts w:ascii="Times New Roman" w:hAnsi="Times New Roman" w:eastAsia="Times New Roman" w:cs="Times New Roman"/>
          <w:b w:val="0"/>
          <w:i w:val="0"/>
          <w:sz w:val="18"/>
        </w:rPr>
        <w:t>Mechanical complications: complete-case Fisher test, absolute and relative risks, unadjusted logistic model and age- and bone-mineral-density-adjusted logistic model with heteroscedasticity-consistent (HC3) standard errors. Models were parsimonious because only 22 events occurred. No time-to-event model was included because exact censoring times were not used.</w:t>
      </w:r>
    </w:p>
    <w:p>
      <w:pPr>
        <w:pStyle w:val="ListBullet"/>
      </w:pPr>
      <w:r>
        <w:rPr>
          <w:rFonts w:ascii="Times New Roman" w:hAnsi="Times New Roman" w:eastAsia="Times New Roman" w:cs="Times New Roman"/>
          <w:b w:val="0"/>
          <w:i w:val="0"/>
          <w:sz w:val="18"/>
        </w:rPr>
        <w:t>Longitudinal models: categorical time, group and group-by-time interaction; patient random intercept plus random time slope. Baseline-adjusted 12-month analysis of covariance was a sensitivity analysis.</w:t>
      </w:r>
    </w:p>
    <w:p>
      <w:pPr>
        <w:pStyle w:val="ListBullet"/>
      </w:pPr>
      <w:r>
        <w:rPr>
          <w:rFonts w:ascii="Times New Roman" w:hAnsi="Times New Roman" w:eastAsia="Times New Roman" w:cs="Times New Roman"/>
          <w:b w:val="0"/>
          <w:i w:val="0"/>
          <w:sz w:val="18"/>
        </w:rPr>
        <w:t>Independent CT reliability assessment: two spine surgeons reread all 658 screws without access to treatment allocation, operative records or clinical outcomes; both raw rating sets were retained, and a senior spine surgeon adjudicated grade disagreements. Exact agreement and quadratic-weighted Cohen's κ were primary ordinal measures, linear-weighted κ was a sensitivity measure, and breach-distance reliability used ICC(A,1). Confidence intervals used 20,000 patient-cluster bootstrap samples.</w:t>
      </w:r>
    </w:p>
    <w:p>
      <w:pPr>
        <w:pStyle w:val="ListBullet"/>
      </w:pPr>
      <w:r>
        <w:rPr>
          <w:rFonts w:ascii="Times New Roman" w:hAnsi="Times New Roman" w:eastAsia="Times New Roman" w:cs="Times New Roman"/>
          <w:b w:val="0"/>
          <w:i w:val="0"/>
          <w:sz w:val="18"/>
        </w:rPr>
        <w:t>Propensity-score matching was not performed. One-to-one matching would discard observations and further reduce the 22-event mechanical analysis; all records were retained and adjusted models were reported.</w:t>
      </w:r>
    </w:p>
    <w:p>
      <w:pPr>
        <w:pStyle w:val="ListBullet"/>
      </w:pPr>
      <w:r>
        <w:rPr>
          <w:rFonts w:ascii="Times New Roman" w:hAnsi="Times New Roman" w:eastAsia="Times New Roman" w:cs="Times New Roman"/>
          <w:b w:val="0"/>
          <w:i w:val="0"/>
          <w:sz w:val="18"/>
        </w:rPr>
        <w:t>Secondary analyses were exploratory; no multiplicity correction was applied. Two-sided α=0.05.</w:t>
      </w:r>
    </w:p>
    <w:p>
      <w:pPr>
        <w:pStyle w:val="Heading1"/>
      </w:pPr>
      <w:r>
        <w:t>Supplementary Table S1. Regression models</w:t>
      </w:r>
    </w:p>
    <w:tbl>
      <w:tblPr>
        <w:tblStyle w:val="TableGrid"/>
        <w:tblW w:type="auto" w:w="0"/>
        <w:jc w:val="center"/>
        <w:tblLook w:firstColumn="1" w:firstRow="1" w:lastColumn="0" w:lastRow="0" w:noHBand="0" w:noVBand="1" w:val="04A0"/>
      </w:tblPr>
      <w:tblGrid>
        <w:gridCol w:w="1332"/>
        <w:gridCol w:w="1332"/>
        <w:gridCol w:w="1332"/>
        <w:gridCol w:w="1332"/>
        <w:gridCol w:w="1332"/>
        <w:gridCol w:w="1332"/>
        <w:gridCol w:w="1332"/>
        <w:gridCol w:w="1332"/>
      </w:tblGrid>
      <w:tr>
        <w:trPr>
          <w:tblHeader w:val="true"/>
          <w:cantSplit w:val="true"/>
        </w:trPr>
        <w:tc>
          <w:tcPr>
            <w:tcW w:type="dxa" w:w="2520"/>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Outcome / exposure</w:t>
            </w:r>
          </w:p>
        </w:tc>
        <w:tc>
          <w:tcPr>
            <w:tcW w:type="dxa" w:w="3168"/>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Model</w:t>
            </w:r>
          </w:p>
        </w:tc>
        <w:tc>
          <w:tcPr>
            <w:tcW w:type="dxa" w:w="792"/>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Effect measure</w:t>
            </w:r>
          </w:p>
        </w:tc>
        <w:tc>
          <w:tcPr>
            <w:tcW w:type="dxa" w:w="1008"/>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Effect estimate</w:t>
            </w:r>
          </w:p>
        </w:tc>
        <w:tc>
          <w:tcPr>
            <w:tcW w:type="dxa" w:w="1008"/>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95% CI low</w:t>
            </w:r>
          </w:p>
        </w:tc>
        <w:tc>
          <w:tcPr>
            <w:tcW w:type="dxa" w:w="1008"/>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95% CI high</w:t>
            </w:r>
          </w:p>
        </w:tc>
        <w:tc>
          <w:tcPr>
            <w:tcW w:type="dxa" w:w="936"/>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P value</w:t>
            </w:r>
          </w:p>
        </w:tc>
        <w:tc>
          <w:tcPr>
            <w:tcW w:type="dxa" w:w="1512"/>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Formatted result</w:t>
            </w:r>
          </w:p>
        </w:tc>
      </w:tr>
      <w:tr>
        <w:trPr>
          <w:cantSplit w:val="true"/>
        </w:trPr>
        <w:tc>
          <w:tcPr>
            <w:tcW w:type="dxa" w:w="25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Grade A screw placement: robot vs conventional</w:t>
            </w:r>
          </w:p>
        </w:tc>
        <w:tc>
          <w:tcPr>
            <w:tcW w:type="dxa" w:w="316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Unadjusted GEE logistic; patient clustering</w:t>
            </w:r>
          </w:p>
        </w:tc>
        <w:tc>
          <w:tcPr>
            <w:tcW w:type="dxa" w:w="79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OR</w:t>
            </w:r>
          </w:p>
        </w:tc>
        <w:tc>
          <w:tcPr>
            <w:tcW w:type="dxa" w:w="1008"/>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2.492</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1.427</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4.351</w:t>
            </w:r>
          </w:p>
        </w:tc>
        <w:tc>
          <w:tcPr>
            <w:tcW w:type="dxa" w:w="93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0.001</w:t>
            </w:r>
          </w:p>
        </w:tc>
        <w:tc>
          <w:tcPr>
            <w:tcW w:type="dxa" w:w="151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2.49 (1.43–4.35)</w:t>
            </w:r>
          </w:p>
        </w:tc>
      </w:tr>
      <w:tr>
        <w:trPr>
          <w:cantSplit w:val="true"/>
        </w:trPr>
        <w:tc>
          <w:tcPr>
            <w:tcW w:type="dxa" w:w="25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Grade A screw placement: robot vs conventional</w:t>
            </w:r>
          </w:p>
        </w:tc>
        <w:tc>
          <w:tcPr>
            <w:tcW w:type="dxa" w:w="316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Adjusted GEE logistic; patient clustering</w:t>
            </w:r>
          </w:p>
        </w:tc>
        <w:tc>
          <w:tcPr>
            <w:tcW w:type="dxa" w:w="79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OR</w:t>
            </w:r>
          </w:p>
        </w:tc>
        <w:tc>
          <w:tcPr>
            <w:tcW w:type="dxa" w:w="1008"/>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2.350</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1.331</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4.146</w:t>
            </w:r>
          </w:p>
        </w:tc>
        <w:tc>
          <w:tcPr>
            <w:tcW w:type="dxa" w:w="93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0.003</w:t>
            </w:r>
          </w:p>
        </w:tc>
        <w:tc>
          <w:tcPr>
            <w:tcW w:type="dxa" w:w="151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2.35 (1.33–4.15)</w:t>
            </w:r>
          </w:p>
        </w:tc>
      </w:tr>
      <w:tr>
        <w:trPr>
          <w:cantSplit w:val="true"/>
        </w:trPr>
        <w:tc>
          <w:tcPr>
            <w:tcW w:type="dxa" w:w="25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Grade A–B screw placement: robot vs conventional</w:t>
            </w:r>
          </w:p>
        </w:tc>
        <w:tc>
          <w:tcPr>
            <w:tcW w:type="dxa" w:w="316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Unadjusted GEE logistic; patient clustering</w:t>
            </w:r>
          </w:p>
        </w:tc>
        <w:tc>
          <w:tcPr>
            <w:tcW w:type="dxa" w:w="79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OR</w:t>
            </w:r>
          </w:p>
        </w:tc>
        <w:tc>
          <w:tcPr>
            <w:tcW w:type="dxa" w:w="1008"/>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1.914</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0.894</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4.098</w:t>
            </w:r>
          </w:p>
        </w:tc>
        <w:tc>
          <w:tcPr>
            <w:tcW w:type="dxa" w:w="93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0.095</w:t>
            </w:r>
          </w:p>
        </w:tc>
        <w:tc>
          <w:tcPr>
            <w:tcW w:type="dxa" w:w="151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1.91 (0.89–4.10)</w:t>
            </w:r>
          </w:p>
        </w:tc>
      </w:tr>
      <w:tr>
        <w:trPr>
          <w:cantSplit w:val="true"/>
        </w:trPr>
        <w:tc>
          <w:tcPr>
            <w:tcW w:type="dxa" w:w="25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Any mechanical complication by 12 months: robot vs conventional</w:t>
            </w:r>
          </w:p>
        </w:tc>
        <w:tc>
          <w:tcPr>
            <w:tcW w:type="dxa" w:w="316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Unadjusted patient-level logistic; complete cases</w:t>
            </w:r>
          </w:p>
        </w:tc>
        <w:tc>
          <w:tcPr>
            <w:tcW w:type="dxa" w:w="79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OR</w:t>
            </w:r>
          </w:p>
        </w:tc>
        <w:tc>
          <w:tcPr>
            <w:tcW w:type="dxa" w:w="1008"/>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0.239</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0.081</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0.699</w:t>
            </w:r>
          </w:p>
        </w:tc>
        <w:tc>
          <w:tcPr>
            <w:tcW w:type="dxa" w:w="93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0.009</w:t>
            </w:r>
          </w:p>
        </w:tc>
        <w:tc>
          <w:tcPr>
            <w:tcW w:type="dxa" w:w="151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0.24 (0.08–0.70)</w:t>
            </w:r>
          </w:p>
        </w:tc>
      </w:tr>
      <w:tr>
        <w:trPr>
          <w:cantSplit w:val="true"/>
        </w:trPr>
        <w:tc>
          <w:tcPr>
            <w:tcW w:type="dxa" w:w="25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Any mechanical complication by 12 months: robot vs conventional</w:t>
            </w:r>
          </w:p>
        </w:tc>
        <w:tc>
          <w:tcPr>
            <w:tcW w:type="dxa" w:w="316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Adjusted patient-level logistic; complete cases</w:t>
            </w:r>
          </w:p>
        </w:tc>
        <w:tc>
          <w:tcPr>
            <w:tcW w:type="dxa" w:w="79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OR</w:t>
            </w:r>
          </w:p>
        </w:tc>
        <w:tc>
          <w:tcPr>
            <w:tcW w:type="dxa" w:w="1008"/>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0.206</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0.066</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0.645</w:t>
            </w:r>
          </w:p>
        </w:tc>
        <w:tc>
          <w:tcPr>
            <w:tcW w:type="dxa" w:w="93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0.007</w:t>
            </w:r>
          </w:p>
        </w:tc>
        <w:tc>
          <w:tcPr>
            <w:tcW w:type="dxa" w:w="151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0.21 (0.07–0.64)</w:t>
            </w:r>
          </w:p>
        </w:tc>
      </w:tr>
      <w:tr>
        <w:trPr>
          <w:cantSplit w:val="true"/>
        </w:trPr>
        <w:tc>
          <w:tcPr>
            <w:tcW w:type="dxa" w:w="25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Any mechanical complication by 12 months: robot vs conventional</w:t>
            </w:r>
          </w:p>
        </w:tc>
        <w:tc>
          <w:tcPr>
            <w:tcW w:type="dxa" w:w="316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Sensitivity logistic adjusted for non-PMMA formulation; complete cases</w:t>
            </w:r>
          </w:p>
        </w:tc>
        <w:tc>
          <w:tcPr>
            <w:tcW w:type="dxa" w:w="79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OR</w:t>
            </w:r>
          </w:p>
        </w:tc>
        <w:tc>
          <w:tcPr>
            <w:tcW w:type="dxa" w:w="1008"/>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0.236</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0.080</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0.695</w:t>
            </w:r>
          </w:p>
        </w:tc>
        <w:tc>
          <w:tcPr>
            <w:tcW w:type="dxa" w:w="93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0.009</w:t>
            </w:r>
          </w:p>
        </w:tc>
        <w:tc>
          <w:tcPr>
            <w:tcW w:type="dxa" w:w="151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0.24 (0.08–0.70)</w:t>
            </w:r>
          </w:p>
        </w:tc>
      </w:tr>
      <w:tr>
        <w:trPr>
          <w:cantSplit w:val="true"/>
        </w:trPr>
        <w:tc>
          <w:tcPr>
            <w:tcW w:type="dxa" w:w="25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Any mechanical complication by 12 months: non-PMMA vs PMMA</w:t>
            </w:r>
          </w:p>
        </w:tc>
        <w:tc>
          <w:tcPr>
            <w:tcW w:type="dxa" w:w="316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Sensitivity logistic adjusted for robotic guidance; complete cases</w:t>
            </w:r>
          </w:p>
        </w:tc>
        <w:tc>
          <w:tcPr>
            <w:tcW w:type="dxa" w:w="79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OR</w:t>
            </w:r>
          </w:p>
        </w:tc>
        <w:tc>
          <w:tcPr>
            <w:tcW w:type="dxa" w:w="1008"/>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0.603</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0.179</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2.039</w:t>
            </w:r>
          </w:p>
        </w:tc>
        <w:tc>
          <w:tcPr>
            <w:tcW w:type="dxa" w:w="93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0.416</w:t>
            </w:r>
          </w:p>
        </w:tc>
        <w:tc>
          <w:tcPr>
            <w:tcW w:type="dxa" w:w="151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0.60 (0.18–2.04)</w:t>
            </w:r>
          </w:p>
        </w:tc>
      </w:tr>
      <w:tr>
        <w:trPr>
          <w:cantSplit w:val="true"/>
        </w:trPr>
        <w:tc>
          <w:tcPr>
            <w:tcW w:type="dxa" w:w="25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Any mechanical complication by 12 months: robot vs conventional</w:t>
            </w:r>
          </w:p>
        </w:tc>
        <w:tc>
          <w:tcPr>
            <w:tcW w:type="dxa" w:w="316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PMMA-only sensitivity logistic; complete cases</w:t>
            </w:r>
          </w:p>
        </w:tc>
        <w:tc>
          <w:tcPr>
            <w:tcW w:type="dxa" w:w="79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OR</w:t>
            </w:r>
          </w:p>
        </w:tc>
        <w:tc>
          <w:tcPr>
            <w:tcW w:type="dxa" w:w="1008"/>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0.221</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0.066</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0.740</w:t>
            </w:r>
          </w:p>
        </w:tc>
        <w:tc>
          <w:tcPr>
            <w:tcW w:type="dxa" w:w="93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0.014</w:t>
            </w:r>
          </w:p>
        </w:tc>
        <w:tc>
          <w:tcPr>
            <w:tcW w:type="dxa" w:w="151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0.22 (0.07–0.74)</w:t>
            </w:r>
          </w:p>
        </w:tc>
      </w:tr>
      <w:tr>
        <w:trPr>
          <w:cantSplit w:val="true"/>
        </w:trPr>
        <w:tc>
          <w:tcPr>
            <w:tcW w:type="dxa" w:w="25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Screw loosening at 12 months: robot vs conventional</w:t>
            </w:r>
          </w:p>
        </w:tc>
        <w:tc>
          <w:tcPr>
            <w:tcW w:type="dxa" w:w="316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Unadjusted patient-level logistic; complete cases</w:t>
            </w:r>
          </w:p>
        </w:tc>
        <w:tc>
          <w:tcPr>
            <w:tcW w:type="dxa" w:w="79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OR</w:t>
            </w:r>
          </w:p>
        </w:tc>
        <w:tc>
          <w:tcPr>
            <w:tcW w:type="dxa" w:w="1008"/>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0.159</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0.034</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0.753</w:t>
            </w:r>
          </w:p>
        </w:tc>
        <w:tc>
          <w:tcPr>
            <w:tcW w:type="dxa" w:w="93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0.020</w:t>
            </w:r>
          </w:p>
        </w:tc>
        <w:tc>
          <w:tcPr>
            <w:tcW w:type="dxa" w:w="151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0.16 (0.03–0.75)</w:t>
            </w:r>
          </w:p>
        </w:tc>
      </w:tr>
    </w:tbl>
    <w:p>
      <w:pPr>
        <w:spacing w:line="240" w:lineRule="auto"/>
      </w:pPr>
      <w:r>
        <w:rPr>
          <w:rFonts w:ascii="Times New Roman" w:hAnsi="Times New Roman" w:eastAsia="Times New Roman" w:cs="Times New Roman"/>
          <w:b w:val="0"/>
          <w:i w:val="0"/>
          <w:sz w:val="20"/>
        </w:rPr>
        <w:t>Adjusted grade A GEE covariates are listed above. The adjusted mechanical logistic models included age and BMD T-score. No time-to-event estimates are presented. CI, confidence interval; GEE, generalised estimating equation; OR, odds ratio.</w:t>
      </w:r>
    </w:p>
    <w:p>
      <w:pPr>
        <w:pStyle w:val="Heading1"/>
      </w:pPr>
      <w:r>
        <w:t>Supplementary Table S2. Baseline-adjusted 12-month sensitivity analyses</w:t>
      </w:r>
    </w:p>
    <w:tbl>
      <w:tblPr>
        <w:tblStyle w:val="TableGrid"/>
        <w:tblW w:type="auto" w:w="0"/>
        <w:jc w:val="center"/>
        <w:tblLook w:firstColumn="1" w:firstRow="1" w:lastColumn="0" w:lastRow="0" w:noHBand="0" w:noVBand="1" w:val="04A0"/>
      </w:tblPr>
      <w:tblGrid>
        <w:gridCol w:w="1332"/>
        <w:gridCol w:w="1332"/>
        <w:gridCol w:w="1332"/>
        <w:gridCol w:w="1332"/>
        <w:gridCol w:w="1332"/>
        <w:gridCol w:w="1332"/>
        <w:gridCol w:w="1332"/>
        <w:gridCol w:w="1332"/>
      </w:tblGrid>
      <w:tr>
        <w:trPr>
          <w:tblHeader w:val="true"/>
          <w:cantSplit w:val="true"/>
        </w:trPr>
        <w:tc>
          <w:tcPr>
            <w:tcW w:type="dxa" w:w="3384"/>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Outcome</w:t>
            </w:r>
          </w:p>
        </w:tc>
        <w:tc>
          <w:tcPr>
            <w:tcW w:type="dxa" w:w="1152"/>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Complete-case n</w:t>
            </w:r>
          </w:p>
        </w:tc>
        <w:tc>
          <w:tcPr>
            <w:tcW w:type="dxa" w:w="936"/>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FH-CA n</w:t>
            </w:r>
          </w:p>
        </w:tc>
        <w:tc>
          <w:tcPr>
            <w:tcW w:type="dxa" w:w="936"/>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RA-CA n</w:t>
            </w:r>
          </w:p>
        </w:tc>
        <w:tc>
          <w:tcPr>
            <w:tcW w:type="dxa" w:w="1584"/>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Adjusted difference (RA-CA − FH-CA)</w:t>
            </w:r>
          </w:p>
        </w:tc>
        <w:tc>
          <w:tcPr>
            <w:tcW w:type="dxa" w:w="1152"/>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95% CI low</w:t>
            </w:r>
          </w:p>
        </w:tc>
        <w:tc>
          <w:tcPr>
            <w:tcW w:type="dxa" w:w="1152"/>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95% CI high</w:t>
            </w:r>
          </w:p>
        </w:tc>
        <w:tc>
          <w:tcPr>
            <w:tcW w:type="dxa" w:w="1008"/>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P value</w:t>
            </w:r>
          </w:p>
        </w:tc>
      </w:tr>
      <w:tr>
        <w:trPr>
          <w:cantSplit w:val="true"/>
        </w:trPr>
        <w:tc>
          <w:tcPr>
            <w:tcW w:type="dxa" w:w="3384"/>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Cobb angle at 12 months, degrees</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118</w:t>
            </w:r>
          </w:p>
        </w:tc>
        <w:tc>
          <w:tcPr>
            <w:tcW w:type="dxa" w:w="93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60</w:t>
            </w:r>
          </w:p>
        </w:tc>
        <w:tc>
          <w:tcPr>
            <w:tcW w:type="dxa" w:w="936"/>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58</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-2.01</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-3.01</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-1.01</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&lt;0.001</w:t>
            </w:r>
          </w:p>
        </w:tc>
      </w:tr>
      <w:tr>
        <w:trPr>
          <w:cantSplit w:val="true"/>
        </w:trPr>
        <w:tc>
          <w:tcPr>
            <w:tcW w:type="dxa" w:w="3384"/>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Anterior vertebral height ratio at 12 months, %</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118</w:t>
            </w:r>
          </w:p>
        </w:tc>
        <w:tc>
          <w:tcPr>
            <w:tcW w:type="dxa" w:w="93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60</w:t>
            </w:r>
          </w:p>
        </w:tc>
        <w:tc>
          <w:tcPr>
            <w:tcW w:type="dxa" w:w="936"/>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58</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5.14</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2.32</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7.95</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&lt;0.001</w:t>
            </w:r>
          </w:p>
        </w:tc>
      </w:tr>
      <w:tr>
        <w:trPr>
          <w:cantSplit w:val="true"/>
        </w:trPr>
        <w:tc>
          <w:tcPr>
            <w:tcW w:type="dxa" w:w="3384"/>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VAS score at 12 months</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118</w:t>
            </w:r>
          </w:p>
        </w:tc>
        <w:tc>
          <w:tcPr>
            <w:tcW w:type="dxa" w:w="93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60</w:t>
            </w:r>
          </w:p>
        </w:tc>
        <w:tc>
          <w:tcPr>
            <w:tcW w:type="dxa" w:w="936"/>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58</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0.01</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-0.16</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0.18</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0.891</w:t>
            </w:r>
          </w:p>
        </w:tc>
      </w:tr>
      <w:tr>
        <w:trPr>
          <w:cantSplit w:val="true"/>
        </w:trPr>
        <w:tc>
          <w:tcPr>
            <w:tcW w:type="dxa" w:w="3384"/>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ODI score at 12 months</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118</w:t>
            </w:r>
          </w:p>
        </w:tc>
        <w:tc>
          <w:tcPr>
            <w:tcW w:type="dxa" w:w="93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60</w:t>
            </w:r>
          </w:p>
        </w:tc>
        <w:tc>
          <w:tcPr>
            <w:tcW w:type="dxa" w:w="936"/>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58</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-3.40</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-4.79</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-2.01</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&lt;0.001</w:t>
            </w:r>
          </w:p>
        </w:tc>
      </w:tr>
    </w:tbl>
    <w:p>
      <w:pPr>
        <w:pStyle w:val="Heading1"/>
      </w:pPr>
      <w:r>
        <w:t>Supplementary Table S3. Mechanical-outcome attrition sensitivity</w:t>
      </w:r>
    </w:p>
    <w:tbl>
      <w:tblPr>
        <w:tblStyle w:val="TableGrid"/>
        <w:tblW w:type="auto" w:w="0"/>
        <w:jc w:val="center"/>
        <w:tblLook w:firstColumn="1" w:firstRow="1" w:lastColumn="0" w:lastRow="0" w:noHBand="0" w:noVBand="1" w:val="04A0"/>
      </w:tblPr>
      <w:tblGrid>
        <w:gridCol w:w="1066"/>
        <w:gridCol w:w="1066"/>
        <w:gridCol w:w="1066"/>
        <w:gridCol w:w="1066"/>
        <w:gridCol w:w="1066"/>
        <w:gridCol w:w="1066"/>
        <w:gridCol w:w="1066"/>
        <w:gridCol w:w="1066"/>
        <w:gridCol w:w="1066"/>
        <w:gridCol w:w="1066"/>
      </w:tblGrid>
      <w:tr>
        <w:trPr>
          <w:tblHeader w:val="true"/>
          <w:cantSplit w:val="true"/>
        </w:trPr>
        <w:tc>
          <w:tcPr>
            <w:tcW w:type="dxa" w:w="2088"/>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2"/>
              </w:rPr>
              <w:t>Scenario</w:t>
            </w:r>
          </w:p>
        </w:tc>
        <w:tc>
          <w:tcPr>
            <w:tcW w:type="dxa" w:w="1296"/>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2"/>
              </w:rPr>
              <w:t>FH-CA events / N</w:t>
            </w:r>
          </w:p>
        </w:tc>
        <w:tc>
          <w:tcPr>
            <w:tcW w:type="dxa" w:w="1296"/>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2"/>
              </w:rPr>
              <w:t>RA-CA events / N</w:t>
            </w:r>
          </w:p>
        </w:tc>
        <w:tc>
          <w:tcPr>
            <w:tcW w:type="dxa" w:w="1080"/>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2"/>
              </w:rPr>
              <w:t>Risk ratio</w:t>
            </w:r>
          </w:p>
        </w:tc>
        <w:tc>
          <w:tcPr>
            <w:tcW w:type="dxa" w:w="1008"/>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2"/>
              </w:rPr>
              <w:t>95% CI low</w:t>
            </w:r>
          </w:p>
        </w:tc>
        <w:tc>
          <w:tcPr>
            <w:tcW w:type="dxa" w:w="1008"/>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2"/>
              </w:rPr>
              <w:t>95% CI high</w:t>
            </w:r>
          </w:p>
        </w:tc>
        <w:tc>
          <w:tcPr>
            <w:tcW w:type="dxa" w:w="1152"/>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2"/>
              </w:rPr>
              <w:t>Risk difference</w:t>
            </w:r>
          </w:p>
        </w:tc>
        <w:tc>
          <w:tcPr>
            <w:tcW w:type="dxa" w:w="1008"/>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2"/>
              </w:rPr>
              <w:t>RD 95% CI low</w:t>
            </w:r>
          </w:p>
        </w:tc>
        <w:tc>
          <w:tcPr>
            <w:tcW w:type="dxa" w:w="1008"/>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2"/>
              </w:rPr>
              <w:t>RD 95% CI high</w:t>
            </w:r>
          </w:p>
        </w:tc>
        <w:tc>
          <w:tcPr>
            <w:tcW w:type="dxa" w:w="1080"/>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2"/>
              </w:rPr>
              <w:t>Fisher P value</w:t>
            </w:r>
          </w:p>
        </w:tc>
      </w:tr>
      <w:tr>
        <w:trPr>
          <w:cantSplit w:val="true"/>
        </w:trPr>
        <w:tc>
          <w:tcPr>
            <w:tcW w:type="dxa" w:w="2088"/>
            <w:tcMar>
              <w:top w:w="50" w:type="dxa"/>
              <w:start w:w="70" w:type="dxa"/>
              <w:bottom w:w="50" w:type="dxa"/>
              <w:end w:w="70" w:type="dxa"/>
            </w:tcMar>
            <w:vAlign w:val="center"/>
          </w:tcPr>
          <w:p>
            <w:pPr>
              <w:jc w:val="left"/>
            </w:pPr>
            <w:r>
              <w:rPr>
                <w:rFonts w:ascii="Times New Roman" w:hAnsi="Times New Roman" w:eastAsia="Times New Roman" w:cs="Times New Roman"/>
                <w:b w:val="0"/>
                <w:i w:val="0"/>
                <w:sz w:val="12"/>
              </w:rPr>
              <w:t>Complete-case analysis</w:t>
            </w:r>
          </w:p>
        </w:tc>
        <w:tc>
          <w:tcPr>
            <w:tcW w:type="dxa" w:w="129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17/60</w:t>
            </w:r>
          </w:p>
        </w:tc>
        <w:tc>
          <w:tcPr>
            <w:tcW w:type="dxa" w:w="129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5/58</w:t>
            </w:r>
          </w:p>
        </w:tc>
        <w:tc>
          <w:tcPr>
            <w:tcW w:type="dxa" w:w="1080"/>
            <w:tcMar>
              <w:top w:w="50" w:type="dxa"/>
              <w:start w:w="70" w:type="dxa"/>
              <w:bottom w:w="50" w:type="dxa"/>
              <w:end w:w="70" w:type="dxa"/>
            </w:tcMar>
            <w:vAlign w:val="center"/>
          </w:tcPr>
          <w:p>
            <w:pPr>
              <w:jc w:val="left"/>
            </w:pPr>
            <w:r>
              <w:rPr>
                <w:rFonts w:ascii="Times New Roman" w:hAnsi="Times New Roman" w:eastAsia="Times New Roman" w:cs="Times New Roman"/>
                <w:b w:val="0"/>
                <w:i w:val="0"/>
                <w:sz w:val="12"/>
              </w:rPr>
              <w:t>0.304</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0.120</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0.771</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-0.197</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-0.332</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-0.062</w:t>
            </w:r>
          </w:p>
        </w:tc>
        <w:tc>
          <w:tcPr>
            <w:tcW w:type="dxa" w:w="1080"/>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0.008</w:t>
            </w:r>
          </w:p>
        </w:tc>
      </w:tr>
      <w:tr>
        <w:trPr>
          <w:cantSplit w:val="true"/>
        </w:trPr>
        <w:tc>
          <w:tcPr>
            <w:tcW w:type="dxa" w:w="2088"/>
            <w:tcMar>
              <w:top w:w="50" w:type="dxa"/>
              <w:start w:w="70" w:type="dxa"/>
              <w:bottom w:w="50" w:type="dxa"/>
              <w:end w:w="70" w:type="dxa"/>
            </w:tcMar>
            <w:vAlign w:val="center"/>
          </w:tcPr>
          <w:p>
            <w:pPr>
              <w:jc w:val="left"/>
            </w:pPr>
            <w:r>
              <w:rPr>
                <w:rFonts w:ascii="Times New Roman" w:hAnsi="Times New Roman" w:eastAsia="Times New Roman" w:cs="Times New Roman"/>
                <w:b w:val="0"/>
                <w:i w:val="0"/>
                <w:sz w:val="12"/>
              </w:rPr>
              <w:t>All missing assumed event-free</w:t>
            </w:r>
          </w:p>
        </w:tc>
        <w:tc>
          <w:tcPr>
            <w:tcW w:type="dxa" w:w="129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17/64</w:t>
            </w:r>
          </w:p>
        </w:tc>
        <w:tc>
          <w:tcPr>
            <w:tcW w:type="dxa" w:w="129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5/64</w:t>
            </w:r>
          </w:p>
        </w:tc>
        <w:tc>
          <w:tcPr>
            <w:tcW w:type="dxa" w:w="1080"/>
            <w:tcMar>
              <w:top w:w="50" w:type="dxa"/>
              <w:start w:w="70" w:type="dxa"/>
              <w:bottom w:w="50" w:type="dxa"/>
              <w:end w:w="70" w:type="dxa"/>
            </w:tcMar>
            <w:vAlign w:val="center"/>
          </w:tcPr>
          <w:p>
            <w:pPr>
              <w:jc w:val="left"/>
            </w:pPr>
            <w:r>
              <w:rPr>
                <w:rFonts w:ascii="Times New Roman" w:hAnsi="Times New Roman" w:eastAsia="Times New Roman" w:cs="Times New Roman"/>
                <w:b w:val="0"/>
                <w:i w:val="0"/>
                <w:sz w:val="12"/>
              </w:rPr>
              <w:t>0.294</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0.115</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0.749</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-0.188</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-0.314</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-0.061</w:t>
            </w:r>
          </w:p>
        </w:tc>
        <w:tc>
          <w:tcPr>
            <w:tcW w:type="dxa" w:w="1080"/>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0.009</w:t>
            </w:r>
          </w:p>
        </w:tc>
      </w:tr>
      <w:tr>
        <w:trPr>
          <w:cantSplit w:val="true"/>
        </w:trPr>
        <w:tc>
          <w:tcPr>
            <w:tcW w:type="dxa" w:w="2088"/>
            <w:tcMar>
              <w:top w:w="50" w:type="dxa"/>
              <w:start w:w="70" w:type="dxa"/>
              <w:bottom w:w="50" w:type="dxa"/>
              <w:end w:w="70" w:type="dxa"/>
            </w:tcMar>
            <w:vAlign w:val="center"/>
          </w:tcPr>
          <w:p>
            <w:pPr>
              <w:jc w:val="left"/>
            </w:pPr>
            <w:r>
              <w:rPr>
                <w:rFonts w:ascii="Times New Roman" w:hAnsi="Times New Roman" w:eastAsia="Times New Roman" w:cs="Times New Roman"/>
                <w:b w:val="0"/>
                <w:i w:val="0"/>
                <w:sz w:val="12"/>
              </w:rPr>
              <w:t>Worst case for RA-CA</w:t>
            </w:r>
          </w:p>
        </w:tc>
        <w:tc>
          <w:tcPr>
            <w:tcW w:type="dxa" w:w="129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17/64</w:t>
            </w:r>
          </w:p>
        </w:tc>
        <w:tc>
          <w:tcPr>
            <w:tcW w:type="dxa" w:w="129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11/64</w:t>
            </w:r>
          </w:p>
        </w:tc>
        <w:tc>
          <w:tcPr>
            <w:tcW w:type="dxa" w:w="1080"/>
            <w:tcMar>
              <w:top w:w="50" w:type="dxa"/>
              <w:start w:w="70" w:type="dxa"/>
              <w:bottom w:w="50" w:type="dxa"/>
              <w:end w:w="70" w:type="dxa"/>
            </w:tcMar>
            <w:vAlign w:val="center"/>
          </w:tcPr>
          <w:p>
            <w:pPr>
              <w:jc w:val="left"/>
            </w:pPr>
            <w:r>
              <w:rPr>
                <w:rFonts w:ascii="Times New Roman" w:hAnsi="Times New Roman" w:eastAsia="Times New Roman" w:cs="Times New Roman"/>
                <w:b w:val="0"/>
                <w:i w:val="0"/>
                <w:sz w:val="12"/>
              </w:rPr>
              <w:t>0.647</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0.330</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1.270</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-0.094</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-0.236</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0.049</w:t>
            </w:r>
          </w:p>
        </w:tc>
        <w:tc>
          <w:tcPr>
            <w:tcW w:type="dxa" w:w="1080"/>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0.285</w:t>
            </w:r>
          </w:p>
        </w:tc>
      </w:tr>
      <w:tr>
        <w:trPr>
          <w:cantSplit w:val="true"/>
        </w:trPr>
        <w:tc>
          <w:tcPr>
            <w:tcW w:type="dxa" w:w="2088"/>
            <w:tcMar>
              <w:top w:w="50" w:type="dxa"/>
              <w:start w:w="70" w:type="dxa"/>
              <w:bottom w:w="50" w:type="dxa"/>
              <w:end w:w="70" w:type="dxa"/>
            </w:tcMar>
            <w:vAlign w:val="center"/>
          </w:tcPr>
          <w:p>
            <w:pPr>
              <w:jc w:val="left"/>
            </w:pPr>
            <w:r>
              <w:rPr>
                <w:rFonts w:ascii="Times New Roman" w:hAnsi="Times New Roman" w:eastAsia="Times New Roman" w:cs="Times New Roman"/>
                <w:b w:val="0"/>
                <w:i w:val="0"/>
                <w:sz w:val="12"/>
              </w:rPr>
              <w:t>Worst case for FH-CA</w:t>
            </w:r>
          </w:p>
        </w:tc>
        <w:tc>
          <w:tcPr>
            <w:tcW w:type="dxa" w:w="129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21/64</w:t>
            </w:r>
          </w:p>
        </w:tc>
        <w:tc>
          <w:tcPr>
            <w:tcW w:type="dxa" w:w="1296"/>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5/64</w:t>
            </w:r>
          </w:p>
        </w:tc>
        <w:tc>
          <w:tcPr>
            <w:tcW w:type="dxa" w:w="1080"/>
            <w:tcMar>
              <w:top w:w="50" w:type="dxa"/>
              <w:start w:w="70" w:type="dxa"/>
              <w:bottom w:w="50" w:type="dxa"/>
              <w:end w:w="70" w:type="dxa"/>
            </w:tcMar>
            <w:vAlign w:val="center"/>
          </w:tcPr>
          <w:p>
            <w:pPr>
              <w:jc w:val="left"/>
            </w:pPr>
            <w:r>
              <w:rPr>
                <w:rFonts w:ascii="Times New Roman" w:hAnsi="Times New Roman" w:eastAsia="Times New Roman" w:cs="Times New Roman"/>
                <w:b w:val="0"/>
                <w:i w:val="0"/>
                <w:sz w:val="12"/>
              </w:rPr>
              <w:t>0.238</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0.096</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0.593</w:t>
            </w:r>
          </w:p>
        </w:tc>
        <w:tc>
          <w:tcPr>
            <w:tcW w:type="dxa" w:w="1152"/>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-0.250</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-0.382</w:t>
            </w:r>
          </w:p>
        </w:tc>
        <w:tc>
          <w:tcPr>
            <w:tcW w:type="dxa" w:w="100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-0.118</w:t>
            </w:r>
          </w:p>
        </w:tc>
        <w:tc>
          <w:tcPr>
            <w:tcW w:type="dxa" w:w="1080"/>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2"/>
              </w:rPr>
              <w:t>0.001</w:t>
            </w:r>
          </w:p>
        </w:tc>
      </w:tr>
    </w:tbl>
    <w:p>
      <w:r>
        <w:rPr>
          <w:sz w:val="20"/>
        </w:rPr>
        <w:t>The complete-case analysis excludes ten patients without complete 12-month visit assessments (four FH-CA and six RA-CA). Worst case for RA-CA assigns an event to all missing RA-CA patients and no event to missing FH-CA patients; the reverse assumption defines worst case for FH-CA. Risk differences are proportions, not percentages.</w:t>
      </w:r>
    </w:p>
    <w:p>
      <w:pPr>
        <w:pStyle w:val="Heading1"/>
        <w:pageBreakBefore/>
      </w:pPr>
      <w:r>
        <w:t>Supplementary Table S4. Cement-formulation sensitivity analysis</w:t>
      </w:r>
    </w:p>
    <w:tbl>
      <w:tblPr>
        <w:tblStyle w:val="TableGrid"/>
        <w:tblW w:type="auto" w:w="0"/>
        <w:jc w:val="center"/>
        <w:tblLook w:firstColumn="1" w:firstRow="1" w:lastColumn="0" w:lastRow="0" w:noHBand="0" w:noVBand="1" w:val="04A0"/>
      </w:tblPr>
      <w:tblGrid>
        <w:gridCol w:w="1522"/>
        <w:gridCol w:w="1522"/>
        <w:gridCol w:w="1522"/>
        <w:gridCol w:w="1522"/>
        <w:gridCol w:w="1522"/>
        <w:gridCol w:w="1522"/>
        <w:gridCol w:w="1522"/>
      </w:tblGrid>
      <w:tr>
        <w:trPr>
          <w:tblHeader w:val="true"/>
          <w:cantSplit w:val="true"/>
        </w:trPr>
        <w:tc>
          <w:tcPr>
            <w:tcW w:type="dxa" w:w="1605"/>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Analysis</w:t>
            </w:r>
          </w:p>
        </w:tc>
        <w:tc>
          <w:tcPr>
            <w:tcW w:type="dxa" w:w="1605"/>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Analysis n</w:t>
            </w:r>
          </w:p>
        </w:tc>
        <w:tc>
          <w:tcPr>
            <w:tcW w:type="dxa" w:w="1605"/>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Term</w:t>
            </w:r>
          </w:p>
        </w:tc>
        <w:tc>
          <w:tcPr>
            <w:tcW w:type="dxa" w:w="1605"/>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OR</w:t>
            </w:r>
          </w:p>
        </w:tc>
        <w:tc>
          <w:tcPr>
            <w:tcW w:type="dxa" w:w="1605"/>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95% CI low</w:t>
            </w:r>
          </w:p>
        </w:tc>
        <w:tc>
          <w:tcPr>
            <w:tcW w:type="dxa" w:w="1605"/>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95% CI high</w:t>
            </w:r>
          </w:p>
        </w:tc>
        <w:tc>
          <w:tcPr>
            <w:tcW w:type="dxa" w:w="1605"/>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3"/>
              </w:rPr>
              <w:t>P value</w:t>
            </w:r>
          </w:p>
        </w:tc>
      </w:tr>
      <w:tr>
        <w:trPr>
          <w:cantSplit w:val="true"/>
        </w:trPr>
        <w:tc>
          <w:tcPr>
            <w:tcW w:type="dxa" w:w="1605"/>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All formulations; robot effect adjusted for non-PMMA formulation</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118</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Robot-assisted vs conventional</w:t>
            </w:r>
          </w:p>
        </w:tc>
        <w:tc>
          <w:tcPr>
            <w:tcW w:type="dxa" w:w="1605"/>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0.24</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0.08</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0.70</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0.009</w:t>
            </w:r>
          </w:p>
        </w:tc>
      </w:tr>
      <w:tr>
        <w:trPr>
          <w:cantSplit w:val="true"/>
        </w:trPr>
        <w:tc>
          <w:tcPr>
            <w:tcW w:type="dxa" w:w="1605"/>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All formulations; formulation effect adjusted for robotic guidance</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118</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Non-PMMA vs PMMA</w:t>
            </w:r>
          </w:p>
        </w:tc>
        <w:tc>
          <w:tcPr>
            <w:tcW w:type="dxa" w:w="1605"/>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0.60</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0.18</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2.04</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0.416</w:t>
            </w:r>
          </w:p>
        </w:tc>
      </w:tr>
      <w:tr>
        <w:trPr>
          <w:cantSplit w:val="true"/>
        </w:trPr>
        <w:tc>
          <w:tcPr>
            <w:tcW w:type="dxa" w:w="1605"/>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PMMA-only subset</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89</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Robot-assisted vs conventional</w:t>
            </w:r>
          </w:p>
        </w:tc>
        <w:tc>
          <w:tcPr>
            <w:tcW w:type="dxa" w:w="1605"/>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0.22</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0.07</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0.74</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0.014</w:t>
            </w:r>
          </w:p>
        </w:tc>
      </w:tr>
      <w:tr>
        <w:trPr>
          <w:cantSplit w:val="true"/>
        </w:trPr>
        <w:tc>
          <w:tcPr>
            <w:tcW w:type="dxa" w:w="1605"/>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Other-excluded subset; mechanical complication adjusted for age, BMD and CPC vs PMMA</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113</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Robot-assisted vs conventional</w:t>
            </w:r>
          </w:p>
        </w:tc>
        <w:tc>
          <w:tcPr>
            <w:tcW w:type="dxa" w:w="1605"/>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0.22</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0.07</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0.71</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0.012</w:t>
            </w:r>
          </w:p>
        </w:tc>
      </w:tr>
      <w:tr>
        <w:trPr>
          <w:cantSplit w:val="true"/>
        </w:trPr>
        <w:tc>
          <w:tcPr>
            <w:tcW w:type="dxa" w:w="1605"/>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Other-excluded subset; Grade A screw placement, patient-clustered GEE</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626</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Robot-assisted vs conventional</w:t>
            </w:r>
          </w:p>
        </w:tc>
        <w:tc>
          <w:tcPr>
            <w:tcW w:type="dxa" w:w="1605"/>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2.65</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1.47</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4.77</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0.001</w:t>
            </w:r>
          </w:p>
        </w:tc>
      </w:tr>
      <w:tr>
        <w:trPr>
          <w:cantSplit w:val="true"/>
        </w:trPr>
        <w:tc>
          <w:tcPr>
            <w:tcW w:type="dxa" w:w="1605"/>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Other-excluded subset; adjusted Grade A screw placement, patient-clustered GEE</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626</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Robot-assisted vs conventional</w:t>
            </w:r>
          </w:p>
        </w:tc>
        <w:tc>
          <w:tcPr>
            <w:tcW w:type="dxa" w:w="1605"/>
            <w:tcMar>
              <w:top w:w="50" w:type="dxa"/>
              <w:start w:w="70" w:type="dxa"/>
              <w:bottom w:w="50" w:type="dxa"/>
              <w:end w:w="70" w:type="dxa"/>
            </w:tcMar>
            <w:vAlign w:val="center"/>
          </w:tcPr>
          <w:p>
            <w:pPr>
              <w:jc w:val="left"/>
            </w:pPr>
            <w:r>
              <w:rPr>
                <w:rFonts w:ascii="Times New Roman" w:hAnsi="Times New Roman" w:eastAsia="Times New Roman" w:cs="Times New Roman"/>
                <w:b w:val="0"/>
                <w:i w:val="0"/>
                <w:sz w:val="13"/>
              </w:rPr>
              <w:t>2.53</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1.39</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4.60</w:t>
            </w:r>
          </w:p>
        </w:tc>
        <w:tc>
          <w:tcPr>
            <w:tcW w:type="dxa" w:w="1605"/>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3"/>
              </w:rPr>
              <w:t>0.002</w:t>
            </w:r>
          </w:p>
        </w:tc>
      </w:tr>
    </w:tbl>
    <w:p>
      <w:pPr>
        <w:spacing w:line="240" w:lineRule="auto"/>
      </w:pPr>
      <w:r>
        <w:t>The analysis contrasts non-PMMA with PMMA, includes a PMMA-only subset and directly excludes the six Other/unspecified records as a sensitivity analysis. No product identity was imputed. Analysis n denotes patients for mechanical-outcome models and screws for GEE models; the units differ across the rows.</w:t>
      </w:r>
    </w:p>
    <w:p>
      <w:pPr>
        <w:pStyle w:val="Heading1"/>
      </w:pPr>
      <w:r>
        <w:t>Supplementary Table S5. Independent CT rereading reliability</w:t>
      </w:r>
    </w:p>
    <w:tbl>
      <w:tblPr>
        <w:tblStyle w:val="TableGrid"/>
        <w:tblW w:type="auto" w:w="0"/>
        <w:jc w:val="center"/>
        <w:tblLook w:firstColumn="1" w:firstRow="1" w:lastColumn="0" w:lastRow="0" w:noHBand="0" w:noVBand="1" w:val="04A0"/>
      </w:tblPr>
      <w:tblGrid>
        <w:gridCol w:w="2664"/>
        <w:gridCol w:w="2664"/>
        <w:gridCol w:w="2664"/>
        <w:gridCol w:w="2664"/>
      </w:tblGrid>
      <w:tr>
        <w:trPr>
          <w:tblHeader w:val="true"/>
          <w:cantSplit w:val="true"/>
        </w:trPr>
        <w:tc>
          <w:tcPr>
            <w:tcW w:type="dxa" w:w="4320"/>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4"/>
              </w:rPr>
              <w:t>Measure</w:t>
            </w:r>
          </w:p>
        </w:tc>
        <w:tc>
          <w:tcPr>
            <w:tcW w:type="dxa" w:w="1728"/>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4"/>
              </w:rPr>
              <w:t>Observed n/N</w:t>
            </w:r>
          </w:p>
        </w:tc>
        <w:tc>
          <w:tcPr>
            <w:tcW w:type="dxa" w:w="1584"/>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4"/>
              </w:rPr>
              <w:t>Estimate</w:t>
            </w:r>
          </w:p>
        </w:tc>
        <w:tc>
          <w:tcPr>
            <w:tcW w:type="dxa" w:w="3168"/>
            <w:shd w:fill="D9D9D9"/>
            <w:tcMar>
              <w:top w:w="50" w:type="dxa"/>
              <w:start w:w="70" w:type="dxa"/>
              <w:bottom w:w="50" w:type="dxa"/>
              <w:end w:w="70" w:type="dxa"/>
            </w:tcMar>
            <w:vAlign w:val="center"/>
          </w:tcPr>
          <w:p>
            <w:pPr>
              <w:jc w:val="center"/>
            </w:pPr>
            <w:r>
              <w:rPr>
                <w:rFonts w:ascii="Times New Roman" w:hAnsi="Times New Roman" w:eastAsia="Times New Roman" w:cs="Times New Roman"/>
                <w:b/>
                <w:i w:val="0"/>
                <w:sz w:val="14"/>
              </w:rPr>
              <w:t>Patient-cluster bootstrap 95% CI</w:t>
            </w:r>
          </w:p>
        </w:tc>
      </w:tr>
      <w:tr>
        <w:trPr>
          <w:cantSplit w:val="true"/>
        </w:trPr>
        <w:tc>
          <w:tcPr>
            <w:tcW w:type="dxa" w:w="43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Exact modified Gertzbein–Robbins grade agreement</w:t>
            </w:r>
          </w:p>
        </w:tc>
        <w:tc>
          <w:tcPr>
            <w:tcW w:type="dxa" w:w="172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604/658</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91.8%</w:t>
            </w:r>
          </w:p>
        </w:tc>
        <w:tc>
          <w:tcPr>
            <w:tcW w:type="dxa" w:w="3168"/>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89.5–93.9%</w:t>
            </w:r>
          </w:p>
        </w:tc>
      </w:tr>
      <w:tr>
        <w:trPr>
          <w:cantSplit w:val="true"/>
        </w:trPr>
        <w:tc>
          <w:tcPr>
            <w:tcW w:type="dxa" w:w="43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Agreement within one grade category</w:t>
            </w:r>
          </w:p>
        </w:tc>
        <w:tc>
          <w:tcPr>
            <w:tcW w:type="dxa" w:w="172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655/658</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99.5%</w:t>
            </w:r>
          </w:p>
        </w:tc>
        <w:tc>
          <w:tcPr>
            <w:tcW w:type="dxa" w:w="3168"/>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99.0–100.0%</w:t>
            </w:r>
          </w:p>
        </w:tc>
      </w:tr>
      <w:tr>
        <w:trPr>
          <w:cantSplit w:val="true"/>
        </w:trPr>
        <w:tc>
          <w:tcPr>
            <w:tcW w:type="dxa" w:w="43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Quadratic-weighted Cohen's κ</w:t>
            </w:r>
          </w:p>
        </w:tc>
        <w:tc>
          <w:tcPr>
            <w:tcW w:type="dxa" w:w="172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658 screws</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0.859</w:t>
            </w:r>
          </w:p>
        </w:tc>
        <w:tc>
          <w:tcPr>
            <w:tcW w:type="dxa" w:w="3168"/>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0.790–0.906</w:t>
            </w:r>
          </w:p>
        </w:tc>
      </w:tr>
      <w:tr>
        <w:trPr>
          <w:cantSplit w:val="true"/>
        </w:trPr>
        <w:tc>
          <w:tcPr>
            <w:tcW w:type="dxa" w:w="43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Linear-weighted Cohen's κ (sensitivity)</w:t>
            </w:r>
          </w:p>
        </w:tc>
        <w:tc>
          <w:tcPr>
            <w:tcW w:type="dxa" w:w="172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658 screws</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0.730</w:t>
            </w:r>
          </w:p>
        </w:tc>
        <w:tc>
          <w:tcPr>
            <w:tcW w:type="dxa" w:w="3168"/>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0.648–0.797</w:t>
            </w:r>
          </w:p>
        </w:tc>
      </w:tr>
      <w:tr>
        <w:trPr>
          <w:cantSplit w:val="true"/>
        </w:trPr>
        <w:tc>
          <w:tcPr>
            <w:tcW w:type="dxa" w:w="43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Cohen's κ: grade A versus non-A</w:t>
            </w:r>
          </w:p>
        </w:tc>
        <w:tc>
          <w:tcPr>
            <w:tcW w:type="dxa" w:w="172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658 screws</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0.735</w:t>
            </w:r>
          </w:p>
        </w:tc>
        <w:tc>
          <w:tcPr>
            <w:tcW w:type="dxa" w:w="3168"/>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0.646–0.814</w:t>
            </w:r>
          </w:p>
        </w:tc>
      </w:tr>
      <w:tr>
        <w:trPr>
          <w:cantSplit w:val="true"/>
        </w:trPr>
        <w:tc>
          <w:tcPr>
            <w:tcW w:type="dxa" w:w="43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Breach-distance ICC(A,1)</w:t>
            </w:r>
          </w:p>
        </w:tc>
        <w:tc>
          <w:tcPr>
            <w:tcW w:type="dxa" w:w="172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658 screws</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0.969</w:t>
            </w:r>
          </w:p>
        </w:tc>
        <w:tc>
          <w:tcPr>
            <w:tcW w:type="dxa" w:w="3168"/>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0.945–0.983</w:t>
            </w:r>
          </w:p>
        </w:tc>
      </w:tr>
      <w:tr>
        <w:trPr>
          <w:cantSplit w:val="true"/>
        </w:trPr>
        <w:tc>
          <w:tcPr>
            <w:tcW w:type="dxa" w:w="43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Breach-distance ICC(A,1), any-reader breach</w:t>
            </w:r>
          </w:p>
        </w:tc>
        <w:tc>
          <w:tcPr>
            <w:tcW w:type="dxa" w:w="172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89 screws</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0.949</w:t>
            </w:r>
          </w:p>
        </w:tc>
        <w:tc>
          <w:tcPr>
            <w:tcW w:type="dxa" w:w="3168"/>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0.902–0.972</w:t>
            </w:r>
          </w:p>
        </w:tc>
      </w:tr>
      <w:tr>
        <w:trPr>
          <w:cantSplit w:val="true"/>
        </w:trPr>
        <w:tc>
          <w:tcPr>
            <w:tcW w:type="dxa" w:w="43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Mean paired distance difference (R1−R2)</w:t>
            </w:r>
          </w:p>
        </w:tc>
        <w:tc>
          <w:tcPr>
            <w:tcW w:type="dxa" w:w="172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658 screws</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−0.006 mm</w:t>
            </w:r>
          </w:p>
        </w:tc>
        <w:tc>
          <w:tcPr>
            <w:tcW w:type="dxa" w:w="3168"/>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−0.022 to 0.010 mm</w:t>
            </w:r>
          </w:p>
        </w:tc>
      </w:tr>
      <w:tr>
        <w:trPr>
          <w:cantSplit w:val="true"/>
        </w:trPr>
        <w:tc>
          <w:tcPr>
            <w:tcW w:type="dxa" w:w="43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Bland–Altman limits of agreement</w:t>
            </w:r>
          </w:p>
        </w:tc>
        <w:tc>
          <w:tcPr>
            <w:tcW w:type="dxa" w:w="172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658 screws</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−0.469 to 0.456 mm</w:t>
            </w:r>
          </w:p>
        </w:tc>
        <w:tc>
          <w:tcPr>
            <w:tcW w:type="dxa" w:w="3168"/>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w:t>
            </w:r>
          </w:p>
        </w:tc>
      </w:tr>
      <w:tr>
        <w:trPr>
          <w:cantSplit w:val="true"/>
        </w:trPr>
        <w:tc>
          <w:tcPr>
            <w:tcW w:type="dxa" w:w="43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Grade disagreements adjudicated</w:t>
            </w:r>
          </w:p>
        </w:tc>
        <w:tc>
          <w:tcPr>
            <w:tcW w:type="dxa" w:w="172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54/658</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8.2%</w:t>
            </w:r>
          </w:p>
        </w:tc>
        <w:tc>
          <w:tcPr>
            <w:tcW w:type="dxa" w:w="3168"/>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w:t>
            </w:r>
          </w:p>
        </w:tc>
      </w:tr>
      <w:tr>
        <w:trPr>
          <w:cantSplit w:val="true"/>
        </w:trPr>
        <w:tc>
          <w:tcPr>
            <w:tcW w:type="dxa" w:w="43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Adjudicator matched R1 / R2 / neither</w:t>
            </w:r>
          </w:p>
        </w:tc>
        <w:tc>
          <w:tcPr>
            <w:tcW w:type="dxa" w:w="172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27 / 24 / 3</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w:t>
            </w:r>
          </w:p>
        </w:tc>
        <w:tc>
          <w:tcPr>
            <w:tcW w:type="dxa" w:w="3168"/>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w:t>
            </w:r>
          </w:p>
        </w:tc>
      </w:tr>
      <w:tr>
        <w:trPr>
          <w:cantSplit w:val="true"/>
        </w:trPr>
        <w:tc>
          <w:tcPr>
            <w:tcW w:type="dxa" w:w="4320"/>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Change in locked primary Grade A counts</w:t>
            </w:r>
          </w:p>
        </w:tc>
        <w:tc>
          <w:tcPr>
            <w:tcW w:type="dxa" w:w="1728"/>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0/658</w:t>
            </w:r>
          </w:p>
        </w:tc>
        <w:tc>
          <w:tcPr>
            <w:tcW w:type="dxa" w:w="1584"/>
            <w:tcMar>
              <w:top w:w="50" w:type="dxa"/>
              <w:start w:w="70" w:type="dxa"/>
              <w:bottom w:w="50" w:type="dxa"/>
              <w:end w:w="70" w:type="dxa"/>
            </w:tcMar>
            <w:vAlign w:val="center"/>
          </w:tcPr>
          <w:p>
            <w:pPr>
              <w:jc w:val="center"/>
            </w:pPr>
            <w:r>
              <w:rPr>
                <w:rFonts w:ascii="Times New Roman" w:hAnsi="Times New Roman" w:eastAsia="Times New Roman" w:cs="Times New Roman"/>
                <w:b w:val="0"/>
                <w:i w:val="0"/>
                <w:sz w:val="14"/>
              </w:rPr>
              <w:t>None</w:t>
            </w:r>
          </w:p>
        </w:tc>
        <w:tc>
          <w:tcPr>
            <w:tcW w:type="dxa" w:w="3168"/>
            <w:tcMar>
              <w:top w:w="50" w:type="dxa"/>
              <w:start w:w="70" w:type="dxa"/>
              <w:bottom w:w="50" w:type="dxa"/>
              <w:end w:w="70" w:type="dxa"/>
            </w:tcMar>
            <w:vAlign w:val="center"/>
          </w:tcPr>
          <w:p>
            <w:pPr>
              <w:jc w:val="left"/>
            </w:pPr>
            <w:r>
              <w:rPr>
                <w:rFonts w:ascii="Times New Roman" w:hAnsi="Times New Roman" w:eastAsia="Times New Roman" w:cs="Times New Roman"/>
                <w:b w:val="0"/>
                <w:i w:val="0"/>
                <w:sz w:val="14"/>
              </w:rPr>
              <w:t>—</w:t>
            </w:r>
          </w:p>
        </w:tc>
      </w:tr>
    </w:tbl>
    <w:p>
      <w:pPr>
        <w:spacing w:line="240" w:lineRule="auto"/>
      </w:pPr>
      <w:r>
        <w:rPr>
          <w:rFonts w:ascii="Times New Roman" w:hAnsi="Times New Roman" w:eastAsia="Times New Roman" w:cs="Times New Roman"/>
          <w:b w:val="0"/>
          <w:i w:val="0"/>
          <w:sz w:val="20"/>
        </w:rPr>
        <w:t>Two independent spine surgeons were not provided treatment allocation, operative records or clinical outcomes; a senior spine surgeon adjudicated all grade disagreements. Quadratic weights were primary and linear weights were used for sensitivity. ICC(A,1) denotes a two-way random-effects, absolute-agreement, single-measure intraclass correlation coefficient. Confidence intervals used 20,000 patient-cluster bootstrap samples. Because 569 screws received a zero breach distance from both readers, the any-reader-breach subset is reported to show that the all-screw ICC was not solely driven by paired zeros. The source-reconciled grades locked on 31 July 2026 remained primary for all comparative analyses.</w:t>
      </w:r>
    </w:p>
    <w:p>
      <w:pPr>
        <w:pStyle w:val="Heading1"/>
        <w:pageBreakBefore/>
      </w:pPr>
      <w:r>
        <w:t>S6. Reproducibility and integrity checks</w:t>
      </w:r>
    </w:p>
    <w:p>
      <w:pPr>
        <w:spacing w:line="240" w:lineRule="auto" w:after="0"/>
      </w:pPr>
      <w:r>
        <w:t>Software: Python 3.12.13; pandas 3.0.5; NumPy 2.5.1; SciPy 1.18.0; statsmodels 0.14.6; Matplotlib 3.11.1; seed 20260808. No endpoint was imputed. Model estimates and the variable dictionary are in 05_Supplementary_Analysis_and_Variable_Dictionary.xlsx; source-reconciliation and regulatory audit records remain in the internal study master file.</w:t>
      </w:r>
    </w:p>
    <w:p>
      <w:pPr>
        <w:spacing w:line="240" w:lineRule="auto"/>
      </w:pPr>
      <w:r>
        <w:rPr>
          <w:rFonts w:ascii="Times New Roman" w:hAnsi="Times New Roman" w:eastAsia="Times New Roman" w:cs="Times New Roman"/>
          <w:b w:val="0"/>
          <w:i w:val="0"/>
          <w:sz w:val="20"/>
        </w:rPr>
        <w:t>Abbreviations: AO, AO Spine fracture classification; BMD, bone mineral density; BMI, body mass index; CI, confidence interval; CPC, calcium phosphate cement; CT, computed tomography; FH-CA, conventional fluoroscopy-assisted cement-augmented group; GEE, generalised estimating equation; HC3, heteroscedasticity-consistent type 3; ICC, intraclass correlation coefficient; ODI, Oswestry Disability Index; OR, odds ratio; PMMA, polymethylmethacrylate; R1, reader 1; R2, reader 2; RA-CA, robot-assisted cement-augmented group; RD, risk difference; SMD, standardised mean difference; VAS, visual analogue scale.</w:t>
      </w:r>
    </w:p>
    <w:p>
      <w:pPr>
        <w:pStyle w:val="Heading1"/>
        <w:pageBreakBefore w:val="0"/>
      </w:pPr>
      <w:r>
        <w:t>S7. Variable definitions and coding</w:t>
      </w:r>
    </w:p>
    <w:p>
      <w:r>
        <w:t>The companion workbook contains 105 variable entries (88 patient-level and 17 screw-level). Its Coding and definition and Definition source columns supplement the original source headers, analysis codes, units, observed ranges, missingness counts and analysis-handling notes. Observed sample ranges describe the supplied dataset and are not eligibility criteria or permissible-value limits.</w:t>
      </w:r>
    </w:p>
    <w:p>
      <w:r>
        <w:t>For yes/no event indicators, the data-collection workbook specifies 0 = No and 1 = Yes, with unavailable values left blank. The variable sex is a binary integer: 0 = Female and 1 = Male, as specified in the bilingual Codebook. Missing sex values remain blank/NA; zero is a valid category and must not be treated as missing. This mapping does not define the ordinal categories. The meanings of the union codes are also absent; union outcomes are not reported in the submitted analyses. Osteoporosis severity codes remain undefined and were not analysed, as stated in the original variable dictionary.</w:t>
      </w:r>
    </w:p>
    <w:p>
      <w:r>
        <w:t>Modified Gertzbein–Robbins grades follow the manuscript definition: A, no cortical breach; B, &gt;0 to &lt;2 mm; C, ≥2 to &lt;4 mm; D, ≥4 to ≤6 mm; E, &gt;6 mm. The primary Grade A comparison uses the locked source-reconciled grades. Reliability rereading is a separate analysis and does not replace those grades.</w:t>
      </w:r>
    </w:p>
    <w:p>
      <w:r>
        <w:t>The supplementary workbook contains variable-level summaries and aggregate model results, not individual participant records. Source linkage keys and institutional reconciliation records remain in the institutional study file. The statistical tables are retained from the supplied analysis outputs; no new patient-level analysis was performed during this editorial revision.</w:t>
      </w:r>
    </w:p>
    <w:sectPr w:rsidR="00FC693F" w:rsidRPr="0006063C" w:rsidSect="00034616">
      <w:footerReference w:type="default" r:id="rId9"/>
      <w:headerReference w:type="default" r:id="rId10"/>
      <w:pgSz w:w="12240" w:h="15840"/>
      <w:pgMar w:top="648" w:right="792" w:bottom="576"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eastAsia="Times New Roman" w:cs="Times New Roman"/>
        <w:b w:val="0"/>
        <w:i/>
        <w:sz w:val="16"/>
      </w:rPr>
      <w:t>Supplementary statistical analysis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9" w:lineRule="auto"/>
    </w:pPr>
    <w:rPr>
      <w:rFonts w:ascii="Times New Roman" w:hAnsi="Times New Roman" w:eastAsia="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Times New Roman" w:hAnsi="Times New Roman" w:eastAsia="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Times New Roman" w:hAnsi="Times New Roman" w:eastAsia="Times New Roman"/>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60"/>
      <w:contextualSpacing/>
    </w:pPr>
    <w:rPr>
      <w:rFonts w:asciiTheme="majorHAnsi" w:eastAsiaTheme="majorEastAsia" w:hAnsiTheme="majorHAnsi" w:cstheme="majorBidi" w:ascii="Times New Roman" w:hAnsi="Times New Roman" w:eastAsia="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